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72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3831590</wp:posOffset>
            </wp:positionH>
            <wp:positionV relativeFrom="paragraph">
              <wp:posOffset>-7620</wp:posOffset>
            </wp:positionV>
            <wp:extent cx="951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81-1567056</w:t>
            </w:r>
          </w:p>
        </w:tc>
      </w:tr>
      <w:tr>
        <w:trPr>
          <w:trHeight w:val="148"/>
        </w:trPr>
        <w:tc>
          <w:tcPr>
            <w:tcW w:w="432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3060" w:type="dxa"/>
            <w:vAlign w:val="bottom"/>
          </w:tcPr>
          <w:p>
            <w:pPr>
              <w:spacing w:after="0"/>
              <w:rPr>
                <w:sz w:val="22"/>
                <w:szCs w:val="22"/>
                <w:color w:val="auto"/>
              </w:rPr>
            </w:pPr>
          </w:p>
        </w:tc>
      </w:t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Seattle, Washington</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98121</w:t>
            </w:r>
          </w:p>
        </w:tc>
      </w:tr>
      <w:tr>
        <w:trPr>
          <w:trHeight w:val="186"/>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490" w:right="339" w:bottom="1440" w:gutter="0" w:footer="0" w:header="0"/>
        </w:sectPr>
      </w:pPr>
    </w:p>
    <w:p>
      <w:pPr>
        <w:spacing w:after="0" w:line="90"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Trading Symbols(s)</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APVO</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280"/>
        <w:spacing w:after="0" w:line="289" w:lineRule="auto"/>
        <w:rPr>
          <w:sz w:val="20"/>
          <w:szCs w:val="20"/>
          <w:color w:val="auto"/>
        </w:rPr>
      </w:pPr>
      <w:r>
        <w:rPr>
          <w:rFonts w:ascii="Arial" w:cs="Arial" w:eastAsia="Arial" w:hAnsi="Arial"/>
          <w:sz w:val="17"/>
          <w:szCs w:val="17"/>
          <w:b w:val="1"/>
          <w:bCs w:val="1"/>
          <w:color w:val="auto"/>
        </w:rPr>
        <w:t>Name of Exchange on Which Registered The Nasdaq Stock Market LLC (The Nasdaq Capital Market)</w:t>
      </w:r>
    </w:p>
    <w:p>
      <w:pPr>
        <w:spacing w:after="0" w:line="13" w:lineRule="exact"/>
        <w:rPr>
          <w:sz w:val="24"/>
          <w:szCs w:val="24"/>
          <w:color w:val="auto"/>
        </w:rPr>
      </w:pPr>
    </w:p>
    <w:p>
      <w:pPr>
        <w:sectPr>
          <w:pgSz w:w="11900" w:h="16838" w:orient="portrait"/>
          <w:cols w:equalWidth="0" w:num="3">
            <w:col w:w="4340" w:space="720"/>
            <w:col w:w="2100" w:space="720"/>
            <w:col w:w="3360"/>
          </w:cols>
          <w:pgMar w:left="320" w:top="490" w:right="339" w:bottom="1440" w:gutter="0" w:footer="0" w:header="0"/>
          <w:type w:val="continuous"/>
        </w:sectPr>
      </w:pPr>
    </w:p>
    <w:p>
      <w:pPr>
        <w:jc w:val="both"/>
        <w:ind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2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2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10, 2021, the number of shares of the registrant’s common stock outstanding was 4,449,535.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219710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220" w:type="dxa"/>
            <w:vAlign w:val="bottom"/>
            <w:gridSpan w:val="9"/>
            <w:vMerge w:val="restart"/>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8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9"/>
            <w:vMerge w:val="continue"/>
          </w:tcPr>
          <w:p>
            <w:pPr>
              <w:spacing w:after="0"/>
              <w:rPr>
                <w:sz w:val="14"/>
                <w:szCs w:val="14"/>
                <w:color w:val="auto"/>
              </w:rPr>
            </w:pPr>
          </w:p>
        </w:tc>
        <w:tc>
          <w:tcPr>
            <w:tcW w:w="7220" w:type="dxa"/>
            <w:vAlign w:val="bottom"/>
            <w:gridSpan w:val="9"/>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w:t>
              </w:r>
            </w:hyperlink>
          </w:p>
        </w:tc>
        <w:tc>
          <w:tcPr>
            <w:tcW w:w="398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5240" w:type="dxa"/>
            <w:vAlign w:val="bottom"/>
            <w:gridSpan w:val="3"/>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840" w:type="dxa"/>
            <w:vAlign w:val="bottom"/>
            <w:gridSpan w:val="12"/>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39"/>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620" w:type="dxa"/>
            <w:vAlign w:val="bottom"/>
            <w:gridSpan w:val="18"/>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18"/>
                <w:szCs w:val="18"/>
                <w:color w:val="auto"/>
              </w:rPr>
            </w:pPr>
          </w:p>
        </w:tc>
        <w:tc>
          <w:tcPr>
            <w:tcW w:w="7600" w:type="dxa"/>
            <w:vAlign w:val="bottom"/>
            <w:gridSpan w:val="11"/>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2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5280" w:type="dxa"/>
            <w:vAlign w:val="bottom"/>
            <w:gridSpan w:val="4"/>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8"/>
                <w:szCs w:val="18"/>
                <w:color w:val="auto"/>
              </w:rPr>
            </w:pPr>
          </w:p>
        </w:tc>
        <w:tc>
          <w:tcPr>
            <w:tcW w:w="7300" w:type="dxa"/>
            <w:vAlign w:val="bottom"/>
            <w:gridSpan w:val="10"/>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8300" w:type="dxa"/>
            <w:vAlign w:val="bottom"/>
            <w:gridSpan w:val="14"/>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20" w:type="dxa"/>
            <w:vAlign w:val="bottom"/>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1180" w:type="dxa"/>
            <w:vAlign w:val="bottom"/>
            <w:gridSpan w:val="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2020</w:t>
            </w:r>
          </w:p>
        </w:tc>
      </w:tr>
      <w:tr>
        <w:trPr>
          <w:trHeight w:val="223"/>
        </w:trPr>
        <w:tc>
          <w:tcPr>
            <w:tcW w:w="7760" w:type="dxa"/>
            <w:vAlign w:val="bottom"/>
            <w:tcBorders>
              <w:top w:val="single" w:sz="8" w:color="CFF0FC"/>
            </w:tcBorders>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57,524</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Restricted cash - current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Royalty receivable</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62,850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47,264</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68,753</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53,547</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other accrued liabilities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Liability related to the sale of future royalties, net - short-term</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14,539</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Liability related to the sale of future royalties, net - long-term</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Loan payable - long-term</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20,054</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36,953</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or outstanding</w:t>
            </w:r>
          </w:p>
        </w:tc>
        <w:tc>
          <w:tcPr>
            <w:tcW w:w="1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 4,449,422</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Arial" w:cs="Arial" w:eastAsia="Arial" w:hAnsi="Arial"/>
                <w:sz w:val="18"/>
                <w:szCs w:val="18"/>
                <w:color w:val="auto"/>
              </w:rPr>
              <w:t>and 4,410,909 shares issued and outstanding at March 31, 2021 and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December 31, 2020, respectively</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202,154</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(192,862)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(185,606)</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53,547</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5"/>
        </w:trPr>
        <w:tc>
          <w:tcPr>
            <w:tcW w:w="77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(5,362)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(4,006)</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(3,947)</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(3,616)</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(6,888)</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from continuing operations, net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(782)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(2,104)</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12,898</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 and diluted net (loss) income per basic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used to compute per share calculations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4,418,472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3,270,089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 income</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(7,256)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2,897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Aptevo BioTherapeutics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(14,338)</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interest expense and other</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Royalty receivable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(1,329)</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(2,110)</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(3,248)</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(228)</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Changes in assets and liabilities held for sale</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(7,504)</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received from sale of Aptevo BioTherapeutics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Payments of long-term debt, including exit and other fees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(10,550)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(22,104)</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sale of future royalties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from sale of future royalties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(1,100)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warrants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23,942</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334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r>
      <w:tr>
        <w:trPr>
          <w:trHeight w:val="155"/>
        </w:trPr>
        <w:tc>
          <w:tcPr>
            <w:tcW w:w="3340" w:type="dxa"/>
            <w:vAlign w:val="bottom"/>
          </w:tcPr>
          <w:p>
            <w:pPr>
              <w:spacing w:after="0"/>
              <w:rPr>
                <w:sz w:val="13"/>
                <w:szCs w:val="13"/>
                <w:color w:val="auto"/>
              </w:rPr>
            </w:pPr>
          </w:p>
        </w:tc>
        <w:tc>
          <w:tcPr>
            <w:tcW w:w="16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Shares</w:t>
            </w:r>
          </w:p>
        </w:tc>
        <w:tc>
          <w:tcPr>
            <w:tcW w:w="104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480"/>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3"/>
                <w:szCs w:val="13"/>
                <w:color w:val="auto"/>
              </w:rPr>
            </w:pPr>
          </w:p>
        </w:tc>
        <w:tc>
          <w:tcPr>
            <w:tcW w:w="134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4,410,909</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202,154</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(185,606)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Proceeds from exercise of stock</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10,685</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warrants</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27,828</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Net loss for the period</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(7,256)</w:t>
            </w:r>
          </w:p>
        </w:tc>
      </w:tr>
      <w:tr>
        <w:trPr>
          <w:trHeight w:val="223"/>
        </w:trPr>
        <w:tc>
          <w:tcPr>
            <w:tcW w:w="334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4,449,422</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203,320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10,504</w:t>
            </w:r>
          </w:p>
        </w:tc>
        <w:tc>
          <w:tcPr>
            <w:tcW w:w="1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8"/>
        </w:trPr>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334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Stockholders'</w:t>
            </w:r>
          </w:p>
        </w:tc>
      </w:tr>
      <w:tr>
        <w:trPr>
          <w:trHeight w:val="155"/>
        </w:trPr>
        <w:tc>
          <w:tcPr>
            <w:tcW w:w="3340" w:type="dxa"/>
            <w:vAlign w:val="bottom"/>
          </w:tcPr>
          <w:p>
            <w:pPr>
              <w:spacing w:after="0"/>
              <w:rPr>
                <w:sz w:val="13"/>
                <w:szCs w:val="13"/>
                <w:color w:val="auto"/>
              </w:rPr>
            </w:pPr>
          </w:p>
        </w:tc>
        <w:tc>
          <w:tcPr>
            <w:tcW w:w="16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Shares</w:t>
            </w:r>
          </w:p>
        </w:tc>
        <w:tc>
          <w:tcPr>
            <w:tcW w:w="104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480"/>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3"/>
                <w:szCs w:val="13"/>
                <w:color w:val="auto"/>
              </w:rPr>
            </w:pPr>
          </w:p>
        </w:tc>
        <w:tc>
          <w:tcPr>
            <w:tcW w:w="134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3,234,231</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179,653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(167,856)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Cancellation of fractional</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8"/>
                <w:szCs w:val="18"/>
                <w:color w:val="auto"/>
              </w:rPr>
              <w:t>shares arising from reverse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40" w:type="dxa"/>
            <w:vAlign w:val="bottom"/>
          </w:tcPr>
          <w:p>
            <w:pPr>
              <w:ind w:left="140"/>
              <w:spacing w:after="0"/>
              <w:rPr>
                <w:sz w:val="20"/>
                <w:szCs w:val="20"/>
                <w:color w:val="auto"/>
              </w:rPr>
            </w:pPr>
            <w:r>
              <w:rPr>
                <w:rFonts w:ascii="Arial" w:cs="Arial" w:eastAsia="Arial" w:hAnsi="Arial"/>
                <w:sz w:val="18"/>
                <w:szCs w:val="18"/>
                <w:color w:val="auto"/>
              </w:rPr>
              <w:t>stock split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(1,420)</w:t>
            </w:r>
          </w:p>
        </w:tc>
        <w:tc>
          <w:tcPr>
            <w:tcW w:w="10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9"/>
                <w:szCs w:val="19"/>
                <w:color w:val="auto"/>
              </w:rPr>
            </w:pPr>
          </w:p>
        </w:tc>
      </w:tr>
      <w:tr>
        <w:trPr>
          <w:trHeight w:val="223"/>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3,232,811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180,066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(164,959)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Liquidity</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Aptevo Therapeutics Inc. (Aptevo, we, us, or the Company) is a clinical-stage, research and development biotechnology company focused on developing novel immunotherapeutic candidates for the treatment of different forms of cancer. We have developed two versatile and enabling platform technologies for rational design of precision immune stimulatory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currently trading on the Nasdaq Capital Market under the symbol “APVO.”</w:t>
      </w:r>
    </w:p>
    <w:p>
      <w:pPr>
        <w:spacing w:after="0" w:line="117" w:lineRule="exact"/>
        <w:rPr>
          <w:sz w:val="20"/>
          <w:szCs w:val="20"/>
          <w:color w:val="auto"/>
        </w:rPr>
      </w:pPr>
    </w:p>
    <w:p>
      <w:pPr>
        <w:jc w:val="both"/>
        <w:ind w:firstLine="514"/>
        <w:spacing w:after="0" w:line="290" w:lineRule="auto"/>
        <w:rPr>
          <w:sz w:val="20"/>
          <w:szCs w:val="20"/>
          <w:color w:val="auto"/>
        </w:rPr>
      </w:pPr>
      <w:r>
        <w:rPr>
          <w:rFonts w:ascii="Arial" w:cs="Arial" w:eastAsia="Arial" w:hAnsi="Arial"/>
          <w:sz w:val="16"/>
          <w:szCs w:val="16"/>
          <w:color w:val="auto"/>
        </w:rPr>
        <w:t>The accompanying financial statements have been prepared on a basis that assumes we will continue as a going concern and which contemplates the realization of assets and satisfaction of liabilities and commitments in the normal course of business. For the three months ended March 31, 2021 and 2020, we had a net loss of $7.3 million and net income of $2.9 million, respectively. We had an accumulated deficit of $192.9 million as of March 31, 2021. For the three months ended March 31, 2021, net cash used in our operating activities was $7.5 million. We have suffered recurring losses from operations and negative cash flows from operating activities. We believe that our existing cash resources, the cash to be generated from future deferred payments and milestones, the cash generated from warrant exercises, access to cash under the purchase agreement with Lincoln Park Financial LLC (Lincoln Park), and release of restricted cash securing letters of credit, will be sufficient to meet our projected operating requirements and debt service for at least twelve months from the date of issuance of these financial statements. We may choose to raise additional funds to support our operating and capital needs.</w:t>
      </w:r>
    </w:p>
    <w:p>
      <w:pPr>
        <w:spacing w:after="0" w:line="57" w:lineRule="exact"/>
        <w:rPr>
          <w:sz w:val="20"/>
          <w:szCs w:val="20"/>
          <w:color w:val="auto"/>
        </w:rPr>
      </w:pPr>
    </w:p>
    <w:p>
      <w:pPr>
        <w:jc w:val="both"/>
        <w:ind w:firstLine="514"/>
        <w:spacing w:after="0" w:line="270" w:lineRule="auto"/>
        <w:rPr>
          <w:sz w:val="20"/>
          <w:szCs w:val="20"/>
          <w:color w:val="auto"/>
        </w:rPr>
      </w:pPr>
      <w:r>
        <w:rPr>
          <w:rFonts w:ascii="Arial" w:cs="Arial" w:eastAsia="Arial" w:hAnsi="Arial"/>
          <w:sz w:val="17"/>
          <w:szCs w:val="17"/>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Pharmaceuticals Inc. (Medexus) with respect to IXINITY; (e) whether and to what extent future proceeds are received under our Royalty Purchase Agreement; and (f) other items affecting our forecasted level of expenditures and use of cash resources. We may attempt to obtain additional funding through our existing equity sales agreement with Lincoln Park or our Equity Distribution Agreement with Piper Sandler &amp; Co (Piper Sandler), or other public or private financing, collaborative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 Given the global economic climate and additional or unforeseen effects from the COVID-19 pandemic, we may experience delays or difficulties to the financing environment and raising capital due to economic uncertainty.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These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2020, and the notes thereto, which are included in the Company’s Annual Report on the Form 10-K for the year ended December 31, 2020.</w:t>
      </w:r>
    </w:p>
    <w:p>
      <w:pPr>
        <w:spacing w:after="0" w:line="8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7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our wholly owned subsidiaries: Aptevo Research and Development LLC and Aptevo BioTherapeutics LLC (for the period prior to its sale on February 28, 2020). All intercompany balances and transactions have been eliminated.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510"/>
        <w:spacing w:after="0" w:line="257" w:lineRule="auto"/>
        <w:rPr>
          <w:sz w:val="20"/>
          <w:szCs w:val="20"/>
          <w:color w:val="auto"/>
        </w:rPr>
      </w:pPr>
      <w:r>
        <w:rPr>
          <w:rFonts w:ascii="Arial" w:cs="Arial" w:eastAsia="Arial" w:hAnsi="Arial"/>
          <w:sz w:val="18"/>
          <w:szCs w:val="18"/>
          <w:color w:val="auto"/>
        </w:rPr>
        <w:t>In March 2020, we effected a 1-for-14 reverse stock split (the “Reverse Split”) of our common stock pursuant to which every 14 shares of our common stock issued and outstanding as of March 26, 2020 were automatically combined into one issued and outstanding share of common stock. No fractional shares were issued as a result of the reverse stock split. Stockholders of record who would otherwise have been entitled to receive a fractional share received a cash payment in lieu thereof. All share and per share information with respect to our common stock have been restated to reflect the effect of the Reverse Split for all periods presented.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revenues and expenses, and related disclosures of contingent liabilities in the condensed consolidated financial statements and accompanying notes. Estimates are used for, but not limited to, forecasted royalties, effective interest rates, clinical accruals, useful lives of equipment, commitments and contingencies, and stock-based compensation forfeiture rates. Given the global economic climate and additional or unforeseen effects from the COVID-19 pandemic, these estimates are becoming more challenging, and actual results could differ materially from those estimates.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Significant Accounting Policies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Liability Related to Sale of Future Royalties and Non-Cash Interest Expense</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On March 30, 2021, the Company entered into and closed a royalty purchase agreement (the Royalty Purchase Agreement) with an entity managed by HealthCare Royalty Management, LLC (HCR) pursuant to which the Company sold to HCR the right to receive all royalty payments made by Pfizer Inc. (Pfizer) in respect of net sales of RUXIENCE. Under the terms of the agreement, the Company received $35 million (the Investment Amount) at closing and the Company is eligible to receive additional payments in aggregate of up to an additional $32.5 million based on the achievement of sales milestones in 2021, 2022, and 2023 (collectively, the Milestone Amounts). The Royalty Purchase Agreement further provides that, once HCR reaches aggregate royalty payments totaling 190% of the Investment Amount plus the Milestone Amounts to the extent paid by HCR to the Company, Aptevo will be entitled to receive 50% of royalty interest payments thereafter.</w:t>
      </w:r>
    </w:p>
    <w:p>
      <w:pPr>
        <w:spacing w:after="0" w:line="87" w:lineRule="exact"/>
        <w:rPr>
          <w:sz w:val="20"/>
          <w:szCs w:val="20"/>
          <w:color w:val="auto"/>
        </w:rPr>
      </w:pPr>
    </w:p>
    <w:p>
      <w:pPr>
        <w:jc w:val="both"/>
        <w:ind w:firstLine="494"/>
        <w:spacing w:after="0" w:line="269" w:lineRule="auto"/>
        <w:rPr>
          <w:sz w:val="20"/>
          <w:szCs w:val="20"/>
          <w:color w:val="auto"/>
        </w:rPr>
      </w:pPr>
      <w:r>
        <w:rPr>
          <w:rFonts w:ascii="Arial" w:cs="Arial" w:eastAsia="Arial" w:hAnsi="Arial"/>
          <w:sz w:val="17"/>
          <w:szCs w:val="17"/>
          <w:color w:val="auto"/>
        </w:rPr>
        <w:t>We treat the Royalty Purchase Agreement with HCR (see Note 7) as a debt financing, amortized under the effective interest rate method over the estimated life of the related expected royalty stream. The liabilities related to sale of future royalties and the debt amortization are based on our current estimates of future royalties expected to be paid over the life of the arrangement. To the extent total future royalties collected are an amount less than the liability, the Company is not obligated to fund any such shortfall. We will periodically assess the expected royalty payments using projections from external sources. To the extent our estimates of future royalty payments are greater or less than previous estimates or the estimated timing of such payments is materially different than previous estimates, we will adjust the effective interest rate and recognize related non-cash interest expense on a prospective basis. We are not obligated to repay the proceeds received under the Royalty Purchase Agreement with HCR. Due to our continuing involvement under the Definitive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Modification</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On March 30, 2021, we amended our Credit Agreement with MidCap Financial and used $10 million of the proceeds received from the Royalty Purchase Agreement to pay down the outstanding principal under the Credit Agreement from $25 million to $15 million. The amended Credit Agreement was accounted for under ASC 470-50, </w:t>
      </w:r>
      <w:r>
        <w:rPr>
          <w:rFonts w:ascii="Arial" w:cs="Arial" w:eastAsia="Arial" w:hAnsi="Arial"/>
          <w:sz w:val="18"/>
          <w:szCs w:val="18"/>
          <w:i w:val="1"/>
          <w:iCs w:val="1"/>
          <w:color w:val="auto"/>
        </w:rPr>
        <w:t>Debt Modifications and Extinguishments</w:t>
      </w:r>
      <w:r>
        <w:rPr>
          <w:rFonts w:ascii="Arial" w:cs="Arial" w:eastAsia="Arial" w:hAnsi="Arial"/>
          <w:sz w:val="18"/>
          <w:szCs w:val="18"/>
          <w:color w:val="auto"/>
        </w:rPr>
        <w:t xml:space="preserve">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21"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Our other significant accounting policies were reported in our Annual Report on Form 10-K for the year ended December 31, 2020 that was filed with the SEC on March 31, 2021. Our other significant accounting policies have not changed materially from the policies previously reported.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provides optional expedients and exceptions for applying GAAP to loan and lease agreements, derivative contracts, and other transactions affected by the anticipated transition away from LIBOR toward new interest rate benchmarks. The United Kingdom’s Financial Conduct Authority (the “FCA”), which regulates LIBOR, has announced that it intends to phase out LIBOR by the end of 2021. It is unclear if at that time LIBOR will cease to exist or if new methods of calculating LIBOR will be established such that it continues to exist after 2021. In addition, on March 25, 2020, the FCA stated that although the central assumption that firms cannot rely on LIBOR being published after the end of 2021 has not changed, the outbreak of COVID-19 has impacted the timing of many firms’ transition planning, and the FCA will continue to assess the impact of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COVID-19 pandemic on transition timelines and update the marketplace as soon as possible. At this time, it is not possible to predict the effect of any such changes, any establishment of alternative reference rates or any other reforms to LIBOR that may be enacted. An entity may elect to apply the amendments prospectively from March 12, 2020 through December 31, 2022. Our credit agreement with MidCap Financial currently references LIBOR and also provides that we may amend the credit agreement to reflect an alternative rate of interest upon the phase out of LIBOR. We are currently evaluating the impact that ASU 2020-04 may have on our consolidated financial statements.</w:t>
      </w:r>
    </w:p>
    <w:p>
      <w:pPr>
        <w:spacing w:after="0" w:line="8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which makes changes to clarify the Codification, corrects unintended application of guidance, and makes minor improvements to the Codification that are not expected to have a significant effect on current accounting practice. The transition and effective date guidance in the ASU is based on the facts and circumstances of each amendment. We are currently evaluating the impact that ASU 2020-10 may have on our consolidated financial statements.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accompanying financial statements include discontinued operations from two separate transactions: the sale of our hyperimmune business in 2017, from which we received a payment in 2021 related to the collection of a certain accounts receivable, and our Aptevo BioTherapeutics LLC business, which was sold in 2020.</w:t>
      </w:r>
    </w:p>
    <w:p>
      <w:pPr>
        <w:spacing w:after="0" w:line="7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On February 28, 2020, we entered into an LLC Purchase Agreement with Medexus, pursuant to which we sold all of the issued and outstanding limited liability company interests of Aptevo BioTherapeutics LLC, a wholly owned subsidiary of Aptevo. As a result of the transaction, Medexus obtained all rights, title and interest to the IXINITY product and the related Hemophilia B business and intellectual property.</w:t>
      </w:r>
    </w:p>
    <w:p>
      <w:pPr>
        <w:spacing w:after="0" w:line="5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net gain on sale of Aptevo BioTherapeutics, totaling $14.3 million, was calculated as the difference between the fair value of the consideration received for Aptevo BioTherapeutics, less the net carrying value of the assets transferred to Medexus, less the transaction costs incurred and a working capital adjustment. We recorded the gain on sale in quarter ended March 31, 2020.</w:t>
      </w:r>
    </w:p>
    <w:p>
      <w:pPr>
        <w:spacing w:after="0" w:line="7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unaudited condensed consolidated statements of operations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240" w:type="dxa"/>
            <w:vAlign w:val="bottom"/>
            <w:gridSpan w:val="6"/>
          </w:tcPr>
          <w:p>
            <w:pPr>
              <w:ind w:left="32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5"/>
        </w:trPr>
        <w:tc>
          <w:tcPr>
            <w:tcW w:w="68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 - Aptevo BioTherapeutics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Gain on sale of Aptevo BioTherapeutics</w:t>
            </w:r>
          </w:p>
        </w:tc>
        <w:tc>
          <w:tcPr>
            <w:tcW w:w="96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14,338</w:t>
            </w:r>
          </w:p>
        </w:tc>
        <w:tc>
          <w:tcPr>
            <w:tcW w:w="12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Estimated deferred payment from Medexus</w:t>
            </w: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Payment from Saol</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 from Medexus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12,898</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LLC Purchase Agreement with Medexus entitles us to future deferred payments and royalties. For the three months ended March 31, 2021, we collected $0.2 million related to the collection of certain accounts receivable from the sale of the hyperimmune business to Saol, and a deferred payment of $0.2 million received from Medexus in March 2021 related to fourth quarter 2020 IXINITY sales. Medexus communicated their first quarter 2021 net IXINITY sales to Aptevo in April and expects to make a deferred payment, within 45 days after quarter-end per the LLC Purchase Agreement, to Aptevo of approximately $0.1 million. As such, we will record the deferred payment amount related to Medexus’ first quarter sales of IXINITY as a gain when collected.</w:t>
      </w:r>
    </w:p>
    <w:p>
      <w:pPr>
        <w:spacing w:after="0" w:line="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There was no amortization for Aptevo BioTherapeutics in March 31, 2021 and amortization was $0.1 million in March 31, 2020. There was no depreciation or capital expenditures for the three months ended March 31, 2021 or March 31, 2020. Significant operating non-cash items include the gain on sale of Aptevo BioTherapeutics of $14.3 million for the three months ended March 31, 2020. There were no significant investing non-cash items for the three months ended March 31, 2021 and 2020.</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On July 20, 2017, our wholly owned subsidiary Aptevo Research and Development LLC (Aptevo R&amp;D), entered into a collaboration and option agreement (the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jc w:val="both"/>
        <w:ind w:firstLine="510"/>
        <w:spacing w:after="0" w:line="286" w:lineRule="auto"/>
        <w:rPr>
          <w:sz w:val="20"/>
          <w:szCs w:val="20"/>
          <w:color w:val="auto"/>
        </w:rPr>
      </w:pPr>
      <w:r>
        <w:rPr>
          <w:rFonts w:ascii="Arial" w:cs="Arial" w:eastAsia="Arial" w:hAnsi="Arial"/>
          <w:sz w:val="17"/>
          <w:szCs w:val="17"/>
          <w:color w:val="auto"/>
        </w:rPr>
        <w:t>We assessed the arrangement in accordance with ASC 606 and concluded that the contract counterparty, Alligator, is not a customer. As such the arrangement is not in the scope of ASC 606 and is instead treated as a collaborative agreement under ASC 808 – Collaborative Arrangements (ASC 808). In accordance with ASC 808, we concluded that because the Collaboration Agreement is a cost sharing agreement, there is no revenue.</w:t>
      </w:r>
    </w:p>
    <w:p>
      <w:pPr>
        <w:spacing w:after="0" w:line="5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We recorded a $0.1 million increase and an immaterial increase in research and development expense related to the Collaboration Agreement, for the three months ended March 31, 2021 and March 31, 2020, respectively.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4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At March 31, 2021 and December 31, 2020, we had $30.9 million and $35.4 million in Level 1 money market funds, respectively. The carrying amounts of our money market funds approximate their fair value. At March 31, 2021 and December 31, 2020, we did not have any Level 2 or Level 3 assets.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13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Company’s cash equivalents are highly liquid investments with a maturity of 90 days or less at the date of purchase and include time deposits and investments in money market funds. Restricted cash - current includes $1.3 million securing letters of credit.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cash, cash equivalents and current restricted cash as of March 31, 2021 and December 31,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100" w:type="dxa"/>
            <w:vAlign w:val="bottom"/>
            <w:shd w:val="clear" w:color="auto" w:fill="CFF0FC"/>
          </w:tcPr>
          <w:p>
            <w:pPr>
              <w:spacing w:after="0"/>
              <w:rPr>
                <w:sz w:val="19"/>
                <w:szCs w:val="19"/>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35,378</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 current</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On August 5, 2020, we entered into a Credit and Security Agreement (the Credit Agreement), with MidCap Financial. The Credit Agreement provided us with up to $25.0 million of available borrowing capacity under a term loan facility. The full $25.0 million was drawn on the closing date of the Credit Agreement. The term loan facility has a 48 month term, is interest-only for the first 18 months, with straight-line amortization for the remaining 30 months and bears interest at a rate of one month LIBOR plus 6.25% per annum, subject to a 1.50% LIBOR floor and a 2.50% LIBOR cap. The term loan facility includes additional repayment provisions should either or both of the royalties or milestones related to IXINITY or royalties related to RUXIENCE be sold during the term of the loan. The United Kingdom’s Financial Conduct Authority (the “FCA”), which regulates LIBOR, has announced that it intends to phase out LIBOR by the end of 2021. It is unclear if at that time LIBOR will cease to exist or if new methods of calculating LIBOR will be established such that it continues to exist after 2021. Our credit agreement with MidCap Financial currently references LIBOR and also provides that we may amend the credit agreement to reflect an alternative rate of interest upon the phase out of LIBOR.</w:t>
      </w:r>
    </w:p>
    <w:p>
      <w:pPr>
        <w:spacing w:after="0" w:line="73"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November 6, 2020, Kevin Tang and his related entities filed a statement on Schedule 13D to report the purchase of 1,760,000 shares of the Company’s common stock, which at the time represented approximately 54% of the Company’s issued and outstanding shares of the Company’s common stock. This acquisition of voting stock triggered a change in control, resulting in an Event of Default under Section 10.1(a)(ii) of the Credit Agreement. On November 10, 2020, the Company obtained a waiver from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MidCap Financial pursuant to which, among other things, MidCap Financial waived such Event of Default and MidCap Financial and the Company agreed that an immediate event of default under the Credit Agreement will be deemed to have occurred in the event that (a) a majority of the seats on the Company’s board of directors are occupied by persons who were neither (i) nominated by the Company’s board of directors nor (ii) appointed by the directors so nominated, and (b) Tang has appointed the majority of the Company’s board of directors. No other events of default have occurred with respect to the Credit Agreement.</w:t>
      </w:r>
    </w:p>
    <w:p>
      <w:pPr>
        <w:spacing w:after="0" w:line="80"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On March 30, 2021, we amended our Credit Agreement with MidCap Financial and used $10.0 million of the proceeds received from the Royalty Purchase Agreement to pay down the outstanding principal under the Credit Agreement from $25.0 million to $15.0 million. $10.0 million of the remaining $15.0 million principal balance will be payable on March 31, 2022. Beginning March 1, 2022, monthly repayment of the remaining $5.0 million of principal will commence and continue for the final 30 months of the loan term. If the Company sells the IXINITY deferred payment stream and milestones prior to full repayment of this $5.0 million principal amount, under the agreement with MidCap Financial, we will be required to use the proceeds from the sale to pay down the outstanding loan principal balance. MidCap Financial also released its security interest in the RUXIENCE royalty payments. A fee of $0.6 million was paid by the Company to MidCap Financial in connection with the amendment in lieu of the formula-based fee previously required.</w:t>
      </w:r>
    </w:p>
    <w:p>
      <w:pPr>
        <w:spacing w:after="0" w:line="5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amended Credit Agreement was accounted for as a debt modification, rather than an extinguishment, based on a comparison of the present value of the cash flows under the terms of the debt immediately before and after the amendment, which resulted in a change of less than 10%. Unamortized issuance costs as of the date of modification will be amortized to interest expense using the effective interest method over the repayment term.</w:t>
      </w:r>
    </w:p>
    <w:p>
      <w:pPr>
        <w:spacing w:after="0" w:line="4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As of March 31, 2021, we classified $10.2 million of the remaining $15.0 million principal of the amended Credit Agreement to current portion of long-term debt on the condensed consolidated balance sheet. The amended Credit Agreement states $10.0 million of the remaining $15.0 million principal balance will be payable on March 31, 2022. Additionally, we will pay $0.2 million to MidCap Financial for the first monthly repayment of outstanding principal on March 1, 2022.</w:t>
      </w:r>
    </w:p>
    <w:p>
      <w:pPr>
        <w:spacing w:after="0" w:line="7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This facility is subject to a subjective acceleration clause that could be invoked by MidCap Financial upon the occurrence of any event MidCap Financial deems to have a material adverse effect on our ability to repay the lender.</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Liability Related to Sale of Future Royalties</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March 2021, we entered into and closed the Royalty Purchase Agreement with HCR pursuant to which we sold to HCR the right to receive all royalty payments made by Pfizer in respect of global net sales of RUXIENCE. Under the terms of the agreement, we received $35.0 million (the Investment Amount) at closing and we are eligible to receive additional payments in aggregate of up to an additional $32.5 million based on the achievement of sales milestones in 2021, 2022, and 2023 (collectively, the Milestone Amounts). The Royalty Purchase Agreement further provides that, once HCR reaches aggregate royalty payments totaling 190% of the amount paid at closing plus Milestone Amounts to the extent paid by HCR to the Company, Aptevo will be entitled to receive 50% of royalty interest payments thereafter.</w:t>
      </w:r>
    </w:p>
    <w:p>
      <w:pPr>
        <w:spacing w:after="0" w:line="84"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proceeds received from HCR of $35.0 million were recorded as a liability, net of transaction costs of $1.1 million, which will be amortized over the estimated life of the arrangement using the effective interest method. In order to determine the amortization of the liability, we are required to estimate the total amount of future royalty payments to be received by HCR over the life of the arrangement. The total amount of royalty payments received by HCR under the Royalty Purchase Agreement, less the net proceeds we received of $33.9 million, is recorded as non-cash interest expense over the life of the arrangement using the effective interest method. We maintain our rights under the Definitive Agreement originally between Trubion and Wyeth, with the exception of the cash flows of the RUXIENCE royalty payments purchased by HCR. Due to our continuing involvement under the Definitive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 To the extent total future royalties collected are an amount less than the liability, the Company is not obligated to fund any such shortfall.</w:t>
      </w:r>
    </w:p>
    <w:p>
      <w:pPr>
        <w:spacing w:after="0" w:line="86" w:lineRule="exact"/>
        <w:rPr>
          <w:sz w:val="20"/>
          <w:szCs w:val="20"/>
          <w:color w:val="auto"/>
        </w:rPr>
      </w:pPr>
    </w:p>
    <w:p>
      <w:pPr>
        <w:jc w:val="both"/>
        <w:ind w:firstLine="584"/>
        <w:spacing w:after="0" w:line="275" w:lineRule="auto"/>
        <w:rPr>
          <w:sz w:val="20"/>
          <w:szCs w:val="20"/>
          <w:color w:val="auto"/>
        </w:rPr>
      </w:pPr>
      <w:r>
        <w:rPr>
          <w:rFonts w:ascii="Arial" w:cs="Arial" w:eastAsia="Arial" w:hAnsi="Arial"/>
          <w:sz w:val="17"/>
          <w:szCs w:val="17"/>
          <w:color w:val="auto"/>
        </w:rPr>
        <w:t>We estimate the effective interest rate used to record non-cash interest expense under the Royalty Purchase Agreement based on the estimate of future royalty payments to be received by HCR. As of March 31, 2021, the estimated effective interest rate under the agreement was 21.9%. Over the life of the arrangement, the actual effective interest rate will be affected by the amount and timing of the royalty payments received by HCR and changes in our forecasted royalties. At each reporting date, we will reassess our estimate of total future royalty payments to be received by HCR, and prospectively adjust the effective interest rate and amortization of the liability as necessary.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right="20" w:firstLine="584"/>
        <w:spacing w:after="0" w:line="277" w:lineRule="auto"/>
        <w:rPr>
          <w:sz w:val="20"/>
          <w:szCs w:val="20"/>
          <w:color w:val="auto"/>
        </w:rPr>
      </w:pPr>
      <w:r>
        <w:rPr>
          <w:rFonts w:ascii="Arial" w:cs="Arial" w:eastAsia="Arial" w:hAnsi="Arial"/>
          <w:sz w:val="18"/>
          <w:szCs w:val="18"/>
          <w:color w:val="auto"/>
        </w:rPr>
        <w:t>The following table presents the changes in the liability related to the sale of future royalties under the Royalty Purchase Agreement with HCR (in thousands):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36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sale of future royalties, beginning balance</w:t>
            </w:r>
          </w:p>
        </w:tc>
        <w:tc>
          <w:tcPr>
            <w:tcW w:w="19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360" w:type="dxa"/>
            <w:vAlign w:val="bottom"/>
          </w:tcPr>
          <w:p>
            <w:pPr>
              <w:ind w:left="120"/>
              <w:spacing w:after="0"/>
              <w:rPr>
                <w:sz w:val="20"/>
                <w:szCs w:val="20"/>
                <w:color w:val="auto"/>
              </w:rPr>
            </w:pPr>
            <w:r>
              <w:rPr>
                <w:rFonts w:ascii="Arial" w:cs="Arial" w:eastAsia="Arial" w:hAnsi="Arial"/>
                <w:sz w:val="18"/>
                <w:szCs w:val="18"/>
                <w:color w:val="auto"/>
              </w:rPr>
              <w:t>Proceeds from sale of future royalties</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r>
      <w:tr>
        <w:trPr>
          <w:trHeight w:val="230"/>
        </w:trPr>
        <w:tc>
          <w:tcPr>
            <w:tcW w:w="6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transaction costs</w:t>
            </w:r>
          </w:p>
        </w:tc>
        <w:tc>
          <w:tcPr>
            <w:tcW w:w="1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(1,100)</w:t>
            </w:r>
          </w:p>
        </w:tc>
      </w:tr>
      <w:tr>
        <w:trPr>
          <w:trHeight w:val="229"/>
        </w:trPr>
        <w:tc>
          <w:tcPr>
            <w:tcW w:w="63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Non-cash interest expense</w:t>
            </w:r>
          </w:p>
        </w:tc>
        <w:tc>
          <w:tcPr>
            <w:tcW w:w="19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sale of future royalties, ending balance</w:t>
            </w:r>
          </w:p>
        </w:tc>
        <w:tc>
          <w:tcPr>
            <w:tcW w:w="1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33,920</w:t>
            </w:r>
          </w:p>
        </w:tc>
        <w:tc>
          <w:tcPr>
            <w:tcW w:w="100" w:type="dxa"/>
            <w:vAlign w:val="bottom"/>
            <w:shd w:val="clear" w:color="auto" w:fill="CFF0FC"/>
          </w:tcPr>
          <w:p>
            <w:pPr>
              <w:spacing w:after="0"/>
              <w:rPr>
                <w:sz w:val="19"/>
                <w:szCs w:val="19"/>
                <w:color w:val="auto"/>
              </w:rPr>
            </w:pPr>
          </w:p>
        </w:tc>
      </w:tr>
      <w:tr>
        <w:trPr>
          <w:trHeight w:val="229"/>
        </w:trPr>
        <w:tc>
          <w:tcPr>
            <w:tcW w:w="6360" w:type="dxa"/>
            <w:vAlign w:val="bottom"/>
          </w:tcPr>
          <w:p>
            <w:pPr>
              <w:ind w:left="120"/>
              <w:spacing w:after="0"/>
              <w:rPr>
                <w:sz w:val="20"/>
                <w:szCs w:val="20"/>
                <w:color w:val="auto"/>
              </w:rPr>
            </w:pPr>
            <w:r>
              <w:rPr>
                <w:rFonts w:ascii="Arial" w:cs="Arial" w:eastAsia="Arial" w:hAnsi="Arial"/>
                <w:sz w:val="18"/>
                <w:szCs w:val="18"/>
                <w:color w:val="auto"/>
              </w:rPr>
              <w:t>Current portion of liability related to sale of future royalties</w:t>
            </w: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(11,748)</w:t>
            </w:r>
          </w:p>
        </w:tc>
      </w:tr>
      <w:tr>
        <w:trPr>
          <w:trHeight w:val="223"/>
        </w:trPr>
        <w:tc>
          <w:tcPr>
            <w:tcW w:w="6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related to sale of future royalties, non-current</w:t>
            </w: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Leases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44" w:lineRule="exact"/>
        <w:rPr>
          <w:sz w:val="20"/>
          <w:szCs w:val="20"/>
          <w:color w:val="auto"/>
        </w:rPr>
      </w:pPr>
    </w:p>
    <w:p>
      <w:pPr>
        <w:jc w:val="both"/>
        <w:ind w:right="20" w:firstLine="564"/>
        <w:spacing w:after="0" w:line="311" w:lineRule="auto"/>
        <w:rPr>
          <w:sz w:val="20"/>
          <w:szCs w:val="20"/>
          <w:color w:val="auto"/>
        </w:rPr>
      </w:pPr>
      <w:r>
        <w:rPr>
          <w:rFonts w:ascii="Arial" w:cs="Arial" w:eastAsia="Arial" w:hAnsi="Arial"/>
          <w:sz w:val="16"/>
          <w:szCs w:val="16"/>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 The lease was further amended, effective August 2019, to reduce the square footage of our rented area.</w:t>
      </w:r>
    </w:p>
    <w:p>
      <w:pPr>
        <w:spacing w:after="0" w:line="41" w:lineRule="exact"/>
        <w:rPr>
          <w:sz w:val="20"/>
          <w:szCs w:val="20"/>
          <w:color w:val="auto"/>
        </w:rPr>
      </w:pPr>
    </w:p>
    <w:p>
      <w:pPr>
        <w:jc w:val="both"/>
        <w:ind w:right="20" w:firstLine="568"/>
        <w:spacing w:after="0" w:line="255" w:lineRule="auto"/>
        <w:rPr>
          <w:sz w:val="20"/>
          <w:szCs w:val="20"/>
          <w:color w:val="auto"/>
        </w:rPr>
      </w:pPr>
      <w:r>
        <w:rPr>
          <w:rFonts w:ascii="Arial" w:cs="Arial" w:eastAsia="Arial" w:hAnsi="Arial"/>
          <w:sz w:val="18"/>
          <w:szCs w:val="18"/>
          <w:color w:val="auto"/>
        </w:rPr>
        <w:t>The amended lease has a renewal option of two five-year renewals at fair market value as determined at the time of renewal, and a termination option after month thirty-six with nine months written notice. The termination option also requires a penalty equal to the unamortized tenant improvement allowance at 8% interest, the unamortized real estate taxes at 8% interest, and the equivalent of four-months’ rent at the base rent price at the time of termination. The estimated termination penalty has been recorded in our lease payments. We determined we should not include any periods after the termination option when evaluating this amendment as we are not reasonably certain to not exercise the option, therefore we are recording our liability through April 30, 2023.</w:t>
      </w:r>
    </w:p>
    <w:p>
      <w:pPr>
        <w:spacing w:after="0" w:line="84" w:lineRule="exact"/>
        <w:rPr>
          <w:sz w:val="20"/>
          <w:szCs w:val="20"/>
          <w:color w:val="auto"/>
        </w:rPr>
      </w:pPr>
    </w:p>
    <w:p>
      <w:pPr>
        <w:jc w:val="both"/>
        <w:ind w:right="40" w:firstLine="510"/>
        <w:spacing w:after="0" w:line="277" w:lineRule="auto"/>
        <w:rPr>
          <w:sz w:val="20"/>
          <w:szCs w:val="20"/>
          <w:color w:val="auto"/>
        </w:rPr>
      </w:pPr>
      <w:r>
        <w:rPr>
          <w:rFonts w:ascii="Arial" w:cs="Arial" w:eastAsia="Arial" w:hAnsi="Arial"/>
          <w:sz w:val="18"/>
          <w:szCs w:val="18"/>
          <w:color w:val="auto"/>
        </w:rPr>
        <w:t>For the three months ended March 31, 2021 and March 31, 2020, we recorded $0.2 million and $0.1 million, respectively, related to variable expenses.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Leases - Operating</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As of March 31, 2021, we have operating leases for one piece of lab equipment and four copiers in our Seattle, Washington headquarters. The future expense for these leases will be straight-line and will include any variable expenses that arise.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 – Financing</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As of March 31, 2020, we had one equipment lease classified as a financing lease as the lease transferred ownership of the underlying asset to us at the end of the lease term in 2020. The lease has no remaining expense obligation. There were no financing lease payments in the three months ended March 31, 2021.</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For the 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58"/>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Finance lease cost:</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vMerge w:val="restart"/>
          </w:tcPr>
          <w:p>
            <w:pPr>
              <w:jc w:val="right"/>
              <w:ind w:right="13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Right of use assets acquired under operating leases:</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As of 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excluding Seattle office lease</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Seattle office lease, including amendment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leases</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3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Lease payments: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For the 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long-term portion of the lease liabilities included in the amounts above is $2.1 million and the remainder of our lease liabilities are included in other current liabilities on our condensed consolidated balance sheets.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2021, the weighted average remaining lease term and weighted average discount rate for operating leases was 2.05 years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14.50%. As of March 31, 2020, the weighted average remaining lease term and weighted average discount rate for operating leases was 3.02 years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14.55%.</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Net Income (Loss) per Share</w:t>
      </w:r>
    </w:p>
    <w:p>
      <w:pPr>
        <w:spacing w:after="0" w:line="121" w:lineRule="exact"/>
        <w:rPr>
          <w:sz w:val="20"/>
          <w:szCs w:val="20"/>
          <w:color w:val="auto"/>
        </w:rPr>
      </w:pPr>
    </w:p>
    <w:p>
      <w:pPr>
        <w:jc w:val="both"/>
        <w:ind w:right="20" w:firstLine="510"/>
        <w:spacing w:after="0" w:line="279" w:lineRule="auto"/>
        <w:rPr>
          <w:sz w:val="20"/>
          <w:szCs w:val="20"/>
          <w:color w:val="auto"/>
        </w:rPr>
      </w:pPr>
      <w:r>
        <w:rPr>
          <w:rFonts w:ascii="Arial" w:cs="Arial" w:eastAsia="Arial" w:hAnsi="Arial"/>
          <w:sz w:val="17"/>
          <w:szCs w:val="17"/>
          <w:color w:val="auto"/>
        </w:rPr>
        <w:t>Basic net income (loss) per share is calculated by dividing the net income (loss) by the weighted average number of common shares outstanding for the period. Diluted net income (loss) per share is computed by dividing the net income (loss) by the weighted 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spacing w:after="0" w:line="63"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We utilize the control number concept in the computation of diluted earnings per share to determine whether potential common stock instruments are dilutive. The control number used is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computation of basic and diluted net income (loss) per share (in thousands, except share and per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 March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78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2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w:t>
            </w:r>
          </w:p>
        </w:tc>
        <w:tc>
          <w:tcPr>
            <w:tcW w:w="2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12,898</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(7,256)</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(loss) per share:</w:t>
            </w:r>
          </w:p>
        </w:tc>
        <w:tc>
          <w:tcPr>
            <w:tcW w:w="2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from continuing operations</w:t>
            </w:r>
          </w:p>
        </w:tc>
        <w:tc>
          <w:tcPr>
            <w:tcW w:w="2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2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income per basic share</w:t>
            </w:r>
          </w:p>
        </w:tc>
        <w:tc>
          <w:tcPr>
            <w:tcW w:w="2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0"/>
              </w:rPr>
              <w:t>Weighted-average shares used to compute per share calculations</w:t>
            </w:r>
          </w:p>
        </w:tc>
        <w:tc>
          <w:tcPr>
            <w:tcW w:w="2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4,418,472</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3,270,089</w:t>
            </w: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140" w:type="dxa"/>
            <w:vAlign w:val="bottom"/>
            <w:vMerge w:val="restart"/>
          </w:tcPr>
          <w:p>
            <w:pPr>
              <w:jc w:val="right"/>
              <w:ind w:right="169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13" w:name="page14"/>
    <w:bookmarkEnd w:id="13"/>
    <w:p>
      <w:pPr>
        <w:jc w:val="both"/>
        <w:ind w:firstLine="510"/>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4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6960" w:type="dxa"/>
            <w:vAlign w:val="bottom"/>
            <w:gridSpan w:val="2"/>
            <w:vMerge w:val="continue"/>
          </w:tcPr>
          <w:p>
            <w:pPr>
              <w:spacing w:after="0"/>
              <w:rPr>
                <w:sz w:val="13"/>
                <w:szCs w:val="13"/>
                <w:color w:val="auto"/>
              </w:rPr>
            </w:pPr>
          </w:p>
        </w:tc>
        <w:tc>
          <w:tcPr>
            <w:tcW w:w="1400" w:type="dxa"/>
            <w:vAlign w:val="bottom"/>
            <w:tcBorders>
              <w:top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Outstanding options to purchase common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Equity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3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On December 14, 2020, we entered into an Equity Distribution Agreement (the Equity Distribution Agreement) with Piper Sandler. The Equity Distribution Agreement provides that, upon the terms and subject to the conditions set forth therein, we may issue and sell through Piper Sandler, acting as sales agent, shares of our common stock, $0.001 par value per share having an aggregate offering price of up to $50.0 million. This offering supersedes and replaces the program we commenced in December 2017. We have no obligation to sell any such shares under the Equity Distribution Agreement. The sale of such shares of common stock by Piper Sandler will be effected pursuant to a Registration Statement on Form S-3 which we filed on December 14, 2020. We did not issue any shares under the Equity Distribution Agreement in the first quarter of 2021.</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On December 20, 2018, we entered into the Purchase Agreement, and a registration rights agreement, with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 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Rights Plan</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On November 8, 2020, our Board of Directors (Board) approved and adopted a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When exercisable, each right initially would represent the right to purchase from the Company one one-thousandth of a share of a newly-designated series of preferred stock, Series A Junior Participating Preferred Stock, par value $0.001 per share, of the Company, at an exercise price of $400.00 per one one-thousandth of a Series A Junior Participating Preferred Share, subject to adjustment. Subject to various exceptions, the Rights become exercisable in the event any person (excluding certain exempted or grandfathered persons) becomes the beneficial owner of ten percent (10%) or more of the Company’s common stock without the approval of the Board.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A total of 0.1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0.2 million shares of Aptevo common stock have been authorized for issuance under the 2016 SIP in the form of equity stock options.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 w:name="page15"/>
    <w:bookmarkEnd w:id="14"/>
    <w:p>
      <w:pPr>
        <w:jc w:val="both"/>
        <w:ind w:right="20" w:firstLine="510"/>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63"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62"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0.1 million shares of Aptevo common stock. The Restated 2016 Plan was previously approved, subject to stockholder approval, by the Board of Directors of the Company.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right="20" w:firstLine="510"/>
        <w:spacing w:after="0" w:line="270" w:lineRule="auto"/>
        <w:rPr>
          <w:sz w:val="20"/>
          <w:szCs w:val="20"/>
          <w:color w:val="auto"/>
        </w:rPr>
      </w:pPr>
      <w:r>
        <w:rPr>
          <w:rFonts w:ascii="Arial" w:cs="Arial" w:eastAsia="Arial" w:hAnsi="Arial"/>
          <w:sz w:val="17"/>
          <w:szCs w:val="17"/>
          <w:color w:val="auto"/>
        </w:rPr>
        <w:t>On June 1, 2018, at the 2018 Annual Meeting of the Shareholders, the Company’s stockholders approved a new 2018 Stock Incentive Plan (2018 SIP), which replaced the Restated 2016 Plan on a go-forward basis. All stock options, RSUs or other equity awards granted subsequent to June 1, 2018 have been and will be issued out of the 2018 SIP, which has 0.3 million shares of Aptevo common stock authorized for issuance. The 2018 Plan became effective immediately upon stockholder approval at the 2018 Annual Meeting of the Shareholders.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 As of March 31, 2021, there are 0.1 million shares available to be granted under the 2018 SIP.</w:t>
      </w:r>
    </w:p>
    <w:p>
      <w:pPr>
        <w:spacing w:after="0" w:line="73" w:lineRule="exact"/>
        <w:rPr>
          <w:sz w:val="20"/>
          <w:szCs w:val="20"/>
          <w:color w:val="auto"/>
        </w:rPr>
      </w:pPr>
    </w:p>
    <w:p>
      <w:pPr>
        <w:jc w:val="both"/>
        <w:ind w:right="20" w:firstLine="510"/>
        <w:spacing w:after="0" w:line="279" w:lineRule="auto"/>
        <w:rPr>
          <w:sz w:val="20"/>
          <w:szCs w:val="20"/>
          <w:color w:val="auto"/>
        </w:rPr>
      </w:pPr>
      <w:r>
        <w:rPr>
          <w:rFonts w:ascii="Arial" w:cs="Arial" w:eastAsia="Arial" w:hAnsi="Arial"/>
          <w:sz w:val="17"/>
          <w:szCs w:val="17"/>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condensed consolidated statements of operations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5"/>
        </w:trPr>
        <w:tc>
          <w:tcPr>
            <w:tcW w:w="68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4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Three Months Ended March 31,</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640" w:type="dxa"/>
            <w:vAlign w:val="bottom"/>
            <w:tcBorders>
              <w:bottom w:val="single" w:sz="8" w:color="CFF0FC"/>
            </w:tcBorders>
          </w:tcPr>
          <w:p>
            <w:pPr>
              <w:spacing w:after="0"/>
              <w:rPr>
                <w:sz w:val="13"/>
                <w:szCs w:val="13"/>
                <w:color w:val="auto"/>
              </w:rPr>
            </w:pPr>
          </w:p>
        </w:tc>
        <w:tc>
          <w:tcPr>
            <w:tcW w:w="3320" w:type="dxa"/>
            <w:vAlign w:val="bottom"/>
            <w:tcBorders>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32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Expected volatility</w:t>
            </w:r>
          </w:p>
        </w:tc>
        <w:tc>
          <w:tcPr>
            <w:tcW w:w="4720" w:type="dxa"/>
            <w:vAlign w:val="bottom"/>
            <w:gridSpan w:val="2"/>
          </w:tcPr>
          <w:p>
            <w:pPr>
              <w:jc w:val="center"/>
              <w:ind w:left="3210"/>
              <w:spacing w:after="0"/>
              <w:rPr>
                <w:sz w:val="20"/>
                <w:szCs w:val="20"/>
                <w:color w:val="auto"/>
              </w:rPr>
            </w:pPr>
            <w:r>
              <w:rPr>
                <w:rFonts w:ascii="Arial" w:cs="Arial" w:eastAsia="Arial" w:hAnsi="Arial"/>
                <w:sz w:val="18"/>
                <w:szCs w:val="18"/>
                <w:color w:val="auto"/>
                <w:w w:val="88"/>
              </w:rPr>
              <w:t>99.80%</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83.64%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720" w:type="dxa"/>
            <w:vAlign w:val="bottom"/>
            <w:gridSpan w:val="2"/>
            <w:shd w:val="clear" w:color="auto" w:fill="CFF0FC"/>
          </w:tcPr>
          <w:p>
            <w:pPr>
              <w:jc w:val="center"/>
              <w:ind w:left="3210"/>
              <w:spacing w:after="0"/>
              <w:rPr>
                <w:sz w:val="20"/>
                <w:szCs w:val="20"/>
                <w:color w:val="auto"/>
              </w:rPr>
            </w:pPr>
            <w:r>
              <w:rPr>
                <w:rFonts w:ascii="Arial" w:cs="Arial" w:eastAsia="Arial" w:hAnsi="Arial"/>
                <w:sz w:val="18"/>
                <w:szCs w:val="18"/>
                <w:color w:val="auto"/>
                <w:w w:val="90"/>
              </w:rPr>
              <w:t>0.48%</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3320" w:type="dxa"/>
            <w:vAlign w:val="bottom"/>
          </w:tcPr>
          <w:p>
            <w:pPr>
              <w:spacing w:after="0"/>
              <w:rPr>
                <w:sz w:val="20"/>
                <w:szCs w:val="20"/>
                <w:color w:val="auto"/>
              </w:rPr>
            </w:pP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5 years</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5 years</w:t>
            </w:r>
          </w:p>
        </w:tc>
        <w:tc>
          <w:tcPr>
            <w:tcW w:w="58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20" w:type="dxa"/>
            <w:vAlign w:val="bottom"/>
          </w:tcPr>
          <w:p>
            <w:pPr>
              <w:jc w:val="right"/>
              <w:ind w:right="1730"/>
              <w:spacing w:after="0"/>
              <w:rPr>
                <w:sz w:val="20"/>
                <w:szCs w:val="20"/>
                <w:color w:val="auto"/>
              </w:rPr>
            </w:pPr>
            <w:r>
              <w:rPr>
                <w:rFonts w:ascii="Arial" w:cs="Arial" w:eastAsia="Arial" w:hAnsi="Arial"/>
                <w:sz w:val="18"/>
                <w:szCs w:val="18"/>
                <w:color w:val="auto"/>
              </w:rPr>
              <w:t>15</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5" w:name="page16"/>
    <w:bookmarkEnd w:id="15"/>
    <w:p>
      <w:pPr>
        <w:jc w:val="both"/>
        <w:ind w:firstLine="510"/>
        <w:spacing w:after="0" w:line="263" w:lineRule="auto"/>
        <w:rPr>
          <w:sz w:val="20"/>
          <w:szCs w:val="20"/>
          <w:color w:val="auto"/>
        </w:rPr>
      </w:pPr>
      <w:r>
        <w:rPr>
          <w:rFonts w:ascii="Arial" w:cs="Arial" w:eastAsia="Arial" w:hAnsi="Arial"/>
          <w:sz w:val="18"/>
          <w:szCs w:val="18"/>
          <w:color w:val="auto"/>
        </w:rPr>
        <w:t>Management has applied an estimated forfeiture rate of 26% for the three months ended March 31, 2021 and 8% for the three months ended March 31, 2020. Expected volatility increased, as our stock price fluctuated from a low of $27.86 to a high of $40.59 for the three months ended March 31, 2021, compared to a low of $3.29 and high of $9.73 for the three months ended March 31, 2020.</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three months ended March 31,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Remaining Term</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212,581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5,906,007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159,468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33.52</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(15,146)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4,340,583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March 31, 2021</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March 31, 2021, we had $4.6 million of unrecognized compensation expense related to options expected to vest over a weighted average period of 2.6 years. The weighted average remaining contractual life of outstanding and exercisable options is 8.8 years.</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Aptevo’s common stock on the last trading day of March 2021 and the exercise price, multiplied by the number of in the money options) that would have been received by the option holders had all the option holders exercised their options on the last trading day of the quarter.</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three months ended March 31,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Value per Unit</w:t>
            </w: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Granted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1,767,829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61,771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Expected to Vest</w:t>
            </w: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there was $2.0 million unrecognized stock-based compensation expense related to unvested RSUs.</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stock on the date of grant as quoted on the Nasdaq Capital Market.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have a ten-year life and would have expired on March 11, 2029; however, all of the pre-funded warrants were exercised in March 2019. We determined the warrants do not meet liability classification pursuant to ASC 480 – Distinguishing Liabilities from Equity. These are therefore included within equity on our condensed consolidated balance sheet. As of March 31, 2021, there were warrants to purchase 376,866 shares of common stock outstanding.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captioned “Cautionary Note Regarding Forward-Looking Statements,” “Risk Factors” and elsewhere. As a result, our actual results may differ materially from those anticipated in these forward-looking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 clinical-stage, research and development biotechnology company focused on developing novel immunotherapeutic candidates for the treatment of different forms of cancer. We have developed two versatile and enabling platform technologies for rational design of precision immune modulatory drugs. Our lead clinical candidate, APVO436, and preclinical candidates, ALG.APV-527 and APVO603, were developed using our ADAPTIR™ modular protein technology platform. Our preclinical candidate APVO442, was developed using our ADAPTIR-FLEX™ modular protein technology platform.</w:t>
      </w:r>
    </w:p>
    <w:p>
      <w:pPr>
        <w:spacing w:after="0" w:line="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versatile and robust ADAPTIR and ADAPTIR-FLEX platforms are designed to generate monospecific, bispecific, and multispecific antibody candidates that are capable of enhancing the human immune system against cancer cells. ADAPTIR and ADAPTIR-FLEX are both modular platforms, which gives us the flexibility to generate immunotherapeutic candidates with a variety of mechanisms of action. This flexibility in design allows us to potentially generate novel therapeutic candidates that may provide the foundation for the establishment of effective strategies against difficult to treat, as well as advanced forms of cancer. We have successfully designed and constructed numerous investigational-stage prototype product candidates based on our ADAPTIR and ADAPTIR FLEX platforms.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are designed to engage immune effector cells and disease targets in a novel manner to produce unique signaling responses and ultimately kill tumors or modulate the immune system to kill tumors. The ADAPTIR FLEX platform technology is designed to generate bispecific and multispecific immunotherapeutic proteins and uses heterodimer technology so that two or more targets can be engaged simultaneously.</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skilled at candidate generation, validation, and subsequent preclinical and clinical development using the ADAPTIR platform and have added the ADAPTIR-FLEX platform to generate multispecific candidates or other candidates to our platform capabilities. We have developed preclinical candidates based on the ADAPTIR-FLEX platform which are advancing in our pipeline. We are developing our ADAPTIR and ADAPTIR-FLEX molecules by way of our protein engineering, preclinical development, process development, and clinical development capabilities.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w:t>
      </w:r>
    </w:p>
    <w:p>
      <w:pPr>
        <w:spacing w:after="0" w:line="121" w:lineRule="exact"/>
        <w:rPr>
          <w:sz w:val="20"/>
          <w:szCs w:val="20"/>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enrollment in a dose escalation Phase 1/1b open-label clinical study of APVO436 in patients with Acute Myeloid Leukemia (AML) and High-Grade Myelodysplastic Syndrome; dosing in Cohort 10 ongoing</w:t>
      </w:r>
    </w:p>
    <w:p>
      <w:pPr>
        <w:spacing w:after="0" w:line="62" w:lineRule="exact"/>
        <w:rPr>
          <w:rFonts w:ascii="Arial" w:cs="Arial" w:eastAsia="Arial" w:hAnsi="Arial"/>
          <w:sz w:val="18"/>
          <w:szCs w:val="18"/>
          <w:color w:val="auto"/>
        </w:rPr>
      </w:pPr>
    </w:p>
    <w:p>
      <w:pPr>
        <w:jc w:val="both"/>
        <w:ind w:left="1000" w:hanging="493"/>
        <w:spacing w:after="0" w:line="30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Entered into a royalty purchase agreement (Royalty Purchase Agreement) with an entity managed by HealthCare Royalty Management LLC (HCR) pursuant to which the Company sold to HCR the right to receive all royalty payments made by Pfizer Inc. (Pfizer) in respect of net sales of RUXIENCE. Under the terms of the Royalty Purchase Agreement, we received $35 million at closing and we are eligible to receive additional payments in aggregate of up to an additional $32.5 million based on the achievement of sales milestones in 2021, 2022, and 2023</w:t>
      </w:r>
    </w:p>
    <w:p>
      <w:pPr>
        <w:spacing w:after="0" w:line="49"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Partially repaid and amended our $25 million term debt facility with MidCap Financial using $10 million of the proceeds from the Royalty Purchase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firstLine="514"/>
        <w:spacing w:after="0" w:line="271" w:lineRule="auto"/>
        <w:rPr>
          <w:sz w:val="20"/>
          <w:szCs w:val="20"/>
          <w:color w:val="auto"/>
        </w:rPr>
      </w:pPr>
      <w:r>
        <w:rPr>
          <w:rFonts w:ascii="Arial" w:cs="Arial" w:eastAsia="Arial" w:hAnsi="Arial"/>
          <w:sz w:val="17"/>
          <w:szCs w:val="17"/>
          <w:color w:val="auto"/>
        </w:rPr>
        <w:t>On November 6, 2020, Tang Capital Partners LP, Tang Capital Management, LLC and Kevin Tang (collectively, “Tang”) jointly filed a statement on Schedule 13D to report that Tang had purchased 1,760,000 shares of our common stock, representing approximately 54% of our issued and outstanding shares of common stock as of the date of filing such Schedule 13D. As of the date of this Quarterly Report on Form 10-Q, Tang has subsequently been diluted to a 39.6% beneficial ownership position, primarily through the exercise of certain warrants that were issued and outstanding prior to Tang acquiring its ownership position in Aptevo. Further, on February 9, 2021, Tang announced its intention to nominate two candidates for election to our board of directors at our 2021 annual meeting of stockholders and submitted an advisory stockholder proposal for consideration at our 2021 annual meeting to commence a process to sell Aptevo to the highest bidder. We have incurred and may continue to incur additional expenses by retaining the services of various professionals to advise us on responding to these matters.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Except as otherwise stated below, the following discussions of our results of operations reflect the results of our continuing operations, excluding the results related to Aptevo BioTherapeutics LLC (Aptevo BioTherapeutics), which has been separated from continuing operations and reflected as a discontinued operation. See Note 2 – Discontinued Operations to the accompanying financial statements for additional information.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Comparison of the three months ended March 31, 2021 and March 31, 2020</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Royalty Revenue</w:t>
      </w:r>
    </w:p>
    <w:p>
      <w:pPr>
        <w:spacing w:after="0" w:line="121" w:lineRule="exact"/>
        <w:rPr>
          <w:sz w:val="20"/>
          <w:szCs w:val="20"/>
          <w:color w:val="auto"/>
        </w:rPr>
      </w:pPr>
    </w:p>
    <w:p>
      <w:pPr>
        <w:jc w:val="both"/>
        <w:ind w:right="20" w:firstLine="510"/>
        <w:spacing w:after="0" w:line="269" w:lineRule="auto"/>
        <w:rPr>
          <w:sz w:val="20"/>
          <w:szCs w:val="20"/>
          <w:color w:val="auto"/>
        </w:rPr>
      </w:pPr>
      <w:r>
        <w:rPr>
          <w:rFonts w:ascii="Arial" w:cs="Arial" w:eastAsia="Arial" w:hAnsi="Arial"/>
          <w:sz w:val="17"/>
          <w:szCs w:val="17"/>
          <w:color w:val="auto"/>
        </w:rPr>
        <w:t>We recorded royalty revenue of $2.4 million for the three months ended March 31, 2021. This increase is related to a 2.5% royalty we are entitled to receive from Pfizer related to global net sales of RUXIENCE (rituximab biosimilar), which was approved by the United States Federal Drug Administration in July 2019 and launched by Pfizer in early 2020. The payment from Pfizer relates to an agreement acquired by Aptevo as part of our spin-off from Emergent in 2016. The agreement was originally executed by Trubion Pharmaceuticals, which was subsequently acquired by Emergent, and Wyeth, a wholly-own subsidiary of Pfizer. The royalty term runs through January 2027, which is the seventh anniversary of the first commercial sale of the CD20 biosimilar. On March 30, 2021, we entered into the Royalty Purchase Agreement pursuant to which we sold to HCR the right to receive all royalty payments made by Pfizer in respect of net sales of RUXIENCE. We maintain our rights under the Definitive Agreement originally between Trubion and Wyeth, with the exception of the cash flows of the RUXIENCE royalty payments purchased by HCR. Due to our continuing involvement under the Definitive Agreement originally between Trubion and Wyeth, we continue to recognize royalty revenue on net sales of RUXIENCE and record the royalty payments to HCR as a reduction of the liability when paid. As such payments are made to HCR, the balance of the liability will be effectively repaid over the life of the Royalty Purchase Agreement. To the extent total future royalties collected are an amount less than the liability, the Company is not obligated to fund any such shortfall.</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We expense research and development costs as incurred. These expenses consist primarily of the costs associated with our research and discovery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primarily consist of:</w:t>
      </w:r>
    </w:p>
    <w:p>
      <w:pPr>
        <w:spacing w:after="0" w:line="80" w:lineRule="exact"/>
        <w:rPr>
          <w:sz w:val="20"/>
          <w:szCs w:val="20"/>
          <w:color w:val="auto"/>
        </w:rPr>
      </w:pPr>
    </w:p>
    <w:p>
      <w:pPr>
        <w:ind w:left="1000" w:right="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117" w:lineRule="exact"/>
        <w:rPr>
          <w:sz w:val="20"/>
          <w:szCs w:val="20"/>
          <w:color w:val="auto"/>
        </w:rPr>
      </w:pPr>
    </w:p>
    <w:p>
      <w:pPr>
        <w:jc w:val="both"/>
        <w:ind w:right="20" w:firstLine="510"/>
        <w:spacing w:after="0" w:line="293" w:lineRule="auto"/>
        <w:rPr>
          <w:sz w:val="20"/>
          <w:szCs w:val="20"/>
          <w:color w:val="auto"/>
        </w:rPr>
      </w:pPr>
      <w:r>
        <w:rPr>
          <w:rFonts w:ascii="Arial" w:cs="Arial" w:eastAsia="Arial" w:hAnsi="Arial"/>
          <w:sz w:val="16"/>
          <w:szCs w:val="16"/>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patient enrollment and clinical trial site monitoring, and key non-clinical activities due to COVID-19.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research and development expenses by program for the three months ended March 31, 2021 and 2020 are shown in the following table: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March 31,</w:t>
            </w:r>
          </w:p>
        </w:tc>
        <w:tc>
          <w:tcPr>
            <w:tcW w:w="300" w:type="dxa"/>
            <w:vAlign w:val="bottom"/>
          </w:tcPr>
          <w:p>
            <w:pPr>
              <w:spacing w:after="0"/>
              <w:rPr>
                <w:sz w:val="14"/>
                <w:szCs w:val="14"/>
                <w:color w:val="auto"/>
              </w:rPr>
            </w:pP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8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APVO436</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1,481</w:t>
            </w:r>
          </w:p>
        </w:tc>
        <w:tc>
          <w:tcPr>
            <w:tcW w:w="5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976</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clinical programs</w:t>
            </w: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Preclinical program, general research and discovery</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center"/>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4,006</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18</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8" w:name="page19"/>
    <w:bookmarkEnd w:id="18"/>
    <w:p>
      <w:pPr>
        <w:jc w:val="both"/>
        <w:ind w:firstLine="510"/>
        <w:spacing w:after="0" w:line="263" w:lineRule="auto"/>
        <w:rPr>
          <w:sz w:val="20"/>
          <w:szCs w:val="20"/>
          <w:color w:val="auto"/>
        </w:rPr>
      </w:pPr>
      <w:r>
        <w:rPr>
          <w:rFonts w:ascii="Arial" w:cs="Arial" w:eastAsia="Arial" w:hAnsi="Arial"/>
          <w:sz w:val="18"/>
          <w:szCs w:val="18"/>
          <w:color w:val="auto"/>
        </w:rPr>
        <w:t>Research and development expenses increased by $1.4 million, to $5.4 million for the three months ended March 31, 2021 from $4.0 million for the three months ended March 31, 2020. Research and development expenses increased as we continue to invest in the APVO436 clinical trial and our preclinical candidates, including ALG.APV-527, APVO603 and APVO442.</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76"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For the three months ended March 31, 2021, general and administrative expenses increased by $0.3 million, to $3.9 million from $3.6 million for March 31, 2020. This increase was primarily due to higher costs for professional services, including costs related to shareholder activism.</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Other expense, net consists primarily of gains or losses realized on foreign currency revaluation, costs related to debt extinguishment, accrued exit fees on debt, and interest on debt. Other expense, net was $0.8 million for the three months ended March 31, 2021 and $2.4 million for the three months ended March 31, 2020. A slight increase in interest expense this quarter was offset by a significant decrease due to a loss on extinguishment of debt of $2.1 million recognized in the first quarter of 2020 when we repaid our previous loan to Midcap Financial using the proceeds from the sale of Aptevo BioTherapeutics LLC.</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accompanying condensed consolidated financial statements include discontinued operations from two separate transactions: the sale of hyperimmune business to Saol International Limited in September 2017, from which we received a payment in 2021 related to the collection of a certain accounts receivable, and the sale of Aptevo BioTherapeutics in 2020.</w:t>
      </w:r>
    </w:p>
    <w:p>
      <w:pPr>
        <w:spacing w:after="0" w:line="76"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following table represents the components attributable to income from discontinued operations in the condensed consolidated statements of operations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240" w:type="dxa"/>
            <w:vAlign w:val="bottom"/>
            <w:gridSpan w:val="6"/>
          </w:tcPr>
          <w:p>
            <w:pPr>
              <w:ind w:left="32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5"/>
        </w:trPr>
        <w:tc>
          <w:tcPr>
            <w:tcW w:w="68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 - Aptevo BioTherapeutics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Gain on sale of Aptevo BioTherapeutics</w:t>
            </w:r>
          </w:p>
        </w:tc>
        <w:tc>
          <w:tcPr>
            <w:tcW w:w="96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14,338</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Estimated deferred payment from Medexus</w:t>
            </w: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Payment from Saol</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Deferred payment from Medexus</w:t>
            </w: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12,898</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Income from discontinued operations was $0.4 million for the three months ended March 31, 2021 and $12.9 million for the three months ended March 31, 2020. For the three months ended March 31, 2021, we collected $0.2 million related to the sale of the hyperimmune business to Saol as a result of the collection of certain accounts receivable and a deferred payment of $0.2 million received from Medexus in March 2021 related to fourth quarter 2020 IXINITY sales. For the three months ended March 31, 2020, we recognized net income from discontinued operations totaling $12.9 million. This included the gain on the sale of Aptevo BioTherapeutics of $14.3 million and net operating losses from Aptevo BioTherapeutics of $1.6 million related to the period prior to the sale on February 28, 2020.</w:t>
      </w:r>
    </w:p>
    <w:p>
      <w:pPr>
        <w:spacing w:after="0" w:line="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Medexus communicated their first quarter 2021 net IXINITY sales to Aptevo in April and expects to make a deferred payment, within 45 days after quarter-end per the LLC Purchase Agreement, to Aptevo of approximately $0.1 million. As such, we will record the deferred payment amount related to Medexus’ first quarter sales of IXINITY as a gain when collected.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 for discussion of our accounting policies, significant judgments, and estimates.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three months ended March 31, </w:t>
      </w:r>
      <w:r>
        <w:rPr>
          <w:rFonts w:ascii="Arial" w:cs="Arial" w:eastAsia="Arial" w:hAnsi="Arial"/>
          <w:sz w:val="18"/>
          <w:szCs w:val="18"/>
          <w:color w:val="231F20"/>
        </w:rPr>
        <w:t>2021 and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For the</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Operating activities</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(7,504)</w:t>
            </w:r>
          </w:p>
        </w:tc>
        <w:tc>
          <w:tcPr>
            <w:tcW w:w="68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(11,175)</w:t>
            </w: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23,942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(22,104)</w:t>
            </w: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Net cash used in operating activities of $7.5 million for the three months ended March 31, 2021 was primarily due to our net loss of $7.3 million and changes in working capital accounts. Net cash used in operating activities of $11.2 million for the three months ended March 31, 2020 was primarily due to our net income of $2.9 million, gain on sale of Aptevo BioTherapeutics of $14.3 million, and changes in working capital accounts.</w:t>
      </w:r>
    </w:p>
    <w:p>
      <w:pPr>
        <w:spacing w:after="0" w:line="5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cash used in investing activities for the three months ended March 31, 2021, was due to purchases of property and equipment. For the three months ended March 31, 2020, net cash provided by investing activities was due to the cash received from the sale of Aptevo BioTherapeutics, net of transaction fees.</w:t>
      </w:r>
    </w:p>
    <w:p>
      <w:pPr>
        <w:spacing w:after="0" w:line="7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2021 is primarily due to the $35.0 million received from The Royalty Purchase Agreement, offset by the $10.5 million repayment of the MidCap Financial term loan. Net cash used in financing activities for the three months ended March 31, 2020 is primarily due to the $22.1 million repayment of long-term debt.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On December 14, 2020, we entered into an Equity Distribution Agreement with Piper Sandler &amp; Co (Piper Sandler). The Equity Distribution Agreement provides that, upon the terms and subject to the conditions set forth therein, we may issue and sell through Piper Sandler, acting as sales agent, shares of our common stock having an aggregate offering price of up to $50 million. We have no obligation to sell any such shares under the Equity Distribution Agreement. The sale of the shares of our common stock by Piper Sandler, if any, will be effected pursuant to a Registration Statement on Form S-3 which we filed on December 14, 2020. We did not issue any shares under the Equity Distribution Agreement in the first quarter of 2021.</w:t>
      </w:r>
    </w:p>
    <w:p>
      <w:pPr>
        <w:spacing w:after="0" w:line="53"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Sandler upon notice to the other party.</w:t>
      </w:r>
    </w:p>
    <w:p>
      <w:pPr>
        <w:spacing w:after="0" w:line="38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Registration Statement</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previously filed a registration statement with the Securities and Exchange Commission on November 13, 2017, amended on December 6, 2017 and declared effective on December 15, 2017 (the Prior Registration Statement). The Prior Registration Statement registered the offer and sale of an indeterminate number of shares of common stock and preferred stock, an indeterminate principal amount of debt securities and an indeterminate number of warrants to purchase common stock, preferred stock, and various series of debt securities and/or warrants to purchase any of such securities, having an aggregate initial offering price of $150 million, of which an aggregate of $127.8 million remained unsold as of the December 14, 2020. On December 14, 2020, we filed a new registration statement covering the offering, issuance, and sale up to $200 million in common stock, preferred stock, and various series of debt securities and/or warrants to purchase any of such securities, which included the unsold securities from the Prior Registration Statement.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3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On December 20, 2018, we entered into a purchase agreement, and a registration rights agreement with Lincoln Park Financial LLC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both"/>
        <w:ind w:firstLine="510"/>
        <w:spacing w:after="0" w:line="273" w:lineRule="auto"/>
        <w:rPr>
          <w:sz w:val="20"/>
          <w:szCs w:val="20"/>
          <w:color w:val="auto"/>
        </w:rPr>
      </w:pPr>
      <w:r>
        <w:rPr>
          <w:rFonts w:ascii="Arial" w:cs="Arial" w:eastAsia="Arial" w:hAnsi="Arial"/>
          <w:sz w:val="17"/>
          <w:szCs w:val="17"/>
          <w:color w:val="auto"/>
        </w:rPr>
        <w:t>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 We have not sold any shares under the purchase agreement through the three months ended March 31, 2021 and 2020.</w:t>
      </w:r>
    </w:p>
    <w:p>
      <w:pPr>
        <w:spacing w:after="0" w:line="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11, 2019, we completed a public offering of common stock and warrants, as follows:</w:t>
      </w:r>
    </w:p>
    <w:p>
      <w:pPr>
        <w:spacing w:after="0" w:line="117" w:lineRule="exact"/>
        <w:rPr>
          <w:sz w:val="20"/>
          <w:szCs w:val="20"/>
          <w:color w:val="auto"/>
        </w:rPr>
      </w:pPr>
    </w:p>
    <w:p>
      <w:pPr>
        <w:ind w:left="1000" w:hanging="493"/>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a combined public offering price of $14.00 per share of common stock and related warrants, 1,417,857 shares of common stock and related warrants with a 5-year life to purchase up to 1,417,857 shares of common stock at an exercise price of $18.20 per share,</w:t>
      </w:r>
    </w:p>
    <w:p>
      <w:pPr>
        <w:spacing w:after="0" w:line="51" w:lineRule="exact"/>
        <w:rPr>
          <w:rFonts w:ascii="Arial" w:cs="Arial" w:eastAsia="Arial" w:hAnsi="Arial"/>
          <w:sz w:val="17"/>
          <w:szCs w:val="17"/>
          <w:color w:val="auto"/>
        </w:rPr>
      </w:pPr>
    </w:p>
    <w:p>
      <w:pPr>
        <w:jc w:val="both"/>
        <w:ind w:left="1000" w:hanging="493"/>
        <w:spacing w:after="0" w:line="311"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a combined public offering price of $13.86 per pre-funded warrant and related warrant, pre-funded warrants with a 10-year life to purchase up to 153,571 shares of common stock at an exercise price of $0.14 per share and related warrants with a 5-year life to purchase up to 153,571 shares of common stock at an exercise price of $18.20 per share. These pre-funded warrants were exercised on March 21, 2019.</w:t>
      </w:r>
    </w:p>
    <w:p>
      <w:pPr>
        <w:spacing w:after="0" w:line="4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the three months ended March 31, 2021, certain of the holders of our warrants exercised warrants with a strike price of $18.20 per share, resulting in the issuance of 27,828 shares of our common stock and aggregate proceeds to the Company of approximately $0.5 million. As of March 31, 2021, there were warrants to purchase 376,866 shares of our common stock outstanding.</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have financed our operations to date primarily through revenue generated from our commercial products, the Royalty Purchase Agreement with HCR, royalty payments from Pfizer, deferred payments from Medexus, the sale of our hyperimmune products business in September 2017, the sale of Aptevo BioTherapeutics on February 28, 2020, public offerings of our common stock, loan proceeds, milestone payments, research and development funding from strategic partners, and funds received at the date of our spin-off from Emergent. We had a net loss of $7.3 million and net income of $2.9 million for the three months ended March 31, 2021 and March 31, 2020, respectively. We had cash and cash equivalents of $57.5 million, restricted cash of $1.3 million and an accumulated deficit of $192.9 million as of March 31, 2021.</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2021, net cash used in our operating activities was $7.5 million.</w:t>
      </w:r>
    </w:p>
    <w:p>
      <w:pPr>
        <w:spacing w:after="0" w:line="117"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58"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Due to COVID-19, we may experience delays in opportunities to partner our product candidates, due to financial and other impacts on potential partners. Additionally, we may experience potential impacts on our future deferred payments and milestones from Medexus due to effects of the COVID-19 pandemic, which may impact Medexus’ ability to continue to successfully commercialize the IXINITY businesses. Additionally, we may experience potential impacts on our future milestones, which are based on global net sales of RUXEIENCE, from HCR due to the effects of the COVID-19 pandemic, which may impact Pfizer’s ability to continue to successfully commercialize the RUXIENCE business. We believe that our existing cash resources, the Investment Amount from the Royalty Purchase Agreement with HCR, the cash to be generated from future IXINITY deferred payments, access to cash under the Purchase Agreement with Lincoln Park, release of restricted cash securing letters of credit, and funds available to us from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t>the remaining principal balance of the credit agreement with Midcap Financial, will be sufficient to meet our projected operating requirements and debt service for at least twelve months from the date of this filing of this Quarterly Report on Form 10-Q.</w:t>
      </w:r>
    </w:p>
    <w:p>
      <w:pPr>
        <w:spacing w:after="0" w:line="62"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38"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88" w:lineRule="exact"/>
        <w:rPr>
          <w:rFonts w:ascii="Arial" w:cs="Arial" w:eastAsia="Arial" w:hAnsi="Arial"/>
          <w:sz w:val="17"/>
          <w:szCs w:val="17"/>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of conducting preclinical and clinical trials;</w:t>
      </w:r>
    </w:p>
    <w:p>
      <w:pPr>
        <w:spacing w:after="0" w:line="99" w:lineRule="exact"/>
        <w:rPr>
          <w:rFonts w:ascii="Arial" w:cs="Arial" w:eastAsia="Arial" w:hAnsi="Arial"/>
          <w:sz w:val="16"/>
          <w:szCs w:val="16"/>
          <w:color w:val="auto"/>
        </w:rPr>
      </w:pPr>
    </w:p>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timing of, and the costs involved in, completing our clinical trials, and obtaining regulatory approvals for our product candidates;</w:t>
      </w:r>
    </w:p>
    <w:p>
      <w:pPr>
        <w:spacing w:after="0" w:line="88" w:lineRule="exact"/>
        <w:rPr>
          <w:rFonts w:ascii="Arial" w:cs="Arial" w:eastAsia="Arial" w:hAnsi="Arial"/>
          <w:sz w:val="17"/>
          <w:szCs w:val="17"/>
          <w:color w:val="auto"/>
        </w:rPr>
      </w:pPr>
    </w:p>
    <w:p>
      <w:pPr>
        <w:ind w:left="1000" w:hanging="493"/>
        <w:spacing w:after="0" w:line="27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1" w:lineRule="exact"/>
        <w:rPr>
          <w:rFonts w:ascii="Arial" w:cs="Arial" w:eastAsia="Arial" w:hAnsi="Arial"/>
          <w:sz w:val="18"/>
          <w:szCs w:val="18"/>
          <w:color w:val="auto"/>
        </w:rPr>
      </w:pPr>
    </w:p>
    <w:p>
      <w:pPr>
        <w:ind w:left="1000" w:hanging="493"/>
        <w:spacing w:after="0" w:line="27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attracting and retaining skilled personnel;</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receipt and amount of any milestone payments and deferred payments from Medexus with respect to IXINITY.</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35"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delay, limit, reduce or terminate our clinical trials or other development activities for one or more of our product candidates; and/or,</w:t>
      </w:r>
    </w:p>
    <w:p>
      <w:pPr>
        <w:spacing w:after="0" w:line="8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other activities that may be necessary to commercialize our product candidates, if approved.</w:t>
      </w:r>
    </w:p>
    <w:p>
      <w:pPr>
        <w:spacing w:after="0" w:line="6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COVID-19, we may experience delays in clinical trials and pre-clinical work, and opportunities to partner our product candidates, due to financial and other impacts on potential partners.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w:t>
      </w:r>
    </w:p>
    <w:p>
      <w:pPr>
        <w:spacing w:after="0" w:line="7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January 2020, we entered into a contract with The Leukemia &amp; Lymphoma Society (LLS) to be part of an ongoing national AML master clinical trial called the ‘Beat AML Master Clinical Trial.’ The Beat AML Master Clinical Trial provides access to leading academic cancer centers and allows us to study APVO436 in a front-line AML setting. Our purchase obligation for the Beat AML Master Clinical Trial totals $8.1 million over the next four years, with payments anticipated to begin in 2021. The Clinical Trial Participation Agreement contains a termination for convenience clause where we may terminate the agreement with 180 days prior written notice.</w:t>
      </w:r>
    </w:p>
    <w:p>
      <w:pPr>
        <w:spacing w:after="0" w:line="8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On August 5, 2020, we entered into a new Credit and Security Agreement (Credit Agreement), with MidCap Financial. The Credit Agreement provided us with up to $25 million of available borrowing capacity. The MidCap Financial loan has a 48 month term, is interest-only for the first 18 months, with straight-line amortization for the remaining 30 months and bears interest at a rate of one month LIBOR plus 6.25% per annum, subject to a 1.50% LIBOR floor and a 2.50% LIBOR cap. Additionally, on March 30, 2021, we amended our Credit Agreement with MidCap Financial and used $10 million of the proceeds received from the Royalty Purchase Agreement with HCR to pay down the outstanding principal under this agreement from $25 million to $15 million.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ind w:right="20"/>
        <w:spacing w:after="0" w:line="342" w:lineRule="auto"/>
        <w:rPr>
          <w:sz w:val="20"/>
          <w:szCs w:val="20"/>
          <w:color w:val="auto"/>
        </w:rPr>
      </w:pPr>
      <w:r>
        <w:rPr>
          <w:rFonts w:ascii="Arial" w:cs="Arial" w:eastAsia="Arial" w:hAnsi="Arial"/>
          <w:sz w:val="16"/>
          <w:szCs w:val="16"/>
          <w:color w:val="auto"/>
        </w:rPr>
        <w:t>Company’s Credit Agreement currently references LIBOR. Contract language is expected to be incorporated into these agreements to address the transition to an alternative reference rate. The Company is currently evaluating the impact that ASU 2020-04 may have on its consolidated financial statements.</w:t>
      </w:r>
    </w:p>
    <w:p>
      <w:pPr>
        <w:spacing w:after="0" w:line="16"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On March 30, 2021, we entered into the Royalty Purchase Agreement pursuant to which the Company sold to HCR the right to receive all royalty payments made by Pfizer in respect of net sales of RUXIENCE.</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March 31, 2021, there was no material changes to the information provided under Item 7A, Quantitative and Qualitative Disclosures About Market Risk in our Annual Report on Form 10-K for the year ended December 31, 2020 and filed on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As of March 31, 2021,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March 31, 2021,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March 31, 2021, that have materially affected, or are reasonably likely to materially affect, our internal control over financial reporting.</w:t>
      </w:r>
    </w:p>
    <w:p>
      <w:pPr>
        <w:spacing w:after="0" w:line="7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material risks to our business, operations, and ownership of our common stock:</w:t>
      </w:r>
    </w:p>
    <w:p>
      <w:pPr>
        <w:spacing w:after="0" w:line="23"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losses and may not be profitable in the future.</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require additional capital and may be unable to raise capital when needed or on acceptable terms.</w:t>
      </w:r>
    </w:p>
    <w:p>
      <w:pPr>
        <w:spacing w:after="0" w:line="36" w:lineRule="exact"/>
        <w:rPr>
          <w:rFonts w:ascii="Arial" w:cs="Arial" w:eastAsia="Arial" w:hAnsi="Arial"/>
          <w:sz w:val="18"/>
          <w:szCs w:val="18"/>
          <w:color w:val="auto"/>
        </w:rPr>
      </w:pPr>
    </w:p>
    <w:p>
      <w:pPr>
        <w:ind w:left="1000" w:hanging="493"/>
        <w:spacing w:after="0" w:line="25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income will depend, in part, on the ability of Medexus to successfully further develop, market and commercialize IXINITY, resulting in milestone payments and deferred payments to the Company by Medexus.</w:t>
      </w:r>
    </w:p>
    <w:p>
      <w:pPr>
        <w:spacing w:after="0" w:line="1" w:lineRule="exact"/>
        <w:rPr>
          <w:rFonts w:ascii="Arial" w:cs="Arial" w:eastAsia="Arial" w:hAnsi="Arial"/>
          <w:sz w:val="18"/>
          <w:szCs w:val="18"/>
          <w:color w:val="auto"/>
        </w:rPr>
      </w:pPr>
    </w:p>
    <w:p>
      <w:pPr>
        <w:jc w:val="both"/>
        <w:ind w:left="1000" w:hanging="493"/>
        <w:spacing w:after="0" w:line="281"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income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1" w:lineRule="exact"/>
        <w:rPr>
          <w:rFonts w:ascii="Arial" w:cs="Arial" w:eastAsia="Arial" w:hAnsi="Arial"/>
          <w:sz w:val="16"/>
          <w:szCs w:val="16"/>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COVID-19 could adversely impact our business, including our clinical trials.</w:t>
      </w:r>
    </w:p>
    <w:p>
      <w:pPr>
        <w:spacing w:after="0" w:line="21" w:lineRule="exact"/>
        <w:rPr>
          <w:rFonts w:ascii="Arial" w:cs="Arial" w:eastAsia="Arial" w:hAnsi="Arial"/>
          <w:sz w:val="18"/>
          <w:szCs w:val="18"/>
          <w:color w:val="auto"/>
        </w:rPr>
      </w:pPr>
    </w:p>
    <w:p>
      <w:pPr>
        <w:ind w:left="1000" w:hanging="493"/>
        <w:spacing w:after="0" w:line="25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our credit agreement may restrict the operation of our business and limit the cash available for investment in our business operations.</w:t>
      </w:r>
    </w:p>
    <w:p>
      <w:pPr>
        <w:spacing w:after="0" w:line="1"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the time to reach critical trial data and receipt of any necessary regulatory approvals could be delayed.</w:t>
      </w:r>
    </w:p>
    <w:p>
      <w:pPr>
        <w:ind w:left="1000" w:right="20" w:hanging="493"/>
        <w:spacing w:after="0" w:line="25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grow revenues and execute on our long-term strategy depends heavily on our ability to discover, develop, and obtain marketing approval for our product candidates.</w:t>
      </w: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further develop our ADAPTIR or ADAPTIR-FLEX platforms.</w:t>
      </w:r>
    </w:p>
    <w:p>
      <w:pPr>
        <w:spacing w:after="0" w:line="21" w:lineRule="exact"/>
        <w:rPr>
          <w:rFonts w:ascii="Arial" w:cs="Arial" w:eastAsia="Arial" w:hAnsi="Arial"/>
          <w:sz w:val="18"/>
          <w:szCs w:val="18"/>
          <w:color w:val="auto"/>
        </w:rPr>
      </w:pPr>
    </w:p>
    <w:p>
      <w:pPr>
        <w:ind w:left="1000" w:hanging="493"/>
        <w:spacing w:after="0" w:line="25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long-term success depends, in part, upon our ability to develop, receive regulatory approval for and commercialize our product candidates.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protect our intellectual proprietary rights, our business could be harmed.</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stock price may be volatile.</w:t>
      </w:r>
    </w:p>
    <w:p>
      <w:pPr>
        <w:spacing w:after="0" w:line="36"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periodic litigation, which could result in losses or unexpected expenditure of time and resources.</w:t>
      </w:r>
    </w:p>
    <w:p>
      <w:pPr>
        <w:spacing w:after="0" w:line="36" w:lineRule="exact"/>
        <w:rPr>
          <w:rFonts w:ascii="Arial" w:cs="Arial" w:eastAsia="Arial" w:hAnsi="Arial"/>
          <w:sz w:val="18"/>
          <w:szCs w:val="18"/>
          <w:color w:val="auto"/>
        </w:rPr>
      </w:pPr>
    </w:p>
    <w:p>
      <w:pPr>
        <w:ind w:left="1000" w:hanging="493"/>
        <w:spacing w:after="0" w:line="291"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Actions of an activist stockholder against us have been disruptive and costly and the notice the activist stockholder has sent indicating he will wage a proxy contest and seek representation on our Board could cause uncertainty about the strategic direction of our business.</w:t>
      </w:r>
    </w:p>
    <w:p>
      <w:pPr>
        <w:ind w:left="1000" w:hanging="493"/>
        <w:spacing w:after="0" w:line="26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Proposal, the Tang Stockholder Proposals and similar proposals from other third-parties, and our responses thereto, may cause volatility in the trading price of our common stock and interfere with our efforts to raise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have experienced significant operating losses and we may not achieve profitability in the future. For the three months ended March 31, 2021 and 2020, we had net loss of $7.3 million and net income of $2.9 million, respectively. As of March 31, 2021, we had an accumulated deficit of $192.9 million. We expect to continue to incur annual net operating losses, and will require substantial resources over the next several years as we expand our efforts to discover, develop and commercialize immunotherapeutic candidates, for the foreseeable future. While we believe our existing cash and cash equivalents and the funding provided by our IXINITY deferred payment streams, the Royalty Purchase Agreement with HCR, credit agreement, our Equity Distribution Agreement with Piper Sandler &amp; Co (Piper Sandler) entered into in December 2020 (the Equity Distribution Agreement) and our Purchase Agreement with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Lincoln Park Capital Fund, LLC (Lincoln Park), entered into in December 2018 (the Purchase Agreement), and exercises of warrants will provide us with sufficient liquidity to meet our cash requirements through 2021, our future success and ability to attain profitability will depend upon our ability to develop and take to market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As of March 31, 2021, we had cash, cash equivalents, and restricted cash in the amount of $58.8 million. We will require additional funding to grow our business including to develop additional products, support commercial marketing activities or otherwise provide additional financial flexibility. In October 2019, we implemented an expense reduction plan that reduced annual expenditures by approximately 30%, including streamlining research and development programs, through reducing investment in certain programs; cut-backs in legal, professional and consulting expenses; reduction of leased space, cut-backs in non-commercial headcount; and reductions in executive and board cash compensation, with such compensation restored to previous levels in August 2020. If we are not able to secure adequate additional funding, we may need to make further reductions in spending. This may include extending payment terms with suppliers, liquidating assets, and suspending or curtailing planned programs. We may also have to further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4"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resolution of actions of activist investors;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level, timing and receipt of any milestone or deferred payments under our agreement with Medexus with respect to the sales of IXINITY;</w:t>
      </w:r>
    </w:p>
    <w:p>
      <w:pPr>
        <w:spacing w:after="0" w:line="99" w:lineRule="exact"/>
        <w:rPr>
          <w:rFonts w:ascii="Arial" w:cs="Arial" w:eastAsia="Arial" w:hAnsi="Arial"/>
          <w:sz w:val="16"/>
          <w:szCs w:val="16"/>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any future indebtedness;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76"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clinical development costs and requirements to complete dosing of Phase 1/1b clinical trial for APVO436, as well as future clinical trials.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bank loans, public or private equity or debt offerings, collaboration and licensing arrangements, or other strategic transactions. Future issuances of common stock may include (i) any sale of up to the remaining $50.0 million worth of shares of our common stock pursuant to our Equity Distribution Agreement with Piper Sandler &amp; Co entered into in December 2020, (ii) any sale of up to $35.0 million worth of shares of our common stock in a private placement pursuant to our Purchase Agreement with Lincoln Park Capital Fund, LLC, or Lincoln Park, entered into in December 2018, and (iii) the issuance of up to 376,866 remaining outstanding shares of common stock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74"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Current economic conditions, including the impact of COVID-19 on our operations or on the global economy and capital markets,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Actions of an activist stockholder against us have been disruptive and costly and the notice the activist stockholder has sent indicating he will wage a proxy contest and seek representation on our Board could cause uncertainty about the strategic direction of our business.</w:t>
      </w:r>
    </w:p>
    <w:p>
      <w:pPr>
        <w:spacing w:after="0" w:line="3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November 6, 2020, Tang filed a statement on Schedule 13D to report that Tang had purchased 1,760,000 shares of our common stock, representing at the time approximately 54% of our issued and outstanding shares of Common Stock (the Tang Ownership Change), although Tang has subsequently been diluted to a 39.6% beneficial ownership position, primarily through the exercise of certain warrants that were issued and outstanding prior to Tang acquiring its ownership position in Aptevo.</w:t>
      </w:r>
    </w:p>
    <w:p>
      <w:pPr>
        <w:spacing w:after="0" w:line="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November 18, 2020, our Board received a written unsolicited, non-binding indication of interest from Tang, proposing to acquire all of the outstanding shares of our common stock not already beneficially owned by Tang for $50.00 per share in cash, subject to confirmatory due diligence conducted under a customary non-disclosure agreement. We have had a series of communications with Tang during which we attempted to negotiate a non-disclosure agreement to permit discussions covering our nonpublic information and our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ind w:firstLine="510"/>
        <w:spacing w:after="0" w:line="271" w:lineRule="auto"/>
        <w:rPr>
          <w:sz w:val="20"/>
          <w:szCs w:val="20"/>
          <w:color w:val="auto"/>
        </w:rPr>
      </w:pPr>
      <w:r>
        <w:rPr>
          <w:rFonts w:ascii="Arial" w:cs="Arial" w:eastAsia="Arial" w:hAnsi="Arial"/>
          <w:sz w:val="17"/>
          <w:szCs w:val="17"/>
          <w:color w:val="auto"/>
        </w:rPr>
        <w:t>The Aptevo Board was open to exploring the indication of interest from Tang and made earnest efforts to evaluate it. However, it was unable to do so because it was unable to reach agreement with Tang on the terms of a customary non-disclosure agreement, including limitations on the use of confidential information by Tang. Had agreement on the terms of a non-disclosure agreement been reached, it would have permitted the exchange of confidential information and would have enabled both parties to conduct due diligence. In this early stage of the Company’s development, the Aptevo Board believes it is difficult for the market to accurately value the potential of Aptevo’s proprietary platform technologies and therapeutic candidates, which have just begun to demonstrate their effectiveness and potentially life-saving capabilities to the Company’s patients, shareholders and other stakeholders. The Board will continue to carefully evaluate any indications of interest and proposals for strategic transactions that it receives from current shareholders or otherwise, in line with its fiduciary duties and commitment to acting in the best interests of all of the Company’s shareholders.</w:t>
      </w:r>
    </w:p>
    <w:p>
      <w:pPr>
        <w:spacing w:after="0" w:line="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On February 9, 2021, Tang announced its intention to nominate two candidates for election to our board of directors at our 2021 annual meeting of stockholders and submitted an advisory stockholder proposal for consideration at our 2021 annual meeting of stockholders to commence a process to sell Aptevo to the highest bidder. We have incurred and may continue to incur additional expenses by retaining the services of various professionals to advise us on responding to these matters.</w:t>
      </w:r>
    </w:p>
    <w:p>
      <w:pPr>
        <w:spacing w:after="0" w:line="7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Board and management team strive to maintain constructive communications with our stockholders, including Tang, and welcomes their views and opinions with the goal of enhancing value for all stockholders. However, an activist campaign that seeks to replace members of our Board or changes in our strategic direction could have an adverse effect on us because:</w:t>
      </w:r>
    </w:p>
    <w:p>
      <w:pPr>
        <w:spacing w:after="0" w:line="8" w:lineRule="exact"/>
        <w:rPr>
          <w:sz w:val="20"/>
          <w:szCs w:val="20"/>
          <w:color w:val="auto"/>
        </w:rPr>
      </w:pPr>
    </w:p>
    <w:p>
      <w:pPr>
        <w:jc w:val="both"/>
        <w:ind w:left="100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Responding to actions by Tang and other activist stockholders can disrupt our operations, are costly and time-consuming, and divert the attention of our Board and senior management team from the pursuit of business strategies, which could adversely affect our results of operations and financial condition;</w:t>
      </w:r>
    </w:p>
    <w:p>
      <w:pPr>
        <w:spacing w:after="0" w:line="8"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as a result of changes to the composition of our Board or changes to our stockholder base may lead to the perception of a change in the direction of the business, instability or lack of continuity which may be exploited by our competitors, may result in the loss of potential business opportunities, cause concern for those enrolling in our clinical trial, and make it more difficult to attract and retain qualified personnel and business partners;</w:t>
      </w:r>
    </w:p>
    <w:p>
      <w:pPr>
        <w:spacing w:after="0" w:line="11"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Initial Proposal has interfered, and may continue to interfere, with our efforts to raise capital;</w:t>
      </w:r>
    </w:p>
    <w:p>
      <w:pPr>
        <w:spacing w:after="0" w:line="76" w:lineRule="exact"/>
        <w:rPr>
          <w:rFonts w:ascii="Arial" w:cs="Arial" w:eastAsia="Arial" w:hAnsi="Arial"/>
          <w:sz w:val="18"/>
          <w:szCs w:val="18"/>
          <w:color w:val="auto"/>
        </w:rPr>
      </w:pPr>
    </w:p>
    <w:p>
      <w:pPr>
        <w:ind w:left="1000" w:right="20" w:hanging="493"/>
        <w:spacing w:after="0" w:line="27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and similar types of actions could cause significant fluctuations in our stock price based on temporary or speculative market perceptions or other factors that do not necessarily reflect the underlying fundamentals and prospects of our business;</w:t>
      </w:r>
    </w:p>
    <w:p>
      <w:pPr>
        <w:spacing w:after="0" w:line="1" w:lineRule="exact"/>
        <w:rPr>
          <w:rFonts w:ascii="Arial" w:cs="Arial" w:eastAsia="Arial" w:hAnsi="Arial"/>
          <w:sz w:val="18"/>
          <w:szCs w:val="18"/>
          <w:color w:val="auto"/>
        </w:rPr>
      </w:pPr>
    </w:p>
    <w:p>
      <w:pPr>
        <w:ind w:left="1000" w:hanging="493"/>
        <w:spacing w:after="0" w:line="27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 result of the pending proxy contest, or if other activist stockholder activities ensue, our business could be adversely affected because responding to proxy contests can be disruptive, costly, and time-consuming; and,</w:t>
      </w:r>
    </w:p>
    <w:p>
      <w:pPr>
        <w:spacing w:after="0" w:line="1"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individuals are elected to our Board with a specific agenda, it may adversely affect our ability to effectively implement our business strategy and to create additional value for our stockholders.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Initial Proposal, the Tang Stockholder Proposals and similar proposals from other third-parties, and our responses thereto, may cause volatility in the trading price of our common stock and interfere with our efforts to raise capital.</w:t>
      </w:r>
    </w:p>
    <w:p>
      <w:pPr>
        <w:spacing w:after="0" w:line="62"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have retained Piper Sandler to assist and advise the Board in its evaluation of the Initial Proposal, as well as our other strategic alternatives, including remaining independent and executing our existing strategic plans. The Board has met on a number of occasions to carefully evaluate and consider the Initial Proposal and representatives of the Company have discussed the Initial Proposal directly with representatives of Tang.</w:t>
      </w:r>
    </w:p>
    <w:p>
      <w:pPr>
        <w:spacing w:after="0" w:line="4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Aptevo Board was open to exploring the indication of interest from Tang and made earnest efforts to evaluate it. However, it was unable to do so because it was unable to reach agreement with Tang on the terms of a customary non-disclosure agreement, including limitations on the use of confidential information by Tang. Had agreement on the terms of a non-disclosure agreement been reached, it would have permitted the exchange of confidential information and would have enabled both parties to conduct due diligence. In this early stage of the Company’s development, the Aptevo Board believes it is difficult for the market to accurately value the potential of Aptevo’s proprietary platform technologies and therapeutic candidates, which have just begun to demonstrate their effectiveness and potentially life-saving capabilities to the Company’s patients, shareholders and other stakeholders. The Board will continue to carefully evaluate any indications of interest and proposals for strategic transactions that it receives from current shareholders or otherwise, in line with its fiduciary duties and commitment to acting in the best interests of all of the Company’s shareholders.</w:t>
      </w:r>
    </w:p>
    <w:p>
      <w:pPr>
        <w:spacing w:after="0" w:line="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a result of the uncertainty surrounding the Tang Stockholder Proposals, our response to the Initial Proposal, and similar proposals from other third-parties, the future trading price of our common stock is likely to be volatile and could be subject to wide price fluctuations.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as a result of a variety of factors, including:</w:t>
      </w:r>
    </w:p>
    <w:p>
      <w:pPr>
        <w:spacing w:after="0" w:line="62"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of the Tang Stockholder Proposals;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and timing of any milestone or deferred payments with respect to sales of IXINITY by Medexus;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9" w:lineRule="exact"/>
        <w:rPr>
          <w:rFonts w:ascii="Arial" w:cs="Arial" w:eastAsia="Arial" w:hAnsi="Arial"/>
          <w:sz w:val="18"/>
          <w:szCs w:val="18"/>
          <w:color w:val="auto"/>
        </w:rPr>
      </w:pPr>
    </w:p>
    <w:p>
      <w:pPr>
        <w:jc w:val="both"/>
        <w:ind w:left="1000" w:hanging="493"/>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1" w:lineRule="exact"/>
        <w:rPr>
          <w:rFonts w:ascii="Arial" w:cs="Arial" w:eastAsia="Arial" w:hAnsi="Arial"/>
          <w:sz w:val="18"/>
          <w:szCs w:val="18"/>
          <w:color w:val="auto"/>
        </w:rPr>
      </w:pPr>
    </w:p>
    <w:p>
      <w:pPr>
        <w:ind w:left="1000" w:hanging="493"/>
        <w:spacing w:after="0" w:line="26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7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Due to COVID-19, we may experience delays in opportunities to partner our product candidates, due to financial and other impacts on potential partners. Additionally, we may experience potential impacts on our future milestone or deferred payments from Medexus, which may impact Medexus’ ability to continue to successfully commercialize the IXINITY businesses. In 2020, we did see an impact of COVID-19 on our business as some of our clinical sites were at reduced capacity or closed, as well as our participation in the BEAT AML trial being delayed by the Leukemia and Lymphoma Society. These and other factors may have a material adverse effect on our business, results of operations and financial condition.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income will depend, in part, on the ability of Medexus to successfully further develop, market and commercialize IXINITY, resulting in milestone payments and deferred payments to the Company by Medexus.</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On February 28, 2020, we entered into an LLC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are earned at the rate of 2% of net revenue through the earlier of June 2022 or completion of the IXINITY pediatric trial being run by Medexus. After that, the royalty rate will increase to 5%.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Due to the effect of the COVID-19 pandemic on the current and future environment for clinical development and regulatory approval, Medexus’ ability to continue to successfully commercialize the IXINITY business may be effected, and we may experience potential impacts on our future deferred payments from Medexus. The failure of Medexus to successfully market and commercialize IXINITY, including because of factors outside of Medexus’ control, could result in lower than expected milestone or deferred payments to us and negatively impact our future financial and operating results.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future income will depend, in part, on the ability of Pfizer to successfully sell RUXIENCE and our receipt of milestone and royalty payments from HCR in connection therewith. If Pfizer is unable, or does not devote sufficient resources, to maintain or continue increasing sales of RUXIENCE, or if HCR does not comply with the Royalty Purchase Agreement, our results of operations will be adversely affected.</w:t>
      </w:r>
    </w:p>
    <w:p>
      <w:pPr>
        <w:spacing w:after="0" w:line="5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On June 25, 2020, we announced that we will receive royalty payments from Pfizer related to sales of a rituximab biosimilar product, RUXIENCE (Rituximab-pvvr), which was approved by the U.S. Food and Drug Administration in July 2019 and launched by Pfizer in the United States and Japan in early 2020, and the European Union in the third quarter of 2020. The payments from Pfizer relate to a collaboration and license agreement acquired by us as part of our spin-off from Emergent in 2016, which applies a fixed royalty rate of 2.5% on global net sales. The agreement was originally executed by Trubion Pharmaceuticals (which was subsequently acquired by Emergent) and Wyeth (a wholly-owned subsidiary of Pfizer). The royalty term runs until the seventh anniversary of the first commercial sale of the biosimilar. Royalty payments to us are due within 60 days after the end of each quarter. Although the agreement was terminated in 2012, the royalty obligation thereunder survived.</w:t>
      </w:r>
    </w:p>
    <w:p>
      <w:pPr>
        <w:spacing w:after="0" w:line="69"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On March 30, 2021, we entered into and closed a Royalty Purchase Agreement with HCR (Royalty Purchase Agreement) pursuant to which we sold to HCR the right to receive all royalty payments made by Pfizer in respect of net sales of RUXIENCE. Under the terms of the Royalty Purchase Agreement, we received $35 million (the Investment Amount) at closing and we are eligible to receive additional payments in aggregate of up to an $32.5 million based on the achievement of sales milestones in 2021, 2022, and 2023 (collectively, the Milestone Amounts). The Royalty Purchase Agreement further provides that, once HCR reaches aggregate royalty payments totaling 190% of the Investment Amount plus the Milestone Amounts to the extent paid to us by HCR, we will be entitled to receive 50% of any additional royalty payments by Pfizer thereafter.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ind w:firstLine="510"/>
        <w:spacing w:after="0" w:line="273" w:lineRule="auto"/>
        <w:rPr>
          <w:sz w:val="20"/>
          <w:szCs w:val="20"/>
          <w:color w:val="auto"/>
        </w:rPr>
      </w:pPr>
      <w:r>
        <w:rPr>
          <w:rFonts w:ascii="Arial" w:cs="Arial" w:eastAsia="Arial" w:hAnsi="Arial"/>
          <w:sz w:val="17"/>
          <w:szCs w:val="17"/>
          <w:color w:val="auto"/>
        </w:rPr>
        <w:t>We have no control over the sales of RUXIENCE and are therefore dependent on the efforts and ability of Pfizer to generate net sales of RUXIENCE sufficient for us to receive Milestone Payments and additional royalty payments under the Royalty Purchase Agreement. The failure of Pfizer to successfully generate such net sales could negatively impact our future financial and operating results and our results of operations could therefore be adversely affected. Additionally, even if Pfizer is able to generate net sales of RUXIENCE sufficient for us to receive such payments, if HCR breaches the Royalty Purchase Agreement (for example, by not making required payments when due, or at all), disputes or litigation may arise. Such disputes or litigation could be time-consuming and expensive and could adversely affect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possess regulatory approval for study or commercial sale. We cannot predict the frequency, outcome or cost to defend any such claims.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cannot successfully defend ourselves against future claims that our product candidates caused injuries, we may incur substantial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product liability claims may result in:</w:t>
      </w:r>
    </w:p>
    <w:p>
      <w:pPr>
        <w:spacing w:after="0" w:line="103"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or withdrawal of an approved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144"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our Chief Scientific Officer, Jane Gross Ph.D.,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 A novel strain of coronavirus, COVID-19 has spread through the world, including the United States. We have experienced and may experience an impact on the health of key personnel due to COVID-19.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COVID-19 could adversely impact our business, including our clinical trials.</w:t>
      </w:r>
    </w:p>
    <w:p>
      <w:pPr>
        <w:spacing w:after="0" w:line="117"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Since March of 2020, a novel strain of coronavirus, COVID-19, has spread through the world, including the United States. The COVID-19 outbreak has caused severe global economic and societal disruptions and uncertainties, and we have experienced disruptions that have impacted our business and clinical trials, including, limitation of company operations, including implementing work from home policies and office closures; delays or difficulties in receiving deliveries of critical experimental materials; delays or difficulties in enrolling patients in our clinical trials; delays or difficulties in clinical site initiation, including difficulties in recruiting clinical site investigators and clinical site staff; diversion of healthcare resources away from the conduct of clinical trials, including the diversion of hospitals serving as our clinical trial sites and hospital staff supporting the conduct of our clinical trials; delay in participation of APVO436 in the Beat AML trial; interruption of key clinical trial activities, such as patient enrollment and clinical trial site monitoring; and, limitations in employee resources that would otherwise be focused on our business, including the conduct of our research and development activities and process development activities, due to the illness of employees or their families, or the preference of employees to avoid contact with large groups of people.</w:t>
      </w:r>
    </w:p>
    <w:p>
      <w:pPr>
        <w:spacing w:after="0" w:line="8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may continue to experience disruptions in the future, or additional disruptions that could severely impact our business, such as delays or difficulties to the financing environment and raising capital due to economic uncertainty; delays in opportunities to partner our product candidates, due to financial and other impacts on potential partners; diversion of healthcare resources away from the conduct of clinical trials, including the diversion of hospitals serving as our clinical trial sites and hospital staff supporting the conduct of our clinical trials; potential impacts on our future deferred payments and milestones from Medexus due to the environment which may impact Medexus’ ability to continue to successfully commercialize the IXINITY business; and negative impacts on suppliers and licensees. The global outbreak of COVID-19 continues to rapidly evolve. The COVID-19 pandemic may also result in the need to suspend enrollment into studies, patient withdrawals, postponement of preclinical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and the FDA or comparable foreign regulatory authorities. The foregoing may also impact the integrity of our study data. The pandemic could further impact our ability to interact with the FDA or other regulatory authorities, and may result in delays in the conduct of inspections or review of pending submissions.</w:t>
      </w:r>
    </w:p>
    <w:p>
      <w:pPr>
        <w:spacing w:after="0" w:line="7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COVID-19 pandemic may further impact our suppliers and manufacturers. If any of our suppliers or manufacturers are adversely impacted by the COVID-19 pandemic or the restrictions resulting from the outbreak, if they cannot obtain the necessary supplies, or if such third parties need to prioritize other products or customers over us, including under the Defense Production Act, we may experience delays or disruptions in our supply chain, which could have a material and adverse impact on our business and development plans. Third party manufacturers may also need to implement measures and changes, or deviate from typical requirements, because of the COVID-19 pandemic that may otherwise adversely impact our supply chains or the quality of the resulting products or supplies. Depending on the change, we may need to obtain FDA pre-approval or otherwise provide FDA with a notification of the change.</w:t>
      </w:r>
    </w:p>
    <w:p>
      <w:pPr>
        <w:spacing w:after="0" w:line="8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COVID-19 pandemic may result in changes in laws, policies, and regulations. By example, due to the potential impact of the COVID-19 outbreak on clinical trials, drug development, and manufacturing, FDA issued a number of guidances concerning how sponsors and investigators may address these challenges. FDA’s guidance is continually evolving. By further example, in March 2020, the U.S. Congress passed the Coronavirus Aid, Relief, and Economic Security Act, or CARES Act, which includes various provisions regarding FDA drug shortage reporting requirements, as well as provisions regarding supply chain security, such as risk management plan requirements, and the promotion of supply chain redundancy and domestic manufacturing. This and any future changes in law may require that we change our internal processes and procedures to ensure continued compliance.</w:t>
      </w:r>
    </w:p>
    <w:p>
      <w:pPr>
        <w:spacing w:after="0" w:line="5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extent to which the COVID-19 pandemic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 including the effectiveness of vaccination programs.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 August 2020, we entered into a Credit and Security Agreement (the Credit Agreement), by and among us and certain of our subsidiaries as borrowers, MidCap Financial, as agent, and the lenders from time to time party thereto. The terms of the Credit Agreement and borrowings we may make under the Credit Agreement in the future, could have significant adverse consequences for our business, including:</w:t>
      </w:r>
    </w:p>
    <w:p>
      <w:pPr>
        <w:spacing w:after="0" w:line="57" w:lineRule="exact"/>
        <w:rPr>
          <w:sz w:val="20"/>
          <w:szCs w:val="20"/>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left="1000" w:hanging="49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55" w:lineRule="exact"/>
        <w:rPr>
          <w:rFonts w:ascii="Arial" w:cs="Arial" w:eastAsia="Arial" w:hAnsi="Arial"/>
          <w:sz w:val="17"/>
          <w:szCs w:val="17"/>
          <w:color w:val="auto"/>
        </w:rPr>
      </w:pPr>
    </w:p>
    <w:p>
      <w:pPr>
        <w:jc w:val="both"/>
        <w:ind w:left="100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compliance with restrictive covenants restricting, among other things, certain indebtedness, liens, dividends and other distributions, repayment of subordinated indebtedness, mergers, dispositions, investments, acquisitions, transactions with affiliates and modification of organizational documents or certain other agreements, subject to certain exceptions;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compliance with affirmative covenants including payment and reporting covenants; and</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6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the Credit Agreement. In addition, failure to comply with the covenants under the Credit Agreement, including those outside of our control, such as the appointment by Tang of a majority of directors to our board, could result in an event of default, notwithstanding the initial waiver and consent obtained upon the Tang Ownership Change.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believe it is likely that we experienced by virtue of the Tang Ownership Change, an “ownership change” as defined in Section 382 of the U.S. Internal Revenue Code of 1986, as amended (the Code), and, if we are correct, the tax benefits of our pre-“ownership change” net operating loss carryforwards and certain other tax attributes will be subject to annual limitation under Sections 382 and 383 of the Code.</w:t>
      </w:r>
    </w:p>
    <w:p>
      <w:pPr>
        <w:spacing w:after="0" w:line="5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general, a corporation undergoes an “ownership change” under Section 382 of the Code if, among other things, the stockholders who own, directly or indirectly, 5% or more of the corporation’s stock (by value), or are otherwise treated as “5% shareholders” under Section 382 of the Code and the Treasury regulations promulgated thereunder, increase their aggregate percentage ownership (by value) of the corporation’s stock by more than 50 percentage points over the lowest percentage of value owned by the 5% shareholders at any time during the applicable testing period, which is generally the rolling three-year period preceding the potential ownership change. Such potential ownership change testing events include changes involving a shareholder becoming a 5% shareholder or arising from a new issuance of capital stock or share repurchases by the corporation, subject to certain exceptions.</w:t>
      </w:r>
    </w:p>
    <w:p>
      <w:pPr>
        <w:spacing w:after="0" w:line="8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Additionally, Section 382 of the Code includes special rules that apply to a corporation with a significant amount of net unrealized built-in gains or net unrealized built-in losses in its assets immediately prior to an ownership change under Section 382 of the Code. In general, certain built-in gains recognized during the five-year period beginning on the date of the ownership change increases the corporation’s annual limitation under Section 382 and 383 of the Code in the taxable year that such built-in gains are recognized or deemed recognized (but only up to the amount of the net unrealized built-in gain), while certain built-in losses recognized during such five-year period is subject to the annual limitation under Section 382 of the Code (but only up to the amount of the net unrealized built-in loss).</w:t>
      </w:r>
    </w:p>
    <w:p>
      <w:pPr>
        <w:spacing w:after="0" w:line="8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As of December 31, 2020, we had approximately $162.5 million and $68.1 million of federal and state net operating loss carryforwards, respectively, available to reduce future taxable income that will begin to expire in 2037 for federal purposes. These net operating loss carryforwards could expire unused and be unavailable to offset future income tax liabilities. Under the newly enacted federal income tax, federal net operating loss carryforwards incurred in 2018 and in future years may be carried forward indefinitely, but the deductibility of such federal net operating losses is limited. It is still uncertain if and to what extent various states will conform to the enacted tax law. We are in the process of completing an IRC Section 382/383 study on our federal and state tax attributes in connection with the acquisition by Tang of 1,760,000 shares of our common stock in order to determine whether our ability to use our net operating loss carryforwards and certain other tax attributes in existence prior to the Tang Ownership Change will be subject to an annual limitation under Sections 382 and 383 of the Code as described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ind w:firstLine="510"/>
        <w:spacing w:after="0" w:line="259" w:lineRule="auto"/>
        <w:rPr>
          <w:sz w:val="20"/>
          <w:szCs w:val="20"/>
          <w:color w:val="auto"/>
        </w:rPr>
      </w:pPr>
      <w:r>
        <w:rPr>
          <w:rFonts w:ascii="Arial" w:cs="Arial" w:eastAsia="Arial" w:hAnsi="Arial"/>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our current and planned clinical trials may not satisfy the requirements of the FDA or non-U.S. regulatory authorities. Interim or top line data may be subject to change or qualification based on the complete analysis of data.</w:t>
      </w:r>
    </w:p>
    <w:p>
      <w:pPr>
        <w:spacing w:after="0" w:line="62"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Clinical failure can occur at any stage of clinical development. Clinical trials may produce negative or inconclusive results. The FDA or a non-US regulatory authority may require us, to conduct additional clinical or preclinical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84"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For example, we have previously reported on a patient in cohort 4 of our APVO 436 Phase 1/1b clinical trial who showed a complete marrow response. That patient dropped out of the trial during the eleventh cycle of treatment because his/her disease progressed. Additionally, we previously reported on two patients in cohort 6 of our APVO 436 Phase 1/1b clinical trial who had a complete remission status. Both patients are no longer in a complete remission status and discontinued therapy due to progression in their disease.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w:t>
      </w:r>
    </w:p>
    <w:p>
      <w:pPr>
        <w:spacing w:after="0" w:line="7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76" w:lineRule="exact"/>
        <w:rPr>
          <w:sz w:val="20"/>
          <w:szCs w:val="20"/>
          <w:color w:val="auto"/>
        </w:rPr>
      </w:pPr>
    </w:p>
    <w:p>
      <w:pPr>
        <w:jc w:val="both"/>
        <w:ind w:left="100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may require us to perform additional or unanticipated clinical trials to obtain approval or we may be subject to additional post-marketing testing, surveillance, or REMS requirements to maintain regulatory approval;</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or our studies may fail to reach the necessary level of statistical significance;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marketing approval policies, laws, regulations, or the regulatory review process during the development period rendering our data insufficient to obtain marketing approval;</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or IRBs regarding the scope, design, or implementation of our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spacing w:after="0" w:line="62"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regulatory authorities may disagree with our intended indications;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preclinical studies and clinical trials. In particular, the FDA may not view our data as being clinically meaningful or statistically persuasive.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the time to reach critical trial data and receipt of any necessary regulatory approvals could be delayed.</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In addition, the global outbreak of the COVID-19 pandemic makes it more difficult to initiate studies and enroll patients.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4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inability to enroll a sufficient number of patients for clinical trials could result in significant delays and could require us to abandon one or more clinical trials altogether. Enrollment delays in our clinical trials may result in increased development costs for our product candidates and in delays to commercially launching our product candidates, if approved, which may cause the value of our company to decline and limit our ability to obtain additional financing.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6"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5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As we continue developing our product candidates and initiate clinical trials of our additional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70"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44"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or CROs, and other third-party service providers to conduct the clinical and non-clinical trials of our product candidates, and we expect to continue to do so. For example, Dr. Scott Stromatt, our former full-time Chief Medical Officer, is now providing clinical trial and medical affairs oversight duties as an independent consultant. We rely heavily on Dr. Stromatt and these other third parties for successful execution of our clinical and non-clinical trials, but we do not exercise day-to-day control over their activities.</w:t>
      </w:r>
    </w:p>
    <w:p>
      <w:pPr>
        <w:spacing w:after="0" w:line="84" w:lineRule="exact"/>
        <w:rPr>
          <w:sz w:val="20"/>
          <w:szCs w:val="20"/>
          <w:color w:val="auto"/>
        </w:rPr>
      </w:pPr>
    </w:p>
    <w:p>
      <w:pPr>
        <w:jc w:val="both"/>
        <w:ind w:firstLine="514"/>
        <w:spacing w:after="0" w:line="269" w:lineRule="auto"/>
        <w:rPr>
          <w:sz w:val="20"/>
          <w:szCs w:val="20"/>
          <w:color w:val="auto"/>
        </w:rPr>
      </w:pPr>
      <w:r>
        <w:rPr>
          <w:rFonts w:ascii="Arial" w:cs="Arial" w:eastAsia="Arial" w:hAnsi="Arial"/>
          <w:sz w:val="17"/>
          <w:szCs w:val="17"/>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non-clinical, and preclinical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jc w:val="both"/>
        <w:ind w:firstLine="514"/>
        <w:spacing w:after="0" w:line="290" w:lineRule="auto"/>
        <w:rPr>
          <w:sz w:val="20"/>
          <w:szCs w:val="20"/>
          <w:color w:val="auto"/>
        </w:rPr>
      </w:pPr>
      <w:r>
        <w:rPr>
          <w:rFonts w:ascii="Arial" w:cs="Arial" w:eastAsia="Arial" w:hAnsi="Arial"/>
          <w:sz w:val="16"/>
          <w:szCs w:val="16"/>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the COVID-19 pandemic could negatively affect the ability of some of the independent clinical investigators, contract research organizations and other third-party service providers that conduct our clinical and non-clinical trials of our product candidates. Any delay in or inability to complete our trials could delay or prevent the development, approval, and commercialization of our product candidates.</w:t>
      </w:r>
    </w:p>
    <w:p>
      <w:pPr>
        <w:spacing w:after="0" w:line="57" w:lineRule="exact"/>
        <w:rPr>
          <w:sz w:val="20"/>
          <w:szCs w:val="20"/>
          <w:color w:val="auto"/>
        </w:rPr>
      </w:pPr>
    </w:p>
    <w:p>
      <w:pPr>
        <w:jc w:val="both"/>
        <w:ind w:firstLine="514"/>
        <w:spacing w:after="0" w:line="254" w:lineRule="auto"/>
        <w:rPr>
          <w:sz w:val="20"/>
          <w:szCs w:val="20"/>
          <w:color w:val="auto"/>
        </w:rPr>
      </w:pPr>
      <w:r>
        <w:rPr>
          <w:rFonts w:ascii="Arial" w:cs="Arial" w:eastAsia="Arial" w:hAnsi="Arial"/>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GCPs. In addition, our clinical trials must be conducted with product produced under GMPs and similar regulations outside of the United States. Our failure, or the failure of our product manufacturers, to comply with these regulations may require us to repeat or redesign clinical trials, or conduct additional trials, which would increase our development costs and delay or impact the likelihood of regulatory approval.</w:t>
      </w:r>
    </w:p>
    <w:p>
      <w:pPr>
        <w:spacing w:after="0" w:line="8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63"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Agreements with third parties conducting or otherwise assisting with our clinical or preclinical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69"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7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57"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57"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4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76"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6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non-clinical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56"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one clinical-stage candidate, APVO436, which is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For example, in 2018, we announced the discontinuation of development of APVO414 and otlertuzumab as a result of clinical trial results. In addition, in October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or products, or with significant labeled warnings. We may also be subject to additional post-marketing testing requirements, surveillance requirements, or REMS. To the extent any of the foregoing should occur, our business may be materially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or ADAPTIR-FLEX platforms.</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A key element of our strategy is to expand our product pipeline of immunotherapeutics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color w:val="auto"/>
        </w:rPr>
        <w:t>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7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believe that our most significant competitors in the oncology market include: AbbVie Inc., Aduro, Inc., Affirmed, Amgen Inc., AnaptysBio, Inc., Astellas Pharma Inc., Bayer AG, Biogen Idec Inc., Boehringer Ingelheim GmbH, F-Star Biotechnology Ltd., Genentech Inc. (a subsidiary of F. Hoffmann-La Roche Ltd.), Genmab A/S, GlaxoSmithKline plc, Grifols USA LLC, Bristol Myers Squibb, ImmunoGen, Inc., Immunomedics, Inc., Janssen BioTech Inc., Johnson &amp; Johnson, Macrogenics, Inc., Novartis International AG, Pieris Pharmaceuticals, Inc., Sanofi-Aventis US LLC, Takeda Pharmaceuticals U.S.A., Inc., Teneobio, Inc.,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healthcare reform measures may have a material adverse effect on our business and results of operations.</w:t>
      </w:r>
    </w:p>
    <w:p>
      <w:pPr>
        <w:spacing w:after="0" w:line="117"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w:t>
      </w:r>
    </w:p>
    <w:p>
      <w:pPr>
        <w:spacing w:after="0" w:line="6" w:lineRule="exact"/>
        <w:rPr>
          <w:sz w:val="20"/>
          <w:szCs w:val="20"/>
          <w:color w:val="auto"/>
        </w:rPr>
      </w:pPr>
    </w:p>
    <w:p>
      <w:pPr>
        <w:jc w:val="both"/>
        <w:ind w:firstLine="8"/>
        <w:spacing w:after="0" w:line="255" w:lineRule="auto"/>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Jobs Act and the case is currently pending before the United States Supreme Court. It is unclear how this decision, subsequent appeals, and other efforts to repeal and replace the ACA will impact the ACA and our business. We continue to evaluate how the ACA and recent efforts to repeal and replace or limit the implementation of the ACA will impact our business.</w:t>
      </w:r>
    </w:p>
    <w:p>
      <w:pPr>
        <w:spacing w:after="0" w:line="8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jc w:val="both"/>
        <w:spacing w:after="0" w:line="286" w:lineRule="auto"/>
        <w:rPr>
          <w:sz w:val="20"/>
          <w:szCs w:val="20"/>
          <w:color w:val="auto"/>
        </w:rPr>
      </w:pPr>
      <w:r>
        <w:rPr>
          <w:rFonts w:ascii="Arial" w:cs="Arial" w:eastAsia="Arial" w:hAnsi="Arial"/>
          <w:sz w:val="17"/>
          <w:szCs w:val="17"/>
          <w:color w:val="auto"/>
        </w:rPr>
        <w:t>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5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On January 21, 2021, Joe Biden was sworn in as the U.S. president, and the Democratic Party obtained an equal number of seats in the U.S. Senate as the Republican Party, as well as maintained control of the U.S. House of Representatives. Many expect that the Biden administration will pursue stronger healthcare consumer protections, and it may act to overturn some of the prior Trump administration initiatives; however, the legislative and regulatory agendas, as they relate to the healthcare and pharmaceutical industries and the economy as a whole, of the Biden administration and the U.S. Congress currently remain uncertain.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5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Manufacture of our product candidates, especially in large quantities, is complex and time consuming. The loss of any of our third-party manufacturers, or delays or problems in the manufacture our product candidates, could result in product shortages and/or delays in clinical development.</w:t>
      </w:r>
    </w:p>
    <w:p>
      <w:pPr>
        <w:spacing w:after="0" w:line="76"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do not have manufacturing capabilities and do not plan to develop such capacity in the foreseeable future. We depend on a limited number of sole source third-party suppliers for our product candidates. Accordingly, our ability to develop and deliver products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53"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5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If these third-party manufacturers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6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GMP regulations and that are both capable of manufacturing for us and willing to do so.</w:t>
      </w:r>
    </w:p>
    <w:p>
      <w:pPr>
        <w:spacing w:after="0" w:line="41"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available or on acceptable terms, which would cause additional delay and increased expense. The addition of a new or alternative manufacturer may also require FDA approvals and may have a material adverse effect on our business.</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6"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or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56"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 Due to COVID-19, our third-party manufacturers may experience difficulties that impact our product candidates.</w:t>
      </w:r>
    </w:p>
    <w:p>
      <w:pPr>
        <w:spacing w:after="0" w:line="8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5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7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our ability to develop, obtain and maintain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w:t>
      </w:r>
    </w:p>
    <w:p>
      <w:pPr>
        <w:spacing w:after="0" w:line="7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Due to COVID-19, our third-party manufacturers may experience difficulties that impact our product candidates.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80"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6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8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preclinical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jc w:val="both"/>
        <w:spacing w:after="0" w:line="286" w:lineRule="auto"/>
        <w:rPr>
          <w:sz w:val="20"/>
          <w:szCs w:val="20"/>
          <w:color w:val="auto"/>
        </w:rPr>
      </w:pPr>
      <w:r>
        <w:rPr>
          <w:rFonts w:ascii="Arial" w:cs="Arial" w:eastAsia="Arial" w:hAnsi="Arial"/>
          <w:sz w:val="17"/>
          <w:szCs w:val="17"/>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8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84"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38"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5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76"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and our product candidates are subject to extensive and ongoing requirements of and review by the FDA and other regulatory authorities, including requirements related to the conduct of clinical and pre-clinical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w:t>
      </w:r>
    </w:p>
    <w:p>
      <w:pPr>
        <w:spacing w:after="0" w:line="5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jc w:val="both"/>
        <w:ind w:firstLine="510"/>
        <w:spacing w:after="0" w:line="257" w:lineRule="auto"/>
        <w:rPr>
          <w:sz w:val="20"/>
          <w:szCs w:val="20"/>
          <w:color w:val="auto"/>
        </w:rPr>
      </w:pPr>
      <w:r>
        <w:rPr>
          <w:rFonts w:ascii="Arial" w:cs="Arial" w:eastAsia="Arial" w:hAnsi="Arial"/>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80"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modifications to promotional pieces and product labels;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 of corrective information;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other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requirements to establish or modify a REMS or a similar strategy;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way the product is administered;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recalls of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44"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4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49"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By example, the change in the U.S. administration that occurred on January 20, 2021, may result in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6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40" w:hanging="519"/>
        <w:spacing w:after="0" w:line="255"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4"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9" w:lineRule="exact"/>
        <w:rPr>
          <w:rFonts w:ascii="Arial" w:cs="Arial" w:eastAsia="Arial" w:hAnsi="Arial"/>
          <w:sz w:val="18"/>
          <w:szCs w:val="18"/>
          <w:color w:val="auto"/>
        </w:rPr>
      </w:pPr>
    </w:p>
    <w:p>
      <w:pPr>
        <w:jc w:val="both"/>
        <w:ind w:left="1040" w:hanging="519"/>
        <w:spacing w:after="0" w:line="291" w:lineRule="auto"/>
        <w:tabs>
          <w:tab w:leader="none" w:pos="10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jc w:val="both"/>
        <w:ind w:left="1040" w:hanging="519"/>
        <w:spacing w:after="0" w:line="254" w:lineRule="auto"/>
        <w:tabs>
          <w:tab w:leader="none" w:pos="1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86" w:lineRule="exact"/>
        <w:rPr>
          <w:rFonts w:ascii="Arial" w:cs="Arial" w:eastAsia="Arial" w:hAnsi="Arial"/>
          <w:sz w:val="18"/>
          <w:szCs w:val="18"/>
          <w:color w:val="auto"/>
        </w:rPr>
      </w:pPr>
    </w:p>
    <w:p>
      <w:pPr>
        <w:jc w:val="both"/>
        <w:ind w:left="1000" w:hanging="493"/>
        <w:spacing w:after="0" w:line="296"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53" w:lineRule="exact"/>
        <w:rPr>
          <w:rFonts w:ascii="Arial" w:cs="Arial" w:eastAsia="Arial" w:hAnsi="Arial"/>
          <w:sz w:val="16"/>
          <w:szCs w:val="16"/>
          <w:color w:val="auto"/>
        </w:rPr>
      </w:pPr>
    </w:p>
    <w:p>
      <w:pPr>
        <w:jc w:val="both"/>
        <w:ind w:left="1000" w:hanging="493"/>
        <w:spacing w:after="0" w:line="271"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7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government may assert that a claim including items or services resulting from a violation of the federal Anti-Kickback Statute constitutes a false or fraudulent claim for purposes of the False Claims Act.</w:t>
      </w:r>
    </w:p>
    <w:p>
      <w:pPr>
        <w:spacing w:after="0" w:line="6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6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6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85"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8"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5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70"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6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7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4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6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4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cold have a material and adverse effect on our business, financial condition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5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6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Collaborations and Other Agreements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7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14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COVID-19, we may experience delays in opportunities to develop our product candidates, due to financial and other impacts on potential partners.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General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closing price of our common stock has fluctuated between $3.29 and $112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53"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resolution of the Tang Stockholder Proposals;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competitors, suppliers, or partners regarding their own performance;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concern as to the safety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estimated or actual sales of IXINITY by Medexus;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to what extent future proceeds are received under our royalty purchase agreement with HCR;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variations in our cash flows or results of operations;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COVID-19 or similar global health challenges;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industry conditions and domestic and global financial, economic, and geo-political instability;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4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18"/>
          <w:szCs w:val="18"/>
          <w:b w:val="1"/>
          <w:bCs w:val="1"/>
          <w:i w:val="1"/>
          <w:iCs w:val="1"/>
          <w:color w:val="auto"/>
        </w:rPr>
        <w:t>In the event that coverage under our directors’ and officers’ liability insurance is reduced or terminated as a result of the Tang Ownership Change or otherwise, our indemnification obligations and limitations of our directors’ and officers’ liability insurance may have a material adverse effect on our financial condition, results of operations and cash flows.</w:t>
      </w:r>
    </w:p>
    <w:p>
      <w:pPr>
        <w:spacing w:after="0" w:line="76"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However, as a result of the Tang Ownership Change, the cost to us of our directors’ and officers’ liability insurance coverage has increased, and it may continue to increase in the future,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maintain effective internal controls, we may not be able to accurately report our financial results and our business could be harmed.</w:t>
      </w:r>
    </w:p>
    <w:p>
      <w:pPr>
        <w:spacing w:after="0" w:line="14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6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may be at risk for delisting from the Nasdaq Capital Market in the future. Delisting could adversely affect the liquidity of our common stock and the market price of our common stock could decrease.</w:t>
      </w:r>
    </w:p>
    <w:p>
      <w:pPr>
        <w:spacing w:after="0" w:line="62"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Our common stock is currently listed on the Nasdaq Capital Market. The Nasdaq Stock Market LLC has minimum requirements that a company must meet in order to remain listed on Nasdaq, including corporate governance standards and a requirement that we maintain a minimum closing bid price of $1.00 per share.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jc w:val="both"/>
        <w:ind w:firstLine="510"/>
        <w:spacing w:after="0" w:line="257" w:lineRule="auto"/>
        <w:rPr>
          <w:sz w:val="20"/>
          <w:szCs w:val="20"/>
          <w:color w:val="auto"/>
        </w:rPr>
      </w:pPr>
      <w:r>
        <w:rPr>
          <w:rFonts w:ascii="Arial" w:cs="Arial" w:eastAsia="Arial" w:hAnsi="Arial"/>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 Under these rules, broker-dealers who recommend such securities to persons other than institutional accredited investors must:</w:t>
      </w:r>
    </w:p>
    <w:p>
      <w:pPr>
        <w:spacing w:after="0" w:line="80"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a special written suitability determination for the purchaser;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 the purchaser’s written agreement to the transaction prior to sale;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the purchaser with risk disclosure documents which identify certain risks associated with investing in “penny stocks” and which describe the market for these “penny stocks” as well as a purchaser’s legal remedies; and</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 signed and dated acknowledgment from the purchaser demonstrating that the purchaser has actually received the required risk disclosure document before a transaction in a “penny stock” can be completed.</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a result of these requirements, the market price of our securities may be adversely impacted, and current stockholders may find it more difficult to sell our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the future, your percentage ownership in Aptevo may be diluted because of equity issuances for acquisitions, capital market transactions or otherwise, including, but not limited to, equity issuances under our existing equity sales agreement with Lincoln Park Financial LLC, under our Equity Distribution Agreement with Piper Sandler, under our Rights Plan with Broadridge Corporate Issuer Solutions, Inc., upon the exercise of warrants issued in connection with our March 2019 public offering,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8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3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candidates for election to the Board of Directors and other proposals;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ind w:firstLine="374"/>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9"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 Tang is an interested stockholder for purposes of Section 203.</w:t>
      </w:r>
    </w:p>
    <w:p>
      <w:pPr>
        <w:spacing w:after="0" w:line="80"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7"/>
          <w:szCs w:val="17"/>
          <w:color w:val="auto"/>
        </w:rPr>
        <w:t>Moreover, we currently have a short-term stockholder rights agreement in effect.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bylaws include a forum selection clause, which may impact your ability to bring actions against us.</w:t>
      </w:r>
    </w:p>
    <w:p>
      <w:pPr>
        <w:spacing w:after="0" w:line="11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periodic litigation, which could result in losses or unexpected expenditure of time and resources.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jc w:val="both"/>
        <w:spacing w:after="0" w:line="269" w:lineRule="auto"/>
        <w:rPr>
          <w:sz w:val="20"/>
          <w:szCs w:val="20"/>
          <w:color w:val="auto"/>
        </w:rPr>
      </w:pPr>
      <w:r>
        <w:rPr>
          <w:rFonts w:ascii="Arial" w:cs="Arial" w:eastAsia="Arial" w:hAnsi="Arial"/>
          <w:sz w:val="17"/>
          <w:szCs w:val="17"/>
          <w:color w:val="auto"/>
        </w:rPr>
        <w:t>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6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The impact of the COVID-19 pandemic also poses an increased security risk, due to the remote working environment.</w:t>
      </w:r>
    </w:p>
    <w:p>
      <w:pPr>
        <w:spacing w:after="0" w:line="7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8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5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w:t>
      </w:r>
    </w:p>
    <w:p>
      <w:pPr>
        <w:spacing w:after="0" w:line="8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9"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If a breach of our information technology systems occurs, we may incur additional costs related to rebuilding our internal systems,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such sales by Lincoln Park, or the perception that such sales may occur, could decrease the market price of our common stock. In addition, holders of an aggregate of approximately three million shares of our common stock have the right to require us to register these shares of common stock under specified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1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0" w:type="dxa"/>
            <w:vAlign w:val="bottom"/>
            <w:gridSpan w:val="6"/>
          </w:tcPr>
          <w:p>
            <w:pPr>
              <w:ind w:left="3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8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98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80" w:type="dxa"/>
            <w:vAlign w:val="bottom"/>
          </w:tcPr>
          <w:p>
            <w:pPr>
              <w:ind w:left="10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100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Royalty Purchase Agreement by and among Aptevo Therapeutics Inc. and Healthcare Royalty Partners IV, LP. dated as of March 30, 2021.</w:t>
              </w:r>
            </w:hyperlink>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10300" w:type="dxa"/>
            <w:vAlign w:val="bottom"/>
            <w:gridSpan w:val="8"/>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First Amendment to Credit and Security Agreement dated March 30, 2021.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10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58">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58">
              <w:r>
                <w:rPr>
                  <w:rFonts w:ascii="Arial" w:cs="Arial" w:eastAsia="Arial" w:hAnsi="Arial"/>
                  <w:sz w:val="18"/>
                  <w:szCs w:val="18"/>
                  <w:color w:val="0000EE"/>
                  <w:w w:val="90"/>
                </w:rPr>
                <w:t>Pursuant to Section 302 of the Sarbanes Oxley Act of 2002.</w:t>
              </w:r>
            </w:hyperlink>
          </w:p>
        </w:tc>
        <w:tc>
          <w:tcPr>
            <w:tcW w:w="59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0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59">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00" w:type="dxa"/>
            <w:vAlign w:val="bottom"/>
            <w:gridSpan w:val="8"/>
          </w:tcPr>
          <w:p>
            <w:pPr>
              <w:spacing w:after="0" w:line="196" w:lineRule="exact"/>
              <w:rPr>
                <w:rFonts w:ascii="Arial" w:cs="Arial" w:eastAsia="Arial" w:hAnsi="Arial"/>
                <w:sz w:val="18"/>
                <w:szCs w:val="18"/>
                <w:color w:val="0000EE"/>
              </w:rPr>
            </w:pPr>
            <w:hyperlink w:anchor="page259">
              <w:r>
                <w:rPr>
                  <w:rFonts w:ascii="Arial" w:cs="Arial" w:eastAsia="Arial" w:hAnsi="Arial"/>
                  <w:sz w:val="18"/>
                  <w:szCs w:val="18"/>
                  <w:color w:val="0000EE"/>
                </w:rPr>
                <w:t>Pursuant to Section 302 of the Sarbanes Oxley Act of 2002.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10300" w:type="dxa"/>
            <w:vAlign w:val="bottom"/>
            <w:gridSpan w:val="8"/>
          </w:tcPr>
          <w:p>
            <w:pPr>
              <w:spacing w:after="0"/>
              <w:rPr>
                <w:rFonts w:ascii="Arial" w:cs="Arial" w:eastAsia="Arial" w:hAnsi="Arial"/>
                <w:sz w:val="18"/>
                <w:szCs w:val="18"/>
                <w:color w:val="0000EE"/>
                <w:w w:val="93"/>
              </w:rPr>
            </w:pPr>
            <w:hyperlink w:anchor="page260">
              <w:r>
                <w:rPr>
                  <w:rFonts w:ascii="Arial" w:cs="Arial" w:eastAsia="Arial" w:hAnsi="Arial"/>
                  <w:sz w:val="18"/>
                  <w:szCs w:val="18"/>
                  <w:color w:val="0000EE"/>
                  <w:w w:val="93"/>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60">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10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61">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61">
              <w:r>
                <w:rPr>
                  <w:rFonts w:ascii="Arial" w:cs="Arial" w:eastAsia="Arial" w:hAnsi="Arial"/>
                  <w:sz w:val="18"/>
                  <w:szCs w:val="18"/>
                  <w:color w:val="0000EE"/>
                  <w:w w:val="89"/>
                </w:rPr>
                <w:t>of 2002.</w:t>
              </w:r>
            </w:hyperlink>
          </w:p>
        </w:tc>
        <w:tc>
          <w:tcPr>
            <w:tcW w:w="97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4"/>
                <w:szCs w:val="24"/>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0"/>
                <w:szCs w:val="20"/>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00" w:hanging="492"/>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Schedules and other similar attachments have been omitted pursuant to Item 601(a)(5) of Regulation S-K. Aptevo will furnish copies of any such schedules and attachments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180" w:val="left"/>
          <w:tab w:leader="none" w:pos="830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2"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180" w:val="left"/>
          <w:tab w:leader="none" w:pos="810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55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ROYALTY PURCHASE AGREEMENT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APTEVO THERAPEUTICS INC.</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HEALTHCARE ROYALTY PARTNERS IV, 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MARCH 30,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THIS DOCUMENT SHALL BE KEPT CONFIDENTIAL PURSUANT TO THE TERMS OF THE CONFIDENTIALITY AGREEMENT ENTERED INTO BETWEEN THE SELLER AND THE RECIPIENT HEREOF AND, IF APPLICABLE, ITS AFFILIATES,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74"/>
        </w:trPr>
        <w:tc>
          <w:tcPr>
            <w:tcW w:w="1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80" w:type="dxa"/>
            <w:vAlign w:val="bottom"/>
          </w:tcPr>
          <w:p>
            <w:pPr>
              <w:ind w:left="258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ABLE OF</w:t>
            </w:r>
            <w:r>
              <w:rPr>
                <w:rFonts w:ascii="Arial" w:cs="Arial" w:eastAsia="Arial" w:hAnsi="Arial"/>
                <w:sz w:val="22"/>
                <w:szCs w:val="22"/>
                <w:color w:val="auto"/>
              </w:rPr>
              <w:t xml:space="preserve"> C</w:t>
            </w:r>
            <w:r>
              <w:rPr>
                <w:rFonts w:ascii="Arial" w:cs="Arial" w:eastAsia="Arial" w:hAnsi="Arial"/>
                <w:sz w:val="14"/>
                <w:szCs w:val="14"/>
                <w:color w:val="auto"/>
              </w:rPr>
              <w:t>ONTENTS</w:t>
            </w:r>
          </w:p>
        </w:tc>
        <w:tc>
          <w:tcPr>
            <w:tcW w:w="2560" w:type="dxa"/>
            <w:vAlign w:val="bottom"/>
          </w:tcPr>
          <w:p>
            <w:pPr>
              <w:spacing w:after="0"/>
              <w:rPr>
                <w:sz w:val="23"/>
                <w:szCs w:val="23"/>
                <w:color w:val="auto"/>
              </w:rPr>
            </w:pPr>
          </w:p>
        </w:tc>
      </w:tr>
      <w:tr>
        <w:trPr>
          <w:trHeight w:val="486"/>
        </w:trPr>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455"/>
        </w:trPr>
        <w:tc>
          <w:tcPr>
            <w:tcW w:w="1400" w:type="dxa"/>
            <w:vAlign w:val="bottom"/>
          </w:tcPr>
          <w:p>
            <w:pPr>
              <w:spacing w:after="0"/>
              <w:rPr>
                <w:sz w:val="20"/>
                <w:szCs w:val="20"/>
                <w:color w:val="auto"/>
              </w:rPr>
            </w:pPr>
            <w:r>
              <w:rPr>
                <w:rFonts w:ascii="Arial" w:cs="Arial" w:eastAsia="Arial" w:hAnsi="Arial"/>
                <w:sz w:val="22"/>
                <w:szCs w:val="22"/>
                <w:color w:val="auto"/>
              </w:rPr>
              <w:t>ARTICLE I</w:t>
            </w:r>
          </w:p>
        </w:tc>
        <w:tc>
          <w:tcPr>
            <w:tcW w:w="7300" w:type="dxa"/>
            <w:vAlign w:val="bottom"/>
            <w:gridSpan w:val="2"/>
          </w:tcPr>
          <w:p>
            <w:pPr>
              <w:ind w:left="220"/>
              <w:spacing w:after="0"/>
              <w:rPr>
                <w:sz w:val="20"/>
                <w:szCs w:val="20"/>
                <w:color w:val="auto"/>
              </w:rPr>
            </w:pPr>
            <w:r>
              <w:rPr>
                <w:rFonts w:ascii="Arial" w:cs="Arial" w:eastAsia="Arial" w:hAnsi="Arial"/>
                <w:sz w:val="22"/>
                <w:szCs w:val="22"/>
                <w:color w:val="auto"/>
              </w:rPr>
              <w:t>DEFINITIONS; INTERPRETATION</w:t>
            </w:r>
          </w:p>
        </w:tc>
        <w:tc>
          <w:tcPr>
            <w:tcW w:w="25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1.1</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Definitions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74"/>
        </w:trPr>
        <w:tc>
          <w:tcPr>
            <w:tcW w:w="2220" w:type="dxa"/>
            <w:vAlign w:val="bottom"/>
            <w:gridSpan w:val="2"/>
          </w:tcPr>
          <w:p>
            <w:pPr>
              <w:ind w:left="860"/>
              <w:spacing w:after="0"/>
              <w:rPr>
                <w:sz w:val="20"/>
                <w:szCs w:val="20"/>
                <w:color w:val="auto"/>
              </w:rPr>
            </w:pPr>
            <w:r>
              <w:rPr>
                <w:rFonts w:ascii="Arial" w:cs="Arial" w:eastAsia="Arial" w:hAnsi="Arial"/>
                <w:sz w:val="22"/>
                <w:szCs w:val="22"/>
                <w:color w:val="auto"/>
              </w:rPr>
              <w:t>Section 1.2</w:t>
            </w:r>
          </w:p>
        </w:tc>
        <w:tc>
          <w:tcPr>
            <w:tcW w:w="6480" w:type="dxa"/>
            <w:vAlign w:val="bottom"/>
          </w:tcPr>
          <w:p>
            <w:pPr>
              <w:ind w:left="280"/>
              <w:spacing w:after="0"/>
              <w:rPr>
                <w:sz w:val="20"/>
                <w:szCs w:val="20"/>
                <w:color w:val="auto"/>
              </w:rPr>
            </w:pPr>
            <w:r>
              <w:rPr>
                <w:rFonts w:ascii="Arial" w:cs="Arial" w:eastAsia="Arial" w:hAnsi="Arial"/>
                <w:sz w:val="22"/>
                <w:szCs w:val="22"/>
                <w:color w:val="auto"/>
              </w:rPr>
              <w:t>Certain Interpretations</w:t>
            </w:r>
          </w:p>
        </w:tc>
        <w:tc>
          <w:tcPr>
            <w:tcW w:w="25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55"/>
        </w:trPr>
        <w:tc>
          <w:tcPr>
            <w:tcW w:w="1400" w:type="dxa"/>
            <w:vAlign w:val="bottom"/>
          </w:tcPr>
          <w:p>
            <w:pPr>
              <w:spacing w:after="0"/>
              <w:rPr>
                <w:sz w:val="20"/>
                <w:szCs w:val="20"/>
                <w:color w:val="auto"/>
              </w:rPr>
            </w:pPr>
            <w:r>
              <w:rPr>
                <w:rFonts w:ascii="Arial" w:cs="Arial" w:eastAsia="Arial" w:hAnsi="Arial"/>
                <w:sz w:val="22"/>
                <w:szCs w:val="22"/>
                <w:color w:val="auto"/>
              </w:rPr>
              <w:t>ARTICLE II</w:t>
            </w:r>
          </w:p>
        </w:tc>
        <w:tc>
          <w:tcPr>
            <w:tcW w:w="7300" w:type="dxa"/>
            <w:vAlign w:val="bottom"/>
            <w:gridSpan w:val="2"/>
          </w:tcPr>
          <w:p>
            <w:pPr>
              <w:ind w:left="220"/>
              <w:spacing w:after="0"/>
              <w:rPr>
                <w:sz w:val="20"/>
                <w:szCs w:val="20"/>
                <w:color w:val="auto"/>
              </w:rPr>
            </w:pPr>
            <w:r>
              <w:rPr>
                <w:rFonts w:ascii="Arial" w:cs="Arial" w:eastAsia="Arial" w:hAnsi="Arial"/>
                <w:sz w:val="22"/>
                <w:szCs w:val="22"/>
                <w:color w:val="auto"/>
              </w:rPr>
              <w:t>PURCHASE AND SALE OF PURCHASED ASSETS</w:t>
            </w:r>
          </w:p>
        </w:tc>
        <w:tc>
          <w:tcPr>
            <w:tcW w:w="25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2.1</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Purchase and Sale of Purchased Assets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2.2</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Excluded Assets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2.3</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No Obligations Transferred</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2.4</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Sale</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74"/>
        </w:trPr>
        <w:tc>
          <w:tcPr>
            <w:tcW w:w="2220" w:type="dxa"/>
            <w:vAlign w:val="bottom"/>
            <w:gridSpan w:val="2"/>
          </w:tcPr>
          <w:p>
            <w:pPr>
              <w:ind w:left="860"/>
              <w:spacing w:after="0"/>
              <w:rPr>
                <w:sz w:val="20"/>
                <w:szCs w:val="20"/>
                <w:color w:val="auto"/>
              </w:rPr>
            </w:pPr>
            <w:r>
              <w:rPr>
                <w:rFonts w:ascii="Arial" w:cs="Arial" w:eastAsia="Arial" w:hAnsi="Arial"/>
                <w:sz w:val="22"/>
                <w:szCs w:val="22"/>
                <w:color w:val="auto"/>
              </w:rPr>
              <w:t>Section 2.5</w:t>
            </w:r>
          </w:p>
        </w:tc>
        <w:tc>
          <w:tcPr>
            <w:tcW w:w="6480" w:type="dxa"/>
            <w:vAlign w:val="bottom"/>
          </w:tcPr>
          <w:p>
            <w:pPr>
              <w:ind w:left="280"/>
              <w:spacing w:after="0"/>
              <w:rPr>
                <w:sz w:val="20"/>
                <w:szCs w:val="20"/>
                <w:color w:val="auto"/>
              </w:rPr>
            </w:pPr>
            <w:r>
              <w:rPr>
                <w:rFonts w:ascii="Arial" w:cs="Arial" w:eastAsia="Arial" w:hAnsi="Arial"/>
                <w:sz w:val="22"/>
                <w:szCs w:val="22"/>
                <w:color w:val="auto"/>
              </w:rPr>
              <w:t>Payments</w:t>
            </w:r>
          </w:p>
        </w:tc>
        <w:tc>
          <w:tcPr>
            <w:tcW w:w="25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55"/>
        </w:trPr>
        <w:tc>
          <w:tcPr>
            <w:tcW w:w="1400" w:type="dxa"/>
            <w:vAlign w:val="bottom"/>
          </w:tcPr>
          <w:p>
            <w:pPr>
              <w:spacing w:after="0"/>
              <w:rPr>
                <w:sz w:val="20"/>
                <w:szCs w:val="20"/>
                <w:color w:val="auto"/>
              </w:rPr>
            </w:pPr>
            <w:r>
              <w:rPr>
                <w:rFonts w:ascii="Arial" w:cs="Arial" w:eastAsia="Arial" w:hAnsi="Arial"/>
                <w:sz w:val="22"/>
                <w:szCs w:val="22"/>
                <w:color w:val="auto"/>
              </w:rPr>
              <w:t>ARTICLE III</w:t>
            </w:r>
          </w:p>
        </w:tc>
        <w:tc>
          <w:tcPr>
            <w:tcW w:w="7300" w:type="dxa"/>
            <w:vAlign w:val="bottom"/>
            <w:gridSpan w:val="2"/>
          </w:tcPr>
          <w:p>
            <w:pPr>
              <w:ind w:left="220"/>
              <w:spacing w:after="0"/>
              <w:rPr>
                <w:sz w:val="20"/>
                <w:szCs w:val="20"/>
                <w:color w:val="auto"/>
              </w:rPr>
            </w:pPr>
            <w:r>
              <w:rPr>
                <w:rFonts w:ascii="Arial" w:cs="Arial" w:eastAsia="Arial" w:hAnsi="Arial"/>
                <w:sz w:val="22"/>
                <w:szCs w:val="22"/>
                <w:color w:val="auto"/>
              </w:rPr>
              <w:t>CLOSING; DELIVERABLES</w:t>
            </w:r>
          </w:p>
        </w:tc>
        <w:tc>
          <w:tcPr>
            <w:tcW w:w="25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3.1</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Closing</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3.2</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Payment of Investment Amount</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3.3</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Closing Certificates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3.4</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Bill of Sale and Assignment</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3.5</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Tax Forms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3.6</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Pfizer Instruction Letter</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3.7</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Legal Opinion</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3.8</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Financing Statements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3.9</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MidCap Release</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74"/>
        </w:trPr>
        <w:tc>
          <w:tcPr>
            <w:tcW w:w="2220" w:type="dxa"/>
            <w:vAlign w:val="bottom"/>
            <w:gridSpan w:val="2"/>
          </w:tcPr>
          <w:p>
            <w:pPr>
              <w:ind w:left="860"/>
              <w:spacing w:after="0"/>
              <w:rPr>
                <w:sz w:val="20"/>
                <w:szCs w:val="20"/>
                <w:color w:val="auto"/>
              </w:rPr>
            </w:pPr>
            <w:r>
              <w:rPr>
                <w:rFonts w:ascii="Arial" w:cs="Arial" w:eastAsia="Arial" w:hAnsi="Arial"/>
                <w:sz w:val="22"/>
                <w:szCs w:val="22"/>
                <w:color w:val="auto"/>
              </w:rPr>
              <w:t>Section 3.10</w:t>
            </w:r>
          </w:p>
        </w:tc>
        <w:tc>
          <w:tcPr>
            <w:tcW w:w="6480" w:type="dxa"/>
            <w:vAlign w:val="bottom"/>
          </w:tcPr>
          <w:p>
            <w:pPr>
              <w:ind w:left="280"/>
              <w:spacing w:after="0"/>
              <w:rPr>
                <w:sz w:val="20"/>
                <w:szCs w:val="20"/>
                <w:color w:val="auto"/>
              </w:rPr>
            </w:pPr>
            <w:r>
              <w:rPr>
                <w:rFonts w:ascii="Arial" w:cs="Arial" w:eastAsia="Arial" w:hAnsi="Arial"/>
                <w:sz w:val="22"/>
                <w:szCs w:val="22"/>
                <w:color w:val="auto"/>
              </w:rPr>
              <w:t>Lean Searches</w:t>
            </w:r>
          </w:p>
        </w:tc>
        <w:tc>
          <w:tcPr>
            <w:tcW w:w="25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55"/>
        </w:trPr>
        <w:tc>
          <w:tcPr>
            <w:tcW w:w="1400" w:type="dxa"/>
            <w:vAlign w:val="bottom"/>
          </w:tcPr>
          <w:p>
            <w:pPr>
              <w:spacing w:after="0"/>
              <w:rPr>
                <w:sz w:val="20"/>
                <w:szCs w:val="20"/>
                <w:color w:val="auto"/>
              </w:rPr>
            </w:pPr>
            <w:r>
              <w:rPr>
                <w:rFonts w:ascii="Arial" w:cs="Arial" w:eastAsia="Arial" w:hAnsi="Arial"/>
                <w:sz w:val="22"/>
                <w:szCs w:val="22"/>
                <w:color w:val="auto"/>
              </w:rPr>
              <w:t>ARTICLE IV</w:t>
            </w:r>
          </w:p>
        </w:tc>
        <w:tc>
          <w:tcPr>
            <w:tcW w:w="7300" w:type="dxa"/>
            <w:vAlign w:val="bottom"/>
            <w:gridSpan w:val="2"/>
          </w:tcPr>
          <w:p>
            <w:pPr>
              <w:ind w:left="220"/>
              <w:spacing w:after="0"/>
              <w:rPr>
                <w:sz w:val="20"/>
                <w:szCs w:val="20"/>
                <w:color w:val="auto"/>
              </w:rPr>
            </w:pPr>
            <w:r>
              <w:rPr>
                <w:rFonts w:ascii="Arial" w:cs="Arial" w:eastAsia="Arial" w:hAnsi="Arial"/>
                <w:sz w:val="22"/>
                <w:szCs w:val="22"/>
                <w:color w:val="auto"/>
              </w:rPr>
              <w:t>SELLER’S REPRESENTATIONS AND WARRANTIES</w:t>
            </w:r>
          </w:p>
        </w:tc>
        <w:tc>
          <w:tcPr>
            <w:tcW w:w="25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4.1</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Organization</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4.2</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Authorization</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4.3</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Enforceability</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4.4</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Absence of Conflicts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4.5</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Consents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4.6</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Litigation</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4.7</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Compliance with Laws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4.8</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Brokers’ Fees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4.9</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License Agreement</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4.10</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Title to Purchased Assets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4.11</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UCC Matters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4.12</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Taxes</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4.13</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Solvency</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74"/>
        </w:trPr>
        <w:tc>
          <w:tcPr>
            <w:tcW w:w="2220" w:type="dxa"/>
            <w:vAlign w:val="bottom"/>
            <w:gridSpan w:val="2"/>
          </w:tcPr>
          <w:p>
            <w:pPr>
              <w:ind w:left="860"/>
              <w:spacing w:after="0"/>
              <w:rPr>
                <w:sz w:val="20"/>
                <w:szCs w:val="20"/>
                <w:color w:val="auto"/>
              </w:rPr>
            </w:pPr>
            <w:r>
              <w:rPr>
                <w:rFonts w:ascii="Arial" w:cs="Arial" w:eastAsia="Arial" w:hAnsi="Arial"/>
                <w:sz w:val="22"/>
                <w:szCs w:val="22"/>
                <w:color w:val="auto"/>
              </w:rPr>
              <w:t>Section 4.14</w:t>
            </w:r>
          </w:p>
        </w:tc>
        <w:tc>
          <w:tcPr>
            <w:tcW w:w="6480" w:type="dxa"/>
            <w:vAlign w:val="bottom"/>
          </w:tcPr>
          <w:p>
            <w:pPr>
              <w:ind w:left="280"/>
              <w:spacing w:after="0"/>
              <w:rPr>
                <w:sz w:val="20"/>
                <w:szCs w:val="20"/>
                <w:color w:val="auto"/>
              </w:rPr>
            </w:pPr>
            <w:r>
              <w:rPr>
                <w:rFonts w:ascii="Arial" w:cs="Arial" w:eastAsia="Arial" w:hAnsi="Arial"/>
                <w:sz w:val="22"/>
                <w:szCs w:val="22"/>
                <w:color w:val="auto"/>
              </w:rPr>
              <w:t>Disclosure</w:t>
            </w:r>
          </w:p>
        </w:tc>
        <w:tc>
          <w:tcPr>
            <w:tcW w:w="25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55"/>
        </w:trPr>
        <w:tc>
          <w:tcPr>
            <w:tcW w:w="1400" w:type="dxa"/>
            <w:vAlign w:val="bottom"/>
          </w:tcPr>
          <w:p>
            <w:pPr>
              <w:spacing w:after="0"/>
              <w:rPr>
                <w:sz w:val="20"/>
                <w:szCs w:val="20"/>
                <w:color w:val="auto"/>
              </w:rPr>
            </w:pPr>
            <w:r>
              <w:rPr>
                <w:rFonts w:ascii="Arial" w:cs="Arial" w:eastAsia="Arial" w:hAnsi="Arial"/>
                <w:sz w:val="22"/>
                <w:szCs w:val="22"/>
                <w:color w:val="auto"/>
              </w:rPr>
              <w:t>ARTICLE V</w:t>
            </w:r>
          </w:p>
        </w:tc>
        <w:tc>
          <w:tcPr>
            <w:tcW w:w="7300" w:type="dxa"/>
            <w:vAlign w:val="bottom"/>
            <w:gridSpan w:val="2"/>
          </w:tcPr>
          <w:p>
            <w:pPr>
              <w:ind w:left="220"/>
              <w:spacing w:after="0"/>
              <w:rPr>
                <w:sz w:val="20"/>
                <w:szCs w:val="20"/>
                <w:color w:val="auto"/>
              </w:rPr>
            </w:pPr>
            <w:r>
              <w:rPr>
                <w:rFonts w:ascii="Arial" w:cs="Arial" w:eastAsia="Arial" w:hAnsi="Arial"/>
                <w:sz w:val="22"/>
                <w:szCs w:val="22"/>
                <w:color w:val="auto"/>
              </w:rPr>
              <w:t>BUYER’S REPRESENTATIONS AND WARRANTIES</w:t>
            </w:r>
          </w:p>
        </w:tc>
        <w:tc>
          <w:tcPr>
            <w:tcW w:w="25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5.1</w:t>
            </w:r>
          </w:p>
        </w:tc>
        <w:tc>
          <w:tcPr>
            <w:tcW w:w="6480" w:type="dxa"/>
            <w:vAlign w:val="bottom"/>
          </w:tcPr>
          <w:p>
            <w:pPr>
              <w:ind w:left="280"/>
              <w:spacing w:after="0" w:line="243" w:lineRule="exact"/>
              <w:rPr>
                <w:sz w:val="20"/>
                <w:szCs w:val="20"/>
                <w:color w:val="auto"/>
              </w:rPr>
            </w:pPr>
            <w:r>
              <w:rPr>
                <w:rFonts w:ascii="Arial" w:cs="Arial" w:eastAsia="Arial" w:hAnsi="Arial"/>
                <w:sz w:val="22"/>
                <w:szCs w:val="22"/>
                <w:color w:val="auto"/>
              </w:rPr>
              <w:t>Organization</w:t>
            </w:r>
          </w:p>
        </w:tc>
        <w:tc>
          <w:tcPr>
            <w:tcW w:w="256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74"/>
        </w:trPr>
        <w:tc>
          <w:tcPr>
            <w:tcW w:w="2220" w:type="dxa"/>
            <w:vAlign w:val="bottom"/>
            <w:gridSpan w:val="2"/>
          </w:tcPr>
          <w:p>
            <w:pPr>
              <w:ind w:left="860"/>
              <w:spacing w:after="0"/>
              <w:rPr>
                <w:sz w:val="20"/>
                <w:szCs w:val="20"/>
                <w:color w:val="auto"/>
              </w:rPr>
            </w:pPr>
            <w:r>
              <w:rPr>
                <w:rFonts w:ascii="Arial" w:cs="Arial" w:eastAsia="Arial" w:hAnsi="Arial"/>
                <w:sz w:val="22"/>
                <w:szCs w:val="22"/>
                <w:color w:val="auto"/>
              </w:rPr>
              <w:t>Section 5.2</w:t>
            </w:r>
          </w:p>
        </w:tc>
        <w:tc>
          <w:tcPr>
            <w:tcW w:w="6480" w:type="dxa"/>
            <w:vAlign w:val="bottom"/>
          </w:tcPr>
          <w:p>
            <w:pPr>
              <w:ind w:left="280"/>
              <w:spacing w:after="0"/>
              <w:rPr>
                <w:sz w:val="20"/>
                <w:szCs w:val="20"/>
                <w:color w:val="auto"/>
              </w:rPr>
            </w:pPr>
            <w:r>
              <w:rPr>
                <w:rFonts w:ascii="Arial" w:cs="Arial" w:eastAsia="Arial" w:hAnsi="Arial"/>
                <w:sz w:val="22"/>
                <w:szCs w:val="22"/>
                <w:color w:val="auto"/>
              </w:rPr>
              <w:t>Authorization</w:t>
            </w:r>
          </w:p>
        </w:tc>
        <w:tc>
          <w:tcPr>
            <w:tcW w:w="25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564"/>
        </w:trPr>
        <w:tc>
          <w:tcPr>
            <w:tcW w:w="1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3"/>
        </w:trPr>
        <w:tc>
          <w:tcPr>
            <w:tcW w:w="2220" w:type="dxa"/>
            <w:vAlign w:val="bottom"/>
            <w:gridSpan w:val="2"/>
          </w:tcPr>
          <w:p>
            <w:pPr>
              <w:ind w:left="860"/>
              <w:spacing w:after="0"/>
              <w:rPr>
                <w:sz w:val="20"/>
                <w:szCs w:val="20"/>
                <w:color w:val="auto"/>
              </w:rPr>
            </w:pPr>
            <w:r>
              <w:rPr>
                <w:rFonts w:ascii="Arial" w:cs="Arial" w:eastAsia="Arial" w:hAnsi="Arial"/>
                <w:sz w:val="22"/>
                <w:szCs w:val="22"/>
                <w:color w:val="auto"/>
              </w:rPr>
              <w:t>Section 5.3</w:t>
            </w:r>
          </w:p>
        </w:tc>
        <w:tc>
          <w:tcPr>
            <w:tcW w:w="7260" w:type="dxa"/>
            <w:vAlign w:val="bottom"/>
          </w:tcPr>
          <w:p>
            <w:pPr>
              <w:ind w:left="280"/>
              <w:spacing w:after="0"/>
              <w:rPr>
                <w:sz w:val="20"/>
                <w:szCs w:val="20"/>
                <w:color w:val="auto"/>
              </w:rPr>
            </w:pPr>
            <w:r>
              <w:rPr>
                <w:rFonts w:ascii="Arial" w:cs="Arial" w:eastAsia="Arial" w:hAnsi="Arial"/>
                <w:sz w:val="22"/>
                <w:szCs w:val="22"/>
                <w:color w:val="auto"/>
              </w:rPr>
              <w:t>Enforceability</w:t>
            </w:r>
          </w:p>
        </w:tc>
        <w:tc>
          <w:tcPr>
            <w:tcW w:w="17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5.4</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Absence of Conflicts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5.5</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Consents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5.6</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Litigation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5.7</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Brokers’ Fees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5.8</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Financing</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74"/>
        </w:trPr>
        <w:tc>
          <w:tcPr>
            <w:tcW w:w="2220" w:type="dxa"/>
            <w:vAlign w:val="bottom"/>
            <w:gridSpan w:val="2"/>
          </w:tcPr>
          <w:p>
            <w:pPr>
              <w:ind w:left="860"/>
              <w:spacing w:after="0"/>
              <w:rPr>
                <w:sz w:val="20"/>
                <w:szCs w:val="20"/>
                <w:color w:val="auto"/>
              </w:rPr>
            </w:pPr>
            <w:r>
              <w:rPr>
                <w:rFonts w:ascii="Arial" w:cs="Arial" w:eastAsia="Arial" w:hAnsi="Arial"/>
                <w:sz w:val="22"/>
                <w:szCs w:val="22"/>
                <w:color w:val="auto"/>
              </w:rPr>
              <w:t>Section 5.9</w:t>
            </w:r>
          </w:p>
        </w:tc>
        <w:tc>
          <w:tcPr>
            <w:tcW w:w="7260" w:type="dxa"/>
            <w:vAlign w:val="bottom"/>
          </w:tcPr>
          <w:p>
            <w:pPr>
              <w:ind w:left="280"/>
              <w:spacing w:after="0"/>
              <w:rPr>
                <w:sz w:val="20"/>
                <w:szCs w:val="20"/>
                <w:color w:val="auto"/>
              </w:rPr>
            </w:pPr>
            <w:r>
              <w:rPr>
                <w:rFonts w:ascii="Arial" w:cs="Arial" w:eastAsia="Arial" w:hAnsi="Arial"/>
                <w:sz w:val="22"/>
                <w:szCs w:val="22"/>
                <w:color w:val="auto"/>
              </w:rPr>
              <w:t>Tax Status</w:t>
            </w:r>
          </w:p>
        </w:tc>
        <w:tc>
          <w:tcPr>
            <w:tcW w:w="17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55"/>
        </w:trPr>
        <w:tc>
          <w:tcPr>
            <w:tcW w:w="1480" w:type="dxa"/>
            <w:vAlign w:val="bottom"/>
          </w:tcPr>
          <w:p>
            <w:pPr>
              <w:spacing w:after="0"/>
              <w:rPr>
                <w:sz w:val="20"/>
                <w:szCs w:val="20"/>
                <w:color w:val="auto"/>
              </w:rPr>
            </w:pPr>
            <w:r>
              <w:rPr>
                <w:rFonts w:ascii="Arial" w:cs="Arial" w:eastAsia="Arial" w:hAnsi="Arial"/>
                <w:sz w:val="22"/>
                <w:szCs w:val="22"/>
                <w:color w:val="auto"/>
              </w:rPr>
              <w:t>ARTICLE VI</w:t>
            </w:r>
          </w:p>
        </w:tc>
        <w:tc>
          <w:tcPr>
            <w:tcW w:w="8000" w:type="dxa"/>
            <w:vAlign w:val="bottom"/>
            <w:gridSpan w:val="2"/>
          </w:tcPr>
          <w:p>
            <w:pPr>
              <w:ind w:left="140"/>
              <w:spacing w:after="0"/>
              <w:rPr>
                <w:sz w:val="20"/>
                <w:szCs w:val="20"/>
                <w:color w:val="auto"/>
              </w:rPr>
            </w:pPr>
            <w:r>
              <w:rPr>
                <w:rFonts w:ascii="Arial" w:cs="Arial" w:eastAsia="Arial" w:hAnsi="Arial"/>
                <w:sz w:val="22"/>
                <w:szCs w:val="22"/>
                <w:color w:val="auto"/>
              </w:rPr>
              <w:t>GENERAL COVENANTS</w:t>
            </w:r>
          </w:p>
        </w:tc>
        <w:tc>
          <w:tcPr>
            <w:tcW w:w="17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6.1</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Confidentiality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6.2</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Public Announcements; Use of Names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6.3</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Taxes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6.4</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Further Actions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74"/>
        </w:trPr>
        <w:tc>
          <w:tcPr>
            <w:tcW w:w="2220" w:type="dxa"/>
            <w:vAlign w:val="bottom"/>
            <w:gridSpan w:val="2"/>
          </w:tcPr>
          <w:p>
            <w:pPr>
              <w:ind w:left="860"/>
              <w:spacing w:after="0"/>
              <w:rPr>
                <w:sz w:val="20"/>
                <w:szCs w:val="20"/>
                <w:color w:val="auto"/>
              </w:rPr>
            </w:pPr>
            <w:r>
              <w:rPr>
                <w:rFonts w:ascii="Arial" w:cs="Arial" w:eastAsia="Arial" w:hAnsi="Arial"/>
                <w:sz w:val="22"/>
                <w:szCs w:val="22"/>
                <w:color w:val="auto"/>
              </w:rPr>
              <w:t>Section 6.5</w:t>
            </w:r>
          </w:p>
        </w:tc>
        <w:tc>
          <w:tcPr>
            <w:tcW w:w="7260" w:type="dxa"/>
            <w:vAlign w:val="bottom"/>
          </w:tcPr>
          <w:p>
            <w:pPr>
              <w:ind w:left="280"/>
              <w:spacing w:after="0"/>
              <w:rPr>
                <w:sz w:val="20"/>
                <w:szCs w:val="20"/>
                <w:color w:val="auto"/>
              </w:rPr>
            </w:pPr>
            <w:r>
              <w:rPr>
                <w:rFonts w:ascii="Arial" w:cs="Arial" w:eastAsia="Arial" w:hAnsi="Arial"/>
                <w:sz w:val="22"/>
                <w:szCs w:val="22"/>
                <w:color w:val="auto"/>
              </w:rPr>
              <w:t>Pfizer Payment Instructions</w:t>
            </w:r>
          </w:p>
        </w:tc>
        <w:tc>
          <w:tcPr>
            <w:tcW w:w="17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55"/>
        </w:trPr>
        <w:tc>
          <w:tcPr>
            <w:tcW w:w="1480" w:type="dxa"/>
            <w:vAlign w:val="bottom"/>
          </w:tcPr>
          <w:p>
            <w:pPr>
              <w:spacing w:after="0"/>
              <w:rPr>
                <w:sz w:val="20"/>
                <w:szCs w:val="20"/>
                <w:color w:val="auto"/>
              </w:rPr>
            </w:pPr>
            <w:r>
              <w:rPr>
                <w:rFonts w:ascii="Arial" w:cs="Arial" w:eastAsia="Arial" w:hAnsi="Arial"/>
                <w:sz w:val="22"/>
                <w:szCs w:val="22"/>
                <w:color w:val="auto"/>
              </w:rPr>
              <w:t>ARTICLE VII</w:t>
            </w:r>
          </w:p>
        </w:tc>
        <w:tc>
          <w:tcPr>
            <w:tcW w:w="8000" w:type="dxa"/>
            <w:vAlign w:val="bottom"/>
            <w:gridSpan w:val="2"/>
          </w:tcPr>
          <w:p>
            <w:pPr>
              <w:ind w:left="140"/>
              <w:spacing w:after="0"/>
              <w:rPr>
                <w:sz w:val="20"/>
                <w:szCs w:val="20"/>
                <w:color w:val="auto"/>
              </w:rPr>
            </w:pPr>
            <w:r>
              <w:rPr>
                <w:rFonts w:ascii="Arial" w:cs="Arial" w:eastAsia="Arial" w:hAnsi="Arial"/>
                <w:sz w:val="22"/>
                <w:szCs w:val="22"/>
                <w:color w:val="auto"/>
              </w:rPr>
              <w:t>COVENANTS RELATING TO THE LICENSE AGREEMENT</w:t>
            </w:r>
          </w:p>
        </w:tc>
        <w:tc>
          <w:tcPr>
            <w:tcW w:w="17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7.1</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Performance of License Agreement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7.2</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Misdirected Royalty Payments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7.3</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Reports; Notices; Correspondence</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74"/>
        </w:trPr>
        <w:tc>
          <w:tcPr>
            <w:tcW w:w="2220" w:type="dxa"/>
            <w:vAlign w:val="bottom"/>
            <w:gridSpan w:val="2"/>
          </w:tcPr>
          <w:p>
            <w:pPr>
              <w:ind w:left="860"/>
              <w:spacing w:after="0"/>
              <w:rPr>
                <w:sz w:val="20"/>
                <w:szCs w:val="20"/>
                <w:color w:val="auto"/>
              </w:rPr>
            </w:pPr>
            <w:r>
              <w:rPr>
                <w:rFonts w:ascii="Arial" w:cs="Arial" w:eastAsia="Arial" w:hAnsi="Arial"/>
                <w:sz w:val="22"/>
                <w:szCs w:val="22"/>
                <w:color w:val="auto"/>
              </w:rPr>
              <w:t>Section 7.4</w:t>
            </w:r>
          </w:p>
        </w:tc>
        <w:tc>
          <w:tcPr>
            <w:tcW w:w="7260" w:type="dxa"/>
            <w:vAlign w:val="bottom"/>
          </w:tcPr>
          <w:p>
            <w:pPr>
              <w:ind w:left="280"/>
              <w:spacing w:after="0"/>
              <w:rPr>
                <w:sz w:val="20"/>
                <w:szCs w:val="20"/>
                <w:color w:val="auto"/>
              </w:rPr>
            </w:pPr>
            <w:r>
              <w:rPr>
                <w:rFonts w:ascii="Arial" w:cs="Arial" w:eastAsia="Arial" w:hAnsi="Arial"/>
                <w:sz w:val="22"/>
                <w:szCs w:val="22"/>
                <w:color w:val="auto"/>
              </w:rPr>
              <w:t>Preservation of Rights; Assignments</w:t>
            </w:r>
          </w:p>
        </w:tc>
        <w:tc>
          <w:tcPr>
            <w:tcW w:w="17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55"/>
        </w:trPr>
        <w:tc>
          <w:tcPr>
            <w:tcW w:w="1480" w:type="dxa"/>
            <w:vAlign w:val="bottom"/>
          </w:tcPr>
          <w:p>
            <w:pPr>
              <w:spacing w:after="0"/>
              <w:rPr>
                <w:sz w:val="20"/>
                <w:szCs w:val="20"/>
                <w:color w:val="auto"/>
              </w:rPr>
            </w:pPr>
            <w:r>
              <w:rPr>
                <w:rFonts w:ascii="Arial" w:cs="Arial" w:eastAsia="Arial" w:hAnsi="Arial"/>
                <w:sz w:val="22"/>
                <w:szCs w:val="22"/>
                <w:color w:val="auto"/>
              </w:rPr>
              <w:t>ARTICLE VIII</w:t>
            </w:r>
          </w:p>
        </w:tc>
        <w:tc>
          <w:tcPr>
            <w:tcW w:w="8000" w:type="dxa"/>
            <w:vAlign w:val="bottom"/>
            <w:gridSpan w:val="2"/>
          </w:tcPr>
          <w:p>
            <w:pPr>
              <w:ind w:left="140"/>
              <w:spacing w:after="0"/>
              <w:rPr>
                <w:sz w:val="20"/>
                <w:szCs w:val="20"/>
                <w:color w:val="auto"/>
              </w:rPr>
            </w:pPr>
            <w:r>
              <w:rPr>
                <w:rFonts w:ascii="Arial" w:cs="Arial" w:eastAsia="Arial" w:hAnsi="Arial"/>
                <w:sz w:val="22"/>
                <w:szCs w:val="22"/>
                <w:color w:val="auto"/>
              </w:rPr>
              <w:t>INDEMNIFICATION</w:t>
            </w:r>
          </w:p>
        </w:tc>
        <w:tc>
          <w:tcPr>
            <w:tcW w:w="17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8.1</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Obligation of Parties to Indemnify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8.2</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Procedures Relating to Indemnification for Third Party Claims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8.3</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Procedures Relating to Indemnification for Other Claims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8.4</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Limitations on Indemnification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8.5</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Survival of Representations and Warranties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8.6</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No Implied Representations and Warranties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8.6</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Exclusive Remedy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74"/>
        </w:trPr>
        <w:tc>
          <w:tcPr>
            <w:tcW w:w="2220" w:type="dxa"/>
            <w:vAlign w:val="bottom"/>
            <w:gridSpan w:val="2"/>
          </w:tcPr>
          <w:p>
            <w:pPr>
              <w:ind w:left="860"/>
              <w:spacing w:after="0"/>
              <w:rPr>
                <w:sz w:val="20"/>
                <w:szCs w:val="20"/>
                <w:color w:val="auto"/>
              </w:rPr>
            </w:pPr>
            <w:r>
              <w:rPr>
                <w:rFonts w:ascii="Arial" w:cs="Arial" w:eastAsia="Arial" w:hAnsi="Arial"/>
                <w:sz w:val="22"/>
                <w:szCs w:val="22"/>
                <w:color w:val="auto"/>
              </w:rPr>
              <w:t>Section 8.7</w:t>
            </w:r>
          </w:p>
        </w:tc>
        <w:tc>
          <w:tcPr>
            <w:tcW w:w="7260" w:type="dxa"/>
            <w:vAlign w:val="bottom"/>
          </w:tcPr>
          <w:p>
            <w:pPr>
              <w:ind w:left="280"/>
              <w:spacing w:after="0"/>
              <w:rPr>
                <w:sz w:val="20"/>
                <w:szCs w:val="20"/>
                <w:color w:val="auto"/>
              </w:rPr>
            </w:pPr>
            <w:r>
              <w:rPr>
                <w:rFonts w:ascii="Arial" w:cs="Arial" w:eastAsia="Arial" w:hAnsi="Arial"/>
                <w:sz w:val="22"/>
                <w:szCs w:val="22"/>
                <w:color w:val="auto"/>
              </w:rPr>
              <w:t>Limitations on Damages</w:t>
            </w:r>
          </w:p>
        </w:tc>
        <w:tc>
          <w:tcPr>
            <w:tcW w:w="17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55"/>
        </w:trPr>
        <w:tc>
          <w:tcPr>
            <w:tcW w:w="1480" w:type="dxa"/>
            <w:vAlign w:val="bottom"/>
          </w:tcPr>
          <w:p>
            <w:pPr>
              <w:spacing w:after="0"/>
              <w:rPr>
                <w:sz w:val="20"/>
                <w:szCs w:val="20"/>
                <w:color w:val="auto"/>
              </w:rPr>
            </w:pPr>
            <w:r>
              <w:rPr>
                <w:rFonts w:ascii="Arial" w:cs="Arial" w:eastAsia="Arial" w:hAnsi="Arial"/>
                <w:sz w:val="22"/>
                <w:szCs w:val="22"/>
                <w:color w:val="auto"/>
              </w:rPr>
              <w:t>ARTICLE IX</w:t>
            </w:r>
          </w:p>
        </w:tc>
        <w:tc>
          <w:tcPr>
            <w:tcW w:w="8000" w:type="dxa"/>
            <w:vAlign w:val="bottom"/>
            <w:gridSpan w:val="2"/>
          </w:tcPr>
          <w:p>
            <w:pPr>
              <w:ind w:left="140"/>
              <w:spacing w:after="0"/>
              <w:rPr>
                <w:sz w:val="20"/>
                <w:szCs w:val="20"/>
                <w:color w:val="auto"/>
              </w:rPr>
            </w:pPr>
            <w:r>
              <w:rPr>
                <w:rFonts w:ascii="Arial" w:cs="Arial" w:eastAsia="Arial" w:hAnsi="Arial"/>
                <w:sz w:val="22"/>
                <w:szCs w:val="22"/>
                <w:color w:val="auto"/>
              </w:rPr>
              <w:t>MISCELLANEOUS</w:t>
            </w:r>
          </w:p>
        </w:tc>
        <w:tc>
          <w:tcPr>
            <w:tcW w:w="17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Headings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9.2</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Notices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9.3</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No Personal Liability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9.4</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Expenses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9.5</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Assignment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9.6</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Amendment and Waiver</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9.7</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Entire Agreement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9.8</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Independent Contractors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9.9</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No Third Party Beneficiaries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9.10</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Governing Law</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9.11</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Jurisdiction; Venue; Service Of Process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9.12</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Severability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22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Section 9.13</w:t>
            </w:r>
          </w:p>
        </w:tc>
        <w:tc>
          <w:tcPr>
            <w:tcW w:w="7260" w:type="dxa"/>
            <w:vAlign w:val="bottom"/>
          </w:tcPr>
          <w:p>
            <w:pPr>
              <w:ind w:left="280"/>
              <w:spacing w:after="0" w:line="243" w:lineRule="exact"/>
              <w:rPr>
                <w:sz w:val="20"/>
                <w:szCs w:val="20"/>
                <w:color w:val="auto"/>
              </w:rPr>
            </w:pPr>
            <w:r>
              <w:rPr>
                <w:rFonts w:ascii="Arial" w:cs="Arial" w:eastAsia="Arial" w:hAnsi="Arial"/>
                <w:sz w:val="22"/>
                <w:szCs w:val="22"/>
                <w:color w:val="auto"/>
              </w:rPr>
              <w:t>Counterparts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74"/>
        </w:trPr>
        <w:tc>
          <w:tcPr>
            <w:tcW w:w="2220" w:type="dxa"/>
            <w:vAlign w:val="bottom"/>
            <w:gridSpan w:val="2"/>
          </w:tcPr>
          <w:p>
            <w:pPr>
              <w:ind w:left="860"/>
              <w:spacing w:after="0"/>
              <w:rPr>
                <w:sz w:val="20"/>
                <w:szCs w:val="20"/>
                <w:color w:val="auto"/>
              </w:rPr>
            </w:pPr>
            <w:r>
              <w:rPr>
                <w:rFonts w:ascii="Arial" w:cs="Arial" w:eastAsia="Arial" w:hAnsi="Arial"/>
                <w:sz w:val="22"/>
                <w:szCs w:val="22"/>
                <w:color w:val="auto"/>
              </w:rPr>
              <w:t>Section 9.14</w:t>
            </w:r>
          </w:p>
        </w:tc>
        <w:tc>
          <w:tcPr>
            <w:tcW w:w="7260" w:type="dxa"/>
            <w:vAlign w:val="bottom"/>
          </w:tcPr>
          <w:p>
            <w:pPr>
              <w:ind w:left="280"/>
              <w:spacing w:after="0"/>
              <w:rPr>
                <w:sz w:val="20"/>
                <w:szCs w:val="20"/>
                <w:color w:val="auto"/>
              </w:rPr>
            </w:pPr>
            <w:r>
              <w:rPr>
                <w:rFonts w:ascii="Arial" w:cs="Arial" w:eastAsia="Arial" w:hAnsi="Arial"/>
                <w:sz w:val="22"/>
                <w:szCs w:val="22"/>
                <w:color w:val="auto"/>
              </w:rPr>
              <w:t>Termination of Agreement</w:t>
            </w:r>
          </w:p>
        </w:tc>
        <w:tc>
          <w:tcPr>
            <w:tcW w:w="1780" w:type="dxa"/>
            <w:vAlign w:val="bottom"/>
          </w:tcPr>
          <w:p>
            <w:pPr>
              <w:jc w:val="right"/>
              <w:spacing w:after="0"/>
              <w:rPr>
                <w:sz w:val="20"/>
                <w:szCs w:val="20"/>
                <w:color w:val="auto"/>
              </w:rPr>
            </w:pPr>
            <w:r>
              <w:rPr>
                <w:rFonts w:ascii="Arial" w:cs="Arial" w:eastAsia="Arial" w:hAnsi="Arial"/>
                <w:sz w:val="22"/>
                <w:szCs w:val="22"/>
                <w:color w:val="auto"/>
              </w:rPr>
              <w:t>32</w:t>
            </w:r>
          </w:p>
        </w:tc>
      </w:tr>
    </w:tbl>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List of Exhibits</w:t>
      </w:r>
    </w:p>
    <w:p>
      <w:pPr>
        <w:spacing w:after="0" w:line="4" w:lineRule="exact"/>
        <w:rPr>
          <w:sz w:val="20"/>
          <w:szCs w:val="20"/>
          <w:color w:val="auto"/>
        </w:rPr>
      </w:pPr>
    </w:p>
    <w:p>
      <w:pPr>
        <w:ind w:left="820" w:hanging="812"/>
        <w:spacing w:after="0"/>
        <w:tabs>
          <w:tab w:leader="none" w:pos="8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Bill of Sale and Assignment</w:t>
      </w:r>
    </w:p>
    <w:p>
      <w:pPr>
        <w:spacing w:after="0"/>
        <w:rPr>
          <w:rFonts w:ascii="Arial" w:cs="Arial" w:eastAsia="Arial" w:hAnsi="Arial"/>
          <w:sz w:val="22"/>
          <w:szCs w:val="22"/>
          <w:color w:val="auto"/>
        </w:rPr>
      </w:pPr>
      <w:r>
        <w:rPr>
          <w:rFonts w:ascii="Arial" w:cs="Arial" w:eastAsia="Arial" w:hAnsi="Arial"/>
          <w:sz w:val="22"/>
          <w:szCs w:val="22"/>
          <w:color w:val="auto"/>
        </w:rPr>
        <w:t>B</w:t>
      </w:r>
      <w:r>
        <w:rPr>
          <w:rFonts w:ascii="Arial" w:cs="Arial" w:eastAsia="Arial" w:hAnsi="Arial"/>
          <w:sz w:val="19"/>
          <w:szCs w:val="19"/>
          <w:color w:val="auto"/>
        </w:rPr>
        <w:t>Disclosure Schedules</w:t>
      </w:r>
    </w:p>
    <w:p>
      <w:pPr>
        <w:spacing w:after="0"/>
        <w:rPr>
          <w:rFonts w:ascii="Arial" w:cs="Arial" w:eastAsia="Arial" w:hAnsi="Arial"/>
          <w:sz w:val="22"/>
          <w:szCs w:val="22"/>
          <w:color w:val="auto"/>
        </w:rPr>
      </w:pPr>
      <w:r>
        <w:rPr>
          <w:rFonts w:ascii="Arial" w:cs="Arial" w:eastAsia="Arial" w:hAnsi="Arial"/>
          <w:sz w:val="22"/>
          <w:szCs w:val="22"/>
          <w:color w:val="auto"/>
        </w:rPr>
        <w:t>C</w:t>
      </w:r>
      <w:r>
        <w:rPr>
          <w:rFonts w:ascii="Arial" w:cs="Arial" w:eastAsia="Arial" w:hAnsi="Arial"/>
          <w:sz w:val="19"/>
          <w:szCs w:val="19"/>
          <w:color w:val="auto"/>
        </w:rPr>
        <w:t>Pfizer Instruction Letter</w:t>
      </w:r>
    </w:p>
    <w:p>
      <w:pPr>
        <w:spacing w:after="0"/>
        <w:rPr>
          <w:rFonts w:ascii="Arial" w:cs="Arial" w:eastAsia="Arial" w:hAnsi="Arial"/>
          <w:sz w:val="22"/>
          <w:szCs w:val="22"/>
          <w:color w:val="auto"/>
        </w:rPr>
      </w:pPr>
      <w:r>
        <w:rPr>
          <w:rFonts w:ascii="Arial" w:cs="Arial" w:eastAsia="Arial" w:hAnsi="Arial"/>
          <w:sz w:val="22"/>
          <w:szCs w:val="22"/>
          <w:color w:val="auto"/>
        </w:rPr>
        <w:t>D</w:t>
      </w:r>
      <w:r>
        <w:rPr>
          <w:rFonts w:ascii="Arial" w:cs="Arial" w:eastAsia="Arial" w:hAnsi="Arial"/>
          <w:sz w:val="19"/>
          <w:szCs w:val="19"/>
          <w:color w:val="auto"/>
        </w:rPr>
        <w:t>Legal Opinion</w:t>
      </w:r>
    </w:p>
    <w:p>
      <w:pPr>
        <w:spacing w:after="0"/>
        <w:rPr>
          <w:rFonts w:ascii="Arial" w:cs="Arial" w:eastAsia="Arial" w:hAnsi="Arial"/>
          <w:sz w:val="22"/>
          <w:szCs w:val="22"/>
          <w:color w:val="auto"/>
        </w:rPr>
      </w:pPr>
      <w:r>
        <w:rPr>
          <w:rFonts w:ascii="Arial" w:cs="Arial" w:eastAsia="Arial" w:hAnsi="Arial"/>
          <w:sz w:val="22"/>
          <w:szCs w:val="22"/>
          <w:color w:val="auto"/>
        </w:rPr>
        <w:t>E</w:t>
      </w:r>
      <w:r>
        <w:rPr>
          <w:rFonts w:ascii="Arial" w:cs="Arial" w:eastAsia="Arial" w:hAnsi="Arial"/>
          <w:sz w:val="19"/>
          <w:szCs w:val="19"/>
          <w:color w:val="auto"/>
        </w:rPr>
        <w:t>Escrow Agreement</w:t>
      </w:r>
    </w:p>
    <w:p>
      <w:pPr>
        <w:spacing w:after="0"/>
        <w:rPr>
          <w:rFonts w:ascii="Arial" w:cs="Arial" w:eastAsia="Arial" w:hAnsi="Arial"/>
          <w:sz w:val="22"/>
          <w:szCs w:val="22"/>
          <w:color w:val="auto"/>
        </w:rPr>
      </w:pPr>
      <w:r>
        <w:rPr>
          <w:rFonts w:ascii="Arial" w:cs="Arial" w:eastAsia="Arial" w:hAnsi="Arial"/>
          <w:sz w:val="22"/>
          <w:szCs w:val="22"/>
          <w:color w:val="auto"/>
        </w:rPr>
        <w:t>F</w:t>
      </w:r>
      <w:r>
        <w:rPr>
          <w:rFonts w:ascii="Arial" w:cs="Arial" w:eastAsia="Arial" w:hAnsi="Arial"/>
          <w:sz w:val="19"/>
          <w:szCs w:val="19"/>
          <w:color w:val="auto"/>
        </w:rPr>
        <w:t>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4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084" w:right="1440" w:bottom="1440" w:gutter="0" w:footer="0" w:header="0"/>
        </w:sectPr>
      </w:pPr>
    </w:p>
    <w:bookmarkStart w:id="58" w:name="page59"/>
    <w:bookmarkEnd w:id="58"/>
    <w:p>
      <w:pPr>
        <w:jc w:val="center"/>
        <w:ind w:right="-119"/>
        <w:spacing w:after="0"/>
        <w:rPr>
          <w:sz w:val="20"/>
          <w:szCs w:val="20"/>
          <w:color w:val="auto"/>
        </w:rPr>
      </w:pPr>
      <w:r>
        <w:rPr>
          <w:rFonts w:ascii="Arial" w:cs="Arial" w:eastAsia="Arial" w:hAnsi="Arial"/>
          <w:sz w:val="22"/>
          <w:szCs w:val="22"/>
          <w:b w:val="1"/>
          <w:bCs w:val="1"/>
          <w:color w:val="auto"/>
        </w:rPr>
        <w:t>ROYALTY PURCHASE AGREEMENT</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This Royalty Purchase Agreement is dated as of March 30, 2021 (this “</w:t>
      </w:r>
      <w:r>
        <w:rPr>
          <w:rFonts w:ascii="Arial" w:cs="Arial" w:eastAsia="Arial" w:hAnsi="Arial"/>
          <w:sz w:val="22"/>
          <w:szCs w:val="22"/>
          <w:u w:val="single" w:color="auto"/>
          <w:color w:val="auto"/>
        </w:rPr>
        <w:t>Agreement</w:t>
      </w:r>
      <w:r>
        <w:rPr>
          <w:rFonts w:ascii="Arial" w:cs="Arial" w:eastAsia="Arial" w:hAnsi="Arial"/>
          <w:sz w:val="22"/>
          <w:szCs w:val="22"/>
          <w:color w:val="auto"/>
        </w:rPr>
        <w:t>”), by and between Aptevo Therapeutics Inc., a Delaware corporation (“</w:t>
      </w:r>
      <w:r>
        <w:rPr>
          <w:rFonts w:ascii="Arial" w:cs="Arial" w:eastAsia="Arial" w:hAnsi="Arial"/>
          <w:sz w:val="22"/>
          <w:szCs w:val="22"/>
          <w:u w:val="single" w:color="auto"/>
          <w:color w:val="auto"/>
        </w:rPr>
        <w:t>Seller</w:t>
      </w:r>
      <w:r>
        <w:rPr>
          <w:rFonts w:ascii="Arial" w:cs="Arial" w:eastAsia="Arial" w:hAnsi="Arial"/>
          <w:sz w:val="22"/>
          <w:szCs w:val="22"/>
          <w:color w:val="auto"/>
        </w:rPr>
        <w:t>”), and Healthcare Royalty Partners IV, L.P., a Delaware limited partnership (“</w:t>
      </w:r>
      <w:r>
        <w:rPr>
          <w:rFonts w:ascii="Arial" w:cs="Arial" w:eastAsia="Arial" w:hAnsi="Arial"/>
          <w:sz w:val="22"/>
          <w:szCs w:val="22"/>
          <w:u w:val="single" w:color="auto"/>
          <w:color w:val="auto"/>
        </w:rPr>
        <w:t>Buyer</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WHEREAS, Seller (as assignee of Emergent BioSolutions Inc., the successor to Trubion Pharmaceuticals, Inc.) entered into that certain Collaboration and License Agreement, dated as of December 19, 2005, as amended or modified by (i) that certain Amendment No. 1 to the Collaboration and License Agreement, dated as of November 30, 2006, (ii) that certain Amendment No. 2 to the Collaboration and License Agreement, dated as of April 12, 2010, (iii) that certain Amendment No. 3 to the Collaboration and License Agreement, dated as of May 18, 2011, (iv) that certain Amendment No. 4 to the Collaboration and License Agreement, dated as of June 6, 2011 and (v) that certain termination notice from Pfizer Inc. (as successor and assign of all of the rights, obligations and interests of Wyeth LLC, acting through its Wyeth Pharmaceuticals Division) (“</w:t>
      </w:r>
      <w:r>
        <w:rPr>
          <w:rFonts w:ascii="Arial" w:cs="Arial" w:eastAsia="Arial" w:hAnsi="Arial"/>
          <w:sz w:val="19"/>
          <w:szCs w:val="19"/>
          <w:u w:val="single" w:color="auto"/>
          <w:color w:val="auto"/>
        </w:rPr>
        <w:t>Pfizer</w:t>
      </w:r>
      <w:r>
        <w:rPr>
          <w:rFonts w:ascii="Arial" w:cs="Arial" w:eastAsia="Arial" w:hAnsi="Arial"/>
          <w:sz w:val="19"/>
          <w:szCs w:val="19"/>
          <w:color w:val="auto"/>
        </w:rPr>
        <w:t>”) dated June 22, 2012 and received by Seller on June 25, 2012 (the “</w:t>
      </w:r>
      <w:r>
        <w:rPr>
          <w:rFonts w:ascii="Arial" w:cs="Arial" w:eastAsia="Arial" w:hAnsi="Arial"/>
          <w:sz w:val="19"/>
          <w:szCs w:val="19"/>
          <w:u w:val="single" w:color="auto"/>
          <w:color w:val="auto"/>
        </w:rPr>
        <w:t>License Agreement Termination Notice</w:t>
      </w:r>
      <w:r>
        <w:rPr>
          <w:rFonts w:ascii="Arial" w:cs="Arial" w:eastAsia="Arial" w:hAnsi="Arial"/>
          <w:sz w:val="19"/>
          <w:szCs w:val="19"/>
          <w:color w:val="auto"/>
        </w:rPr>
        <w:t>”) and as further amended, restated, supplemented or modified from time to time (the “</w:t>
      </w:r>
      <w:r>
        <w:rPr>
          <w:rFonts w:ascii="Arial" w:cs="Arial" w:eastAsia="Arial" w:hAnsi="Arial"/>
          <w:sz w:val="19"/>
          <w:szCs w:val="19"/>
          <w:u w:val="single" w:color="auto"/>
          <w:color w:val="auto"/>
        </w:rPr>
        <w:t>License Agreement</w:t>
      </w:r>
      <w:r>
        <w:rPr>
          <w:rFonts w:ascii="Arial" w:cs="Arial" w:eastAsia="Arial" w:hAnsi="Arial"/>
          <w:sz w:val="19"/>
          <w:szCs w:val="19"/>
          <w:color w:val="auto"/>
        </w:rPr>
        <w:t>”) pursuant to which Pfizer obtained from Seller certain exclusive rights to develop, manufacture and commercialize certain licensed products, as more fully set forth therein; and</w:t>
      </w:r>
    </w:p>
    <w:p>
      <w:pPr>
        <w:spacing w:after="0" w:line="161"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WHEREAS, Seller desires to sell, transfer, assign and convey to Buyer, and Buyer desires to purchase, acquire and accept from Seller, all of Seller’s right, title and interest in and to the Purchased Assets (as defined below), for the consideration and on the terms and subject to the conditions set forth in this Agreement;</w:t>
      </w:r>
    </w:p>
    <w:p>
      <w:pPr>
        <w:spacing w:after="0" w:line="18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in consideration of the representations, warranties, covenants and agreements set forth herein and for good and valuable consideration, the receipt and adequacy of which are hereby acknowledged, intending to be legally bound, Seller and Buyer hereby agree as follows:</w:t>
      </w:r>
    </w:p>
    <w:p>
      <w:pPr>
        <w:spacing w:after="0" w:line="186" w:lineRule="exact"/>
        <w:rPr>
          <w:sz w:val="20"/>
          <w:szCs w:val="20"/>
          <w:color w:val="auto"/>
        </w:rPr>
      </w:pPr>
    </w:p>
    <w:p>
      <w:pPr>
        <w:ind w:left="4780"/>
        <w:spacing w:after="0"/>
        <w:rPr>
          <w:sz w:val="20"/>
          <w:szCs w:val="20"/>
          <w:color w:val="auto"/>
        </w:rPr>
      </w:pPr>
      <w:r>
        <w:rPr>
          <w:rFonts w:ascii="Arial" w:cs="Arial" w:eastAsia="Arial" w:hAnsi="Arial"/>
          <w:sz w:val="22"/>
          <w:szCs w:val="22"/>
          <w:u w:val="single" w:color="auto"/>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 INTERPRETATION</w:t>
      </w:r>
    </w:p>
    <w:p>
      <w:pPr>
        <w:spacing w:after="0" w:line="206" w:lineRule="exact"/>
        <w:rPr>
          <w:sz w:val="20"/>
          <w:szCs w:val="20"/>
          <w:color w:val="auto"/>
        </w:rPr>
      </w:pPr>
    </w:p>
    <w:p>
      <w:pPr>
        <w:ind w:left="1520"/>
        <w:spacing w:after="0"/>
        <w:tabs>
          <w:tab w:leader="none" w:pos="3160" w:val="left"/>
          <w:tab w:leader="none" w:pos="44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2"/>
          <w:szCs w:val="22"/>
          <w:u w:val="single" w:color="auto"/>
          <w:color w:val="auto"/>
        </w:rPr>
        <w:t>Definitions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As used in this Agreement, the following terms shall have the following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meanings:</w:t>
      </w:r>
    </w:p>
    <w:p>
      <w:pPr>
        <w:spacing w:after="0" w:line="18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through one or more intermediaries, Controls, or is Controlled by, or is under common Control with, such first Person.</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Amounts</w:t>
      </w:r>
      <w:r>
        <w:rPr>
          <w:rFonts w:ascii="Arial" w:cs="Arial" w:eastAsia="Arial" w:hAnsi="Arial"/>
          <w:sz w:val="19"/>
          <w:szCs w:val="19"/>
          <w:color w:val="auto"/>
        </w:rPr>
        <w:t>” means any additional amounts paid to the Buyer pursuant to Section 6.3 in respect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Indemnified Taxes.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Royalty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59" w:name="page60"/>
    <w:bookmarkEnd w:id="59"/>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w:t>
      </w:r>
      <w:r>
        <w:rPr>
          <w:rFonts w:ascii="Arial" w:cs="Arial" w:eastAsia="Arial" w:hAnsi="Arial"/>
          <w:sz w:val="22"/>
          <w:szCs w:val="22"/>
          <w:color w:val="auto"/>
        </w:rPr>
        <w:t>” means, with respect to any Person, all laws, rules, regulations, codes and orders of Governmental Authorities applicable to such Person or any of its properties or assets.</w:t>
      </w:r>
    </w:p>
    <w:p>
      <w:pPr>
        <w:spacing w:after="0" w:line="175"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means, (i) from the date of this Agreement until the Buyer receives the Cap Amount, 100% and (ii) from and after receipt by Buyer of the Cap Amount, 50%. For the avoidance of doubt, in determining whether the Buyer has received the Cap Amount, the amount received by the Buyer will include any Additional Amounts received by the Buyer and will not include any Indemnified Taxes payable (whether payable through withholding or directly by the Buyer) in respect of any amounts payable to the Buyer under this Agreement (including in respect of any Additional Amounts).</w:t>
      </w:r>
    </w:p>
    <w:p>
      <w:pPr>
        <w:spacing w:after="0" w:line="188"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Withholding Certificate</w:t>
      </w:r>
      <w:r>
        <w:rPr>
          <w:rFonts w:ascii="Arial" w:cs="Arial" w:eastAsia="Arial" w:hAnsi="Arial"/>
          <w:sz w:val="22"/>
          <w:szCs w:val="22"/>
          <w:color w:val="auto"/>
        </w:rPr>
        <w:t>” means a valid and properly executed IRS Form W-9 (or any applicable successor form) certifying that Buyer is a “United States person” as defined in Section 7701(a)(30) and is exempt from United States federal backup withholding (including backup withholding) tax with respect to all payments in respect of the Purchased Assets.</w:t>
      </w:r>
    </w:p>
    <w:p>
      <w:pPr>
        <w:spacing w:after="0" w:line="18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 and Assignment</w:t>
      </w:r>
      <w:r>
        <w:rPr>
          <w:rFonts w:ascii="Arial" w:cs="Arial" w:eastAsia="Arial" w:hAnsi="Arial"/>
          <w:sz w:val="22"/>
          <w:szCs w:val="22"/>
          <w:color w:val="auto"/>
        </w:rPr>
        <w:t xml:space="preserve">” means that certain bill of sale and assignment,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entered into by Seller and Buyer as of the Closing.</w:t>
      </w:r>
    </w:p>
    <w:p>
      <w:pPr>
        <w:spacing w:after="0" w:line="17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a Saturday or Sunday or (b) a day on which banking institutions located in New York, New York, are permitted or required by Applicable Law to remain closed.</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Material Adverse Effect</w:t>
      </w:r>
      <w:r>
        <w:rPr>
          <w:rFonts w:ascii="Arial" w:cs="Arial" w:eastAsia="Arial" w:hAnsi="Arial"/>
          <w:sz w:val="22"/>
          <w:szCs w:val="22"/>
          <w:color w:val="auto"/>
        </w:rPr>
        <w:t>” means any material adverse effect on any one or more of the following: (a) the ability of Buyer to consummate the transactions contemplated by the Transaction Documents and perform its obligations under the Transaction Documents or (b) the validity or enforceability of the Transaction Documents against Buyer or the rights of Seller thereunder.</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 Amount</w:t>
      </w:r>
      <w:r>
        <w:rPr>
          <w:rFonts w:ascii="Arial" w:cs="Arial" w:eastAsia="Arial" w:hAnsi="Arial"/>
          <w:sz w:val="22"/>
          <w:szCs w:val="22"/>
          <w:color w:val="auto"/>
        </w:rPr>
        <w:t>” means an amount equal to 190% of the Purchase Price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CD20 Biosimilar Product Net Sales</w:t>
      </w:r>
      <w:r>
        <w:rPr>
          <w:rFonts w:ascii="Arial" w:cs="Arial" w:eastAsia="Arial" w:hAnsi="Arial"/>
          <w:sz w:val="21"/>
          <w:szCs w:val="21"/>
          <w:color w:val="auto"/>
        </w:rPr>
        <w:t>” has the meaning given to such term in the License Agreement.</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CD20 Biosimilar Products</w:t>
      </w:r>
      <w:r>
        <w:rPr>
          <w:rFonts w:ascii="Arial" w:cs="Arial" w:eastAsia="Arial" w:hAnsi="Arial"/>
          <w:sz w:val="22"/>
          <w:szCs w:val="22"/>
          <w:color w:val="auto"/>
        </w:rPr>
        <w:t>” has the meaning given to such term in the License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CD20 Biosimilar Royalty Period</w:t>
      </w:r>
      <w:r>
        <w:rPr>
          <w:rFonts w:ascii="Arial" w:cs="Arial" w:eastAsia="Arial" w:hAnsi="Arial"/>
          <w:sz w:val="22"/>
          <w:szCs w:val="22"/>
          <w:color w:val="auto"/>
        </w:rPr>
        <w:t>” has the meaning given to such term in the License Agreement.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means the efforts Seller would reasonably be expected to expend if Seller had the sole right, title and interest in and to the Purchased Asset to which such efforts relate.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0" w:name="page61"/>
    <w:bookmarkEnd w:id="60"/>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w:t>
      </w:r>
      <w:r>
        <w:rPr>
          <w:rFonts w:ascii="Arial" w:cs="Arial" w:eastAsia="Arial" w:hAnsi="Arial"/>
          <w:sz w:val="19"/>
          <w:szCs w:val="19"/>
          <w:color w:val="auto"/>
        </w:rPr>
        <w:t>” means any consent, approval, license, permit, order, authorization, registration, filing or notice.</w:t>
      </w:r>
    </w:p>
    <w:p>
      <w:pPr>
        <w:spacing w:after="0" w:line="24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contract, license, indenture, instrument, arrangement, understanding or agreement.</w:t>
      </w:r>
    </w:p>
    <w:p>
      <w:pPr>
        <w:spacing w:after="0" w:line="241"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and its derivatives mean the possession, directly or indirectly, of the power to direct or cause the direction of the management and policies of a Person, whether through the ownership of voting securities or other voting interests, by contract or otherwise.</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Account</w:t>
      </w:r>
      <w:r>
        <w:rPr>
          <w:rFonts w:ascii="Arial" w:cs="Arial" w:eastAsia="Arial" w:hAnsi="Arial"/>
          <w:sz w:val="22"/>
          <w:szCs w:val="22"/>
          <w:color w:val="auto"/>
        </w:rPr>
        <w:t>” means that certain bank account established pursuant to the Escrow Agreement and controlled by the Escrow Agent.</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Agent</w:t>
      </w:r>
      <w:r>
        <w:rPr>
          <w:rFonts w:ascii="Arial" w:cs="Arial" w:eastAsia="Arial" w:hAnsi="Arial"/>
          <w:sz w:val="22"/>
          <w:szCs w:val="22"/>
          <w:color w:val="auto"/>
        </w:rPr>
        <w:t>” means Citizens Bank, N.A., as escrow agent.</w:t>
      </w:r>
    </w:p>
    <w:p>
      <w:pPr>
        <w:spacing w:after="0" w:line="206"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United States, any other nation or any political subdivision thereof, whether state or local, and any agency, authority (including supranational authority), branch, commission, instrumentality, regulatory body, court, tribunal or arbitral or judicial body or other Person exercising executive, legislative, judicial, taxing, regulatory or administrative powers or functions of or pertaining to government.</w:t>
      </w:r>
    </w:p>
    <w:p>
      <w:pPr>
        <w:spacing w:after="0" w:line="174"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w:t>
      </w:r>
      <w:r>
        <w:rPr>
          <w:rFonts w:ascii="Arial" w:cs="Arial" w:eastAsia="Arial" w:hAnsi="Arial"/>
          <w:sz w:val="21"/>
          <w:szCs w:val="21"/>
          <w:color w:val="auto"/>
        </w:rPr>
        <w:t>” means any withholding tax imposed by any Governmental Authority in any jurisdiction as a result of any action or inaction of Seller, including (i) a redomiciling of Seller to another jurisdiction and (ii) any failure of Seller to provide any applicable documentation permitting such payments to be made without (or at a reduced rate of) withholding that is reasonably requested by Buyer and that Seller is legally eligible to provide.</w:t>
      </w:r>
    </w:p>
    <w:p>
      <w:pPr>
        <w:spacing w:after="0" w:line="17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w:t>
      </w:r>
      <w:r>
        <w:rPr>
          <w:rFonts w:ascii="Arial" w:cs="Arial" w:eastAsia="Arial" w:hAnsi="Arial"/>
          <w:sz w:val="22"/>
          <w:szCs w:val="22"/>
          <w:color w:val="auto"/>
        </w:rPr>
        <w:t>” means any judgment, order, writ, stipulation, consent order, injunction or decree.</w:t>
      </w:r>
    </w:p>
    <w:p>
      <w:pPr>
        <w:spacing w:after="0" w:line="206"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 of Seller</w:t>
      </w:r>
      <w:r>
        <w:rPr>
          <w:rFonts w:ascii="Arial" w:cs="Arial" w:eastAsia="Arial" w:hAnsi="Arial"/>
          <w:sz w:val="19"/>
          <w:szCs w:val="19"/>
          <w:color w:val="auto"/>
        </w:rPr>
        <w:t>” means the actual knowledge of each of the following officers of Seller: the Chief Executive Officer, Chief Financial Officer, General Counsel and Vice President, Finance, and such knowledge as would be imputed to such individuals upon due inquiry; provided, however, that due inquiry shall not require Seller to contact Pfizer.</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MidCap</w:t>
      </w:r>
      <w:r>
        <w:rPr>
          <w:rFonts w:ascii="Arial" w:cs="Arial" w:eastAsia="Arial" w:hAnsi="Arial"/>
          <w:sz w:val="22"/>
          <w:szCs w:val="22"/>
          <w:color w:val="auto"/>
        </w:rPr>
        <w:t>” means MidCap Financial Trust, a Delaware statutory trust.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MidCap Collateral Assignment</w:t>
      </w:r>
      <w:r>
        <w:rPr>
          <w:rFonts w:ascii="Arial" w:cs="Arial" w:eastAsia="Arial" w:hAnsi="Arial"/>
          <w:sz w:val="22"/>
          <w:szCs w:val="22"/>
          <w:color w:val="auto"/>
        </w:rPr>
        <w:t>” means that certain Collateral Assignment, dated as of August 5, 2020, by Seller and Aptevo Research &amp; Development LLC in favor of MidCap, as agent for the lenders from time to time party to the MidCap Credit Agreement.</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MidCap Credit Agreement</w:t>
      </w:r>
      <w:r>
        <w:rPr>
          <w:rFonts w:ascii="Arial" w:cs="Arial" w:eastAsia="Arial" w:hAnsi="Arial"/>
          <w:sz w:val="22"/>
          <w:szCs w:val="22"/>
          <w:color w:val="auto"/>
        </w:rPr>
        <w:t>” means that certain Credit and Security Agreement, dated as of August 5, 2020, by and among Seller and Aptevo Research &amp; Development LLC, as borrowers, the financial institutions from time to time a party thereto, as lenders, and MidCap, as agent.</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Milestone Payment</w:t>
      </w:r>
      <w:r>
        <w:rPr>
          <w:rFonts w:ascii="Arial" w:cs="Arial" w:eastAsia="Arial" w:hAnsi="Arial"/>
          <w:sz w:val="22"/>
          <w:szCs w:val="22"/>
          <w:color w:val="auto"/>
        </w:rPr>
        <w:t>” means the amount based on the applicable level of Net Sales in a calendar year as set forth in the chart below: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right w:val="single" w:sz="8" w:color="auto"/>
            </w:tcBorders>
            <w:gridSpan w:val="3"/>
          </w:tcPr>
          <w:p>
            <w:pPr>
              <w:ind w:left="200"/>
              <w:spacing w:after="0" w:line="229" w:lineRule="exact"/>
              <w:rPr>
                <w:sz w:val="20"/>
                <w:szCs w:val="20"/>
                <w:color w:val="auto"/>
              </w:rPr>
            </w:pPr>
            <w:r>
              <w:rPr>
                <w:rFonts w:ascii="Arial" w:cs="Arial" w:eastAsia="Arial" w:hAnsi="Arial"/>
                <w:sz w:val="22"/>
                <w:szCs w:val="22"/>
                <w:b w:val="1"/>
                <w:bCs w:val="1"/>
                <w:color w:val="auto"/>
                <w:w w:val="91"/>
              </w:rPr>
              <w:t>Milestone Payment Tiers based on Annual Net Sales (the</w:t>
            </w:r>
          </w:p>
        </w:tc>
        <w:tc>
          <w:tcPr>
            <w:tcW w:w="5600" w:type="dxa"/>
            <w:vAlign w:val="bottom"/>
            <w:tcBorders>
              <w:top w:val="single" w:sz="8" w:color="auto"/>
              <w:right w:val="single" w:sz="8" w:color="auto"/>
            </w:tcBorders>
          </w:tcPr>
          <w:p>
            <w:pPr>
              <w:ind w:left="1900"/>
              <w:spacing w:after="0" w:line="229" w:lineRule="exact"/>
              <w:rPr>
                <w:sz w:val="20"/>
                <w:szCs w:val="20"/>
                <w:color w:val="auto"/>
              </w:rPr>
            </w:pPr>
            <w:r>
              <w:rPr>
                <w:rFonts w:ascii="Arial" w:cs="Arial" w:eastAsia="Arial" w:hAnsi="Arial"/>
                <w:sz w:val="22"/>
                <w:szCs w:val="22"/>
                <w:b w:val="1"/>
                <w:bCs w:val="1"/>
                <w:color w:val="auto"/>
              </w:rPr>
              <w:t>Milestone Payment</w:t>
            </w:r>
          </w:p>
        </w:tc>
      </w:tr>
      <w:tr>
        <w:trPr>
          <w:trHeight w:val="230"/>
        </w:trPr>
        <w:tc>
          <w:tcPr>
            <w:tcW w:w="5640" w:type="dxa"/>
            <w:vAlign w:val="bottom"/>
            <w:tcBorders>
              <w:left w:val="single" w:sz="8" w:color="auto"/>
              <w:right w:val="single" w:sz="8" w:color="auto"/>
            </w:tcBorders>
            <w:gridSpan w:val="3"/>
          </w:tcPr>
          <w:p>
            <w:pPr>
              <w:ind w:left="2220"/>
              <w:spacing w:after="0" w:line="230" w:lineRule="exact"/>
              <w:rPr>
                <w:sz w:val="20"/>
                <w:szCs w:val="20"/>
                <w:color w:val="auto"/>
              </w:rPr>
            </w:pPr>
            <w:r>
              <w:rPr>
                <w:rFonts w:ascii="Arial" w:cs="Arial" w:eastAsia="Arial" w:hAnsi="Arial"/>
                <w:sz w:val="22"/>
                <w:szCs w:val="22"/>
                <w:b w:val="1"/>
                <w:bCs w:val="1"/>
                <w:color w:val="auto"/>
              </w:rPr>
              <w:t>“Sales Tier”)</w:t>
            </w:r>
          </w:p>
        </w:tc>
        <w:tc>
          <w:tcPr>
            <w:tcW w:w="5600" w:type="dxa"/>
            <w:vAlign w:val="bottom"/>
            <w:tcBorders>
              <w:right w:val="single" w:sz="8" w:color="auto"/>
            </w:tcBorders>
          </w:tcPr>
          <w:p>
            <w:pPr>
              <w:spacing w:after="0"/>
              <w:rPr>
                <w:sz w:val="19"/>
                <w:szCs w:val="19"/>
                <w:color w:val="auto"/>
              </w:rPr>
            </w:pPr>
          </w:p>
        </w:tc>
      </w:tr>
      <w:tr>
        <w:trPr>
          <w:trHeight w:val="20"/>
        </w:trPr>
        <w:tc>
          <w:tcPr>
            <w:tcW w:w="232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5600" w:type="dxa"/>
            <w:vAlign w:val="bottom"/>
            <w:tcBorders>
              <w:bottom w:val="single" w:sz="8" w:color="auto"/>
              <w:right w:val="single" w:sz="8" w:color="auto"/>
            </w:tcBorders>
          </w:tcPr>
          <w:p>
            <w:pPr>
              <w:spacing w:after="0" w:line="20" w:lineRule="exact"/>
              <w:rPr>
                <w:sz w:val="1"/>
                <w:szCs w:val="1"/>
                <w:color w:val="auto"/>
              </w:rPr>
            </w:pPr>
          </w:p>
        </w:tc>
      </w:tr>
      <w:tr>
        <w:trPr>
          <w:trHeight w:val="215"/>
        </w:trPr>
        <w:tc>
          <w:tcPr>
            <w:tcW w:w="5640" w:type="dxa"/>
            <w:vAlign w:val="bottom"/>
            <w:tcBorders>
              <w:left w:val="single" w:sz="8" w:color="auto"/>
              <w:right w:val="single" w:sz="8" w:color="auto"/>
            </w:tcBorders>
            <w:gridSpan w:val="3"/>
          </w:tcPr>
          <w:p>
            <w:pPr>
              <w:ind w:left="20"/>
              <w:spacing w:after="0" w:line="216" w:lineRule="exact"/>
              <w:rPr>
                <w:sz w:val="20"/>
                <w:szCs w:val="20"/>
                <w:color w:val="auto"/>
              </w:rPr>
            </w:pPr>
            <w:r>
              <w:rPr>
                <w:rFonts w:ascii="Arial" w:cs="Arial" w:eastAsia="Arial" w:hAnsi="Arial"/>
                <w:sz w:val="22"/>
                <w:szCs w:val="22"/>
                <w:color w:val="auto"/>
                <w:w w:val="89"/>
              </w:rPr>
              <w:t>A. Annual Net Sales in calendar year 2021 equal to or in excess</w:t>
            </w:r>
          </w:p>
        </w:tc>
        <w:tc>
          <w:tcPr>
            <w:tcW w:w="5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$3,500,000</w:t>
            </w:r>
          </w:p>
        </w:tc>
      </w:tr>
      <w:tr>
        <w:trPr>
          <w:trHeight w:val="274"/>
        </w:trPr>
        <w:tc>
          <w:tcPr>
            <w:tcW w:w="56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of $350,000,000</w:t>
            </w:r>
          </w:p>
        </w:tc>
        <w:tc>
          <w:tcPr>
            <w:tcW w:w="5600" w:type="dxa"/>
            <w:vAlign w:val="bottom"/>
            <w:tcBorders>
              <w:right w:val="single" w:sz="8" w:color="auto"/>
            </w:tcBorders>
          </w:tcPr>
          <w:p>
            <w:pPr>
              <w:spacing w:after="0"/>
              <w:rPr>
                <w:sz w:val="23"/>
                <w:szCs w:val="23"/>
                <w:color w:val="auto"/>
              </w:rPr>
            </w:pPr>
          </w:p>
        </w:tc>
      </w:tr>
      <w:tr>
        <w:trPr>
          <w:trHeight w:val="206"/>
        </w:trPr>
        <w:tc>
          <w:tcPr>
            <w:tcW w:w="232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15"/>
        </w:trPr>
        <w:tc>
          <w:tcPr>
            <w:tcW w:w="5640" w:type="dxa"/>
            <w:vAlign w:val="bottom"/>
            <w:tcBorders>
              <w:left w:val="single" w:sz="8" w:color="auto"/>
              <w:right w:val="single" w:sz="8" w:color="auto"/>
            </w:tcBorders>
            <w:gridSpan w:val="3"/>
          </w:tcPr>
          <w:p>
            <w:pPr>
              <w:ind w:left="20"/>
              <w:spacing w:after="0" w:line="216" w:lineRule="exact"/>
              <w:rPr>
                <w:sz w:val="20"/>
                <w:szCs w:val="20"/>
                <w:color w:val="auto"/>
              </w:rPr>
            </w:pPr>
            <w:r>
              <w:rPr>
                <w:rFonts w:ascii="Arial" w:cs="Arial" w:eastAsia="Arial" w:hAnsi="Arial"/>
                <w:sz w:val="22"/>
                <w:szCs w:val="22"/>
                <w:color w:val="auto"/>
                <w:w w:val="89"/>
              </w:rPr>
              <w:t>B. Annual Net Sales in calendar year 2021 equal to or in excess</w:t>
            </w:r>
          </w:p>
        </w:tc>
        <w:tc>
          <w:tcPr>
            <w:tcW w:w="5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$6,500,000</w:t>
            </w:r>
          </w:p>
        </w:tc>
      </w:tr>
      <w:tr>
        <w:trPr>
          <w:trHeight w:val="274"/>
        </w:trPr>
        <w:tc>
          <w:tcPr>
            <w:tcW w:w="56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of $395,000,000</w:t>
            </w:r>
          </w:p>
        </w:tc>
        <w:tc>
          <w:tcPr>
            <w:tcW w:w="5600" w:type="dxa"/>
            <w:vAlign w:val="bottom"/>
            <w:tcBorders>
              <w:right w:val="single" w:sz="8" w:color="auto"/>
            </w:tcBorders>
          </w:tcPr>
          <w:p>
            <w:pPr>
              <w:spacing w:after="0"/>
              <w:rPr>
                <w:sz w:val="23"/>
                <w:szCs w:val="23"/>
                <w:color w:val="auto"/>
              </w:rPr>
            </w:pPr>
          </w:p>
        </w:tc>
      </w:tr>
      <w:tr>
        <w:trPr>
          <w:trHeight w:val="206"/>
        </w:trPr>
        <w:tc>
          <w:tcPr>
            <w:tcW w:w="232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15"/>
        </w:trPr>
        <w:tc>
          <w:tcPr>
            <w:tcW w:w="5640" w:type="dxa"/>
            <w:vAlign w:val="bottom"/>
            <w:tcBorders>
              <w:left w:val="single" w:sz="8" w:color="auto"/>
              <w:right w:val="single" w:sz="8" w:color="auto"/>
            </w:tcBorders>
            <w:gridSpan w:val="3"/>
          </w:tcPr>
          <w:p>
            <w:pPr>
              <w:ind w:left="20"/>
              <w:spacing w:after="0" w:line="216" w:lineRule="exact"/>
              <w:rPr>
                <w:sz w:val="20"/>
                <w:szCs w:val="20"/>
                <w:color w:val="auto"/>
              </w:rPr>
            </w:pPr>
            <w:r>
              <w:rPr>
                <w:rFonts w:ascii="Arial" w:cs="Arial" w:eastAsia="Arial" w:hAnsi="Arial"/>
                <w:sz w:val="22"/>
                <w:szCs w:val="22"/>
                <w:color w:val="auto"/>
                <w:w w:val="89"/>
              </w:rPr>
              <w:t>C. Annual Net Sales in calendar year 2022 equal to or in excess</w:t>
            </w:r>
          </w:p>
        </w:tc>
        <w:tc>
          <w:tcPr>
            <w:tcW w:w="5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$2,500,000</w:t>
            </w:r>
          </w:p>
        </w:tc>
      </w:tr>
      <w:tr>
        <w:trPr>
          <w:trHeight w:val="274"/>
        </w:trPr>
        <w:tc>
          <w:tcPr>
            <w:tcW w:w="56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of $450,000,000</w:t>
            </w:r>
          </w:p>
        </w:tc>
        <w:tc>
          <w:tcPr>
            <w:tcW w:w="5600" w:type="dxa"/>
            <w:vAlign w:val="bottom"/>
            <w:tcBorders>
              <w:right w:val="single" w:sz="8" w:color="auto"/>
            </w:tcBorders>
          </w:tcPr>
          <w:p>
            <w:pPr>
              <w:spacing w:after="0"/>
              <w:rPr>
                <w:sz w:val="23"/>
                <w:szCs w:val="23"/>
                <w:color w:val="auto"/>
              </w:rPr>
            </w:pPr>
          </w:p>
        </w:tc>
      </w:tr>
      <w:tr>
        <w:trPr>
          <w:trHeight w:val="206"/>
        </w:trPr>
        <w:tc>
          <w:tcPr>
            <w:tcW w:w="232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15"/>
        </w:trPr>
        <w:tc>
          <w:tcPr>
            <w:tcW w:w="5640" w:type="dxa"/>
            <w:vAlign w:val="bottom"/>
            <w:tcBorders>
              <w:left w:val="single" w:sz="8" w:color="auto"/>
              <w:right w:val="single" w:sz="8" w:color="auto"/>
            </w:tcBorders>
            <w:gridSpan w:val="3"/>
          </w:tcPr>
          <w:p>
            <w:pPr>
              <w:ind w:left="20"/>
              <w:spacing w:after="0" w:line="216" w:lineRule="exact"/>
              <w:rPr>
                <w:sz w:val="20"/>
                <w:szCs w:val="20"/>
                <w:color w:val="auto"/>
              </w:rPr>
            </w:pPr>
            <w:r>
              <w:rPr>
                <w:rFonts w:ascii="Arial" w:cs="Arial" w:eastAsia="Arial" w:hAnsi="Arial"/>
                <w:sz w:val="22"/>
                <w:szCs w:val="22"/>
                <w:color w:val="auto"/>
                <w:w w:val="89"/>
              </w:rPr>
              <w:t>D. Annual Net Sales in calendar year 2022 equal to or in excess</w:t>
            </w:r>
          </w:p>
        </w:tc>
        <w:tc>
          <w:tcPr>
            <w:tcW w:w="5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$4,500,000</w:t>
            </w:r>
          </w:p>
        </w:tc>
      </w:tr>
      <w:tr>
        <w:trPr>
          <w:trHeight w:val="274"/>
        </w:trPr>
        <w:tc>
          <w:tcPr>
            <w:tcW w:w="56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of $500,000,000</w:t>
            </w:r>
          </w:p>
        </w:tc>
        <w:tc>
          <w:tcPr>
            <w:tcW w:w="5600" w:type="dxa"/>
            <w:vAlign w:val="bottom"/>
            <w:tcBorders>
              <w:right w:val="single" w:sz="8" w:color="auto"/>
            </w:tcBorders>
          </w:tcPr>
          <w:p>
            <w:pPr>
              <w:spacing w:after="0"/>
              <w:rPr>
                <w:sz w:val="23"/>
                <w:szCs w:val="23"/>
                <w:color w:val="auto"/>
              </w:rPr>
            </w:pPr>
          </w:p>
        </w:tc>
      </w:tr>
      <w:tr>
        <w:trPr>
          <w:trHeight w:val="206"/>
        </w:trPr>
        <w:tc>
          <w:tcPr>
            <w:tcW w:w="232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15"/>
        </w:trPr>
        <w:tc>
          <w:tcPr>
            <w:tcW w:w="5640" w:type="dxa"/>
            <w:vAlign w:val="bottom"/>
            <w:tcBorders>
              <w:left w:val="single" w:sz="8" w:color="auto"/>
              <w:right w:val="single" w:sz="8" w:color="auto"/>
            </w:tcBorders>
            <w:gridSpan w:val="3"/>
          </w:tcPr>
          <w:p>
            <w:pPr>
              <w:ind w:left="20"/>
              <w:spacing w:after="0" w:line="216" w:lineRule="exact"/>
              <w:rPr>
                <w:sz w:val="20"/>
                <w:szCs w:val="20"/>
                <w:color w:val="auto"/>
              </w:rPr>
            </w:pPr>
            <w:r>
              <w:rPr>
                <w:rFonts w:ascii="Arial" w:cs="Arial" w:eastAsia="Arial" w:hAnsi="Arial"/>
                <w:sz w:val="22"/>
                <w:szCs w:val="22"/>
                <w:color w:val="auto"/>
                <w:w w:val="89"/>
              </w:rPr>
              <w:t>E. Annual Net Sales in calendar year 2022 equal to or in excess</w:t>
            </w:r>
          </w:p>
        </w:tc>
        <w:tc>
          <w:tcPr>
            <w:tcW w:w="5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$5,500,000</w:t>
            </w:r>
          </w:p>
        </w:tc>
      </w:tr>
      <w:tr>
        <w:trPr>
          <w:trHeight w:val="274"/>
        </w:trPr>
        <w:tc>
          <w:tcPr>
            <w:tcW w:w="56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of $525,000,000</w:t>
            </w:r>
          </w:p>
        </w:tc>
        <w:tc>
          <w:tcPr>
            <w:tcW w:w="5600" w:type="dxa"/>
            <w:vAlign w:val="bottom"/>
            <w:tcBorders>
              <w:right w:val="single" w:sz="8" w:color="auto"/>
            </w:tcBorders>
          </w:tcPr>
          <w:p>
            <w:pPr>
              <w:spacing w:after="0"/>
              <w:rPr>
                <w:sz w:val="23"/>
                <w:szCs w:val="23"/>
                <w:color w:val="auto"/>
              </w:rPr>
            </w:pPr>
          </w:p>
        </w:tc>
      </w:tr>
      <w:tr>
        <w:trPr>
          <w:trHeight w:val="206"/>
        </w:trPr>
        <w:tc>
          <w:tcPr>
            <w:tcW w:w="232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0" w:type="dxa"/>
            <w:vAlign w:val="bottom"/>
            <w:tcBorders>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r>
        <w:trPr>
          <w:trHeight w:val="215"/>
        </w:trPr>
        <w:tc>
          <w:tcPr>
            <w:tcW w:w="5640" w:type="dxa"/>
            <w:vAlign w:val="bottom"/>
            <w:tcBorders>
              <w:left w:val="single" w:sz="8" w:color="auto"/>
              <w:right w:val="single" w:sz="8" w:color="auto"/>
            </w:tcBorders>
            <w:gridSpan w:val="3"/>
          </w:tcPr>
          <w:p>
            <w:pPr>
              <w:ind w:left="20"/>
              <w:spacing w:after="0" w:line="216" w:lineRule="exact"/>
              <w:rPr>
                <w:sz w:val="20"/>
                <w:szCs w:val="20"/>
                <w:color w:val="auto"/>
              </w:rPr>
            </w:pPr>
            <w:r>
              <w:rPr>
                <w:rFonts w:ascii="Arial" w:cs="Arial" w:eastAsia="Arial" w:hAnsi="Arial"/>
                <w:sz w:val="22"/>
                <w:szCs w:val="22"/>
                <w:color w:val="auto"/>
                <w:w w:val="89"/>
              </w:rPr>
              <w:t>F. Annual Net Sales in calendar year 2023 equal to or in excess</w:t>
            </w:r>
          </w:p>
        </w:tc>
        <w:tc>
          <w:tcPr>
            <w:tcW w:w="5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$10,000,000</w:t>
            </w:r>
          </w:p>
        </w:tc>
      </w:tr>
      <w:tr>
        <w:trPr>
          <w:trHeight w:val="264"/>
        </w:trPr>
        <w:tc>
          <w:tcPr>
            <w:tcW w:w="56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of $570,000,000</w:t>
            </w:r>
          </w:p>
        </w:tc>
        <w:tc>
          <w:tcPr>
            <w:tcW w:w="5600" w:type="dxa"/>
            <w:vAlign w:val="bottom"/>
            <w:tcBorders>
              <w:bottom w:val="single" w:sz="8" w:color="auto"/>
              <w:right w:val="single" w:sz="8" w:color="auto"/>
            </w:tcBorders>
          </w:tcPr>
          <w:p>
            <w:pPr>
              <w:spacing w:after="0"/>
              <w:rPr>
                <w:sz w:val="22"/>
                <w:szCs w:val="22"/>
                <w:color w:val="auto"/>
              </w:rPr>
            </w:pPr>
          </w:p>
        </w:tc>
      </w:tr>
    </w:tbl>
    <w:p>
      <w:pPr>
        <w:spacing w:after="0" w:line="22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has the meaning given to such term in the License Agreement.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firm, corporation, partnership, limited liability company, trust, joint venture, association, unincorporated organization, Governmental Authority or other entity or organization.</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Obligations</w:t>
      </w:r>
      <w:r>
        <w:rPr>
          <w:rFonts w:ascii="Arial" w:cs="Arial" w:eastAsia="Arial" w:hAnsi="Arial"/>
          <w:sz w:val="22"/>
          <w:szCs w:val="22"/>
          <w:color w:val="auto"/>
        </w:rPr>
        <w:t>” means confidentiality obligations of Disclosing Party or any of its Affiliates under any agreement with a third party (including, without limitation, the License Agreement) to which any Confidential Information is subject.</w:t>
      </w:r>
    </w:p>
    <w:p>
      <w:pPr>
        <w:spacing w:after="0" w:line="186" w:lineRule="exact"/>
        <w:rPr>
          <w:sz w:val="20"/>
          <w:szCs w:val="20"/>
          <w:color w:val="auto"/>
        </w:rPr>
      </w:pPr>
    </w:p>
    <w:p>
      <w:pPr>
        <w:jc w:val="both"/>
        <w:ind w:right="20"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collectively, with respect to any Person (a) any direct or indirect stockholder, member or partner of such Person and (b) any directors, officers, employees, agents, advisors or other representatives (including attorneys, accountants, consultants, scientists and financial advisors, lenders and investors) of such Person.</w:t>
      </w:r>
    </w:p>
    <w:p>
      <w:pPr>
        <w:spacing w:after="0" w:line="134"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Payment</w:t>
      </w:r>
      <w:r>
        <w:rPr>
          <w:rFonts w:ascii="Arial" w:cs="Arial" w:eastAsia="Arial" w:hAnsi="Arial"/>
          <w:sz w:val="22"/>
          <w:szCs w:val="22"/>
          <w:color w:val="auto"/>
        </w:rPr>
        <w:t>” means each royalty payment payable by Pfizer pursuant to Section 5.4.7 of the License Agreement in respect of the aggregate CD20 Biosimilar Product Net Sales obtained by Pfizer and its sublicensees from the sale of CD20 Biosimilar Products during the CD20 Biosimilar Royalty Period.</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Reports</w:t>
      </w:r>
      <w:r>
        <w:rPr>
          <w:rFonts w:ascii="Arial" w:cs="Arial" w:eastAsia="Arial" w:hAnsi="Arial"/>
          <w:sz w:val="22"/>
          <w:szCs w:val="22"/>
          <w:color w:val="auto"/>
        </w:rPr>
        <w:t>” means the quarterly reports described in Section 5.5.2 of the License Agreement in respect of CD20 Biosimilar Product Net Sales of the CD20 Biosimilar Products.</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Material Adverse Effect</w:t>
      </w:r>
      <w:r>
        <w:rPr>
          <w:rFonts w:ascii="Arial" w:cs="Arial" w:eastAsia="Arial" w:hAnsi="Arial"/>
          <w:sz w:val="22"/>
          <w:szCs w:val="22"/>
          <w:color w:val="auto"/>
        </w:rPr>
        <w:t>” means (a) a material adverse effect on any one or more of the following: (i) the ability of Seller to consummate the transactions contemplated by the Transaction Documents and perform its obligations under any of the Transaction Documents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6" w:right="339" w:bottom="1440" w:gutter="0" w:footer="0" w:header="0"/>
        </w:sectPr>
      </w:pPr>
    </w:p>
    <w:bookmarkStart w:id="62" w:name="page63"/>
    <w:bookmarkEnd w:id="62"/>
    <w:p>
      <w:pPr>
        <w:jc w:val="both"/>
        <w:spacing w:after="0" w:line="273" w:lineRule="auto"/>
        <w:rPr>
          <w:sz w:val="20"/>
          <w:szCs w:val="20"/>
          <w:color w:val="auto"/>
        </w:rPr>
      </w:pPr>
      <w:r>
        <w:rPr>
          <w:rFonts w:ascii="Arial" w:cs="Arial" w:eastAsia="Arial" w:hAnsi="Arial"/>
          <w:sz w:val="19"/>
          <w:szCs w:val="19"/>
          <w:color w:val="auto"/>
        </w:rPr>
        <w:t>the License Agreement, (ii) the legality, validity or enforceability of any of the Transaction Documents or the License Agreement, (iii) the rights or remedies of Buyer under any of the Transaction Documents, (iv) the rights or remedies of Seller under the License Agreement, or (v) the legal obligations of Pfizer to pay the Royalty Payments under the License Agreement; or</w:t>
      </w:r>
    </w:p>
    <w:p>
      <w:pPr>
        <w:spacing w:after="0" w:line="1" w:lineRule="exact"/>
        <w:rPr>
          <w:sz w:val="20"/>
          <w:szCs w:val="20"/>
          <w:color w:val="auto"/>
        </w:rPr>
      </w:pPr>
    </w:p>
    <w:p>
      <w:pPr>
        <w:jc w:val="both"/>
        <w:ind w:firstLine="8"/>
        <w:spacing w:after="0" w:line="234" w:lineRule="auto"/>
        <w:tabs>
          <w:tab w:leader="none" w:pos="306"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 adverse effect in any respect on the value of the Purchased Assets (including the timing, amount or duration thereof), or the timing, amount or duration of the payments to be made to Buyer in respect of any portion of the Purchased Assets or the right of Buyer to receive such payments.</w:t>
      </w:r>
    </w:p>
    <w:p>
      <w:pPr>
        <w:spacing w:after="0" w:line="187"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Solvent</w:t>
      </w:r>
      <w:r>
        <w:rPr>
          <w:rFonts w:ascii="Arial" w:cs="Arial" w:eastAsia="Arial" w:hAnsi="Arial"/>
          <w:sz w:val="21"/>
          <w:szCs w:val="21"/>
          <w:color w:val="auto"/>
        </w:rPr>
        <w:t>” means,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For purposes of the definition of “Solvent,” (i) “debt” means liability on a “claim,” (ii) “claim” means any right to payment, whether or not such a right is reduced to judgment, liquidated, unliquidated, fixed, contingent, matured, unmatured, disputed, undisputed, legal, equitable, secured or unsecured and (iii)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3"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Obligations</w:t>
      </w:r>
      <w:r>
        <w:rPr>
          <w:rFonts w:ascii="Arial" w:cs="Arial" w:eastAsia="Arial" w:hAnsi="Arial"/>
          <w:sz w:val="22"/>
          <w:szCs w:val="22"/>
          <w:color w:val="auto"/>
        </w:rPr>
        <w:t>” means Sections 5.4.7 and 5.5 of the License Agreement and all other provisions of the License Agreement that survive termination pursuant to Section 9.9 of the License Agreement.</w:t>
      </w:r>
    </w:p>
    <w:p>
      <w:pPr>
        <w:spacing w:after="0" w:line="17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this Agreement, the Bill of Sale and Assignment, the Pfizer Instruction Letter, and the Escrow Agreement.</w:t>
      </w:r>
    </w:p>
    <w:p>
      <w:pPr>
        <w:spacing w:after="0" w:line="175"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as in effect in the State of New York; provided, that, if, with respect to any financing statement or by reason of any provisions of applicable Law, the perfection or the effect of perfection or non-perfection of the back-up security interest or any portion thereof granted pursuant to Section 2.1(b) is governed by the Uniform Commercial Code as in effect in a jurisdiction of the United States other than the State of New York, then “UCC” means the Uniform Commercial Code as in effect from time to time in such other jurisdiction for purposes of the provisions of this Agreement and any financing statement relating to such perfection or effect of perfection or non-perfection.</w:t>
      </w:r>
    </w:p>
    <w:p>
      <w:pPr>
        <w:spacing w:after="0" w:line="150"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In the event a capitalized term used herein is defined in both this Agreement and the License Agreement, the meaning given to such term in this Agreement shall control.</w:t>
      </w:r>
    </w:p>
    <w:p>
      <w:pPr>
        <w:spacing w:after="0" w:line="175" w:lineRule="exact"/>
        <w:rPr>
          <w:sz w:val="20"/>
          <w:szCs w:val="20"/>
          <w:color w:val="auto"/>
        </w:rPr>
      </w:pPr>
    </w:p>
    <w:p>
      <w:pPr>
        <w:jc w:val="both"/>
        <w:ind w:firstLine="1512"/>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Certain Interpretations</w:t>
      </w:r>
      <w:r>
        <w:rPr>
          <w:rFonts w:ascii="Arial" w:cs="Arial" w:eastAsia="Arial" w:hAnsi="Arial"/>
          <w:sz w:val="22"/>
          <w:szCs w:val="22"/>
          <w:color w:val="auto"/>
        </w:rPr>
        <w:t>. Except where expressly stated otherwise in this Agreement, the following rules of interpretation apply to this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ind w:left="1740"/>
        <w:spacing w:after="0"/>
        <w:tabs>
          <w:tab w:leader="none" w:pos="260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“include,” “includes” and “including” shall be deemed to be followed by the words “without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limitation”;</w:t>
      </w:r>
    </w:p>
    <w:p>
      <w:pPr>
        <w:spacing w:after="0" w:line="188" w:lineRule="exact"/>
        <w:rPr>
          <w:sz w:val="20"/>
          <w:szCs w:val="20"/>
          <w:color w:val="auto"/>
        </w:rPr>
      </w:pPr>
    </w:p>
    <w:p>
      <w:pPr>
        <w:ind w:firstLine="1735"/>
        <w:spacing w:after="0" w:line="250" w:lineRule="auto"/>
        <w:tabs>
          <w:tab w:leader="none" w:pos="2627" w:val="left"/>
        </w:tabs>
        <w:numPr>
          <w:ilvl w:val="0"/>
          <w:numId w:val="31"/>
        </w:numPr>
        <w:rPr>
          <w:rFonts w:ascii="Arial" w:cs="Arial" w:eastAsia="Arial" w:hAnsi="Arial"/>
          <w:sz w:val="22"/>
          <w:szCs w:val="22"/>
          <w:color w:val="auto"/>
        </w:rPr>
      </w:pPr>
      <w:r>
        <w:rPr>
          <w:rFonts w:ascii="Arial" w:cs="Arial" w:eastAsia="Arial" w:hAnsi="Arial"/>
          <w:sz w:val="22"/>
          <w:szCs w:val="22"/>
          <w:color w:val="auto"/>
        </w:rPr>
        <w:t>“hereof,” “hereto,” “herein” and “hereunder” and words of similar import when used in this Agreement refer to this Agreement as a whole and not to any particular provision of this Agreement;</w:t>
      </w:r>
    </w:p>
    <w:p>
      <w:pPr>
        <w:spacing w:after="0" w:line="174" w:lineRule="exact"/>
        <w:rPr>
          <w:rFonts w:ascii="Arial" w:cs="Arial" w:eastAsia="Arial" w:hAnsi="Arial"/>
          <w:sz w:val="22"/>
          <w:szCs w:val="22"/>
          <w:color w:val="auto"/>
        </w:rPr>
      </w:pPr>
    </w:p>
    <w:p>
      <w:pPr>
        <w:ind w:firstLine="1735"/>
        <w:spacing w:after="0" w:line="274" w:lineRule="auto"/>
        <w:tabs>
          <w:tab w:leader="none" w:pos="2615" w:val="left"/>
        </w:tabs>
        <w:numPr>
          <w:ilvl w:val="0"/>
          <w:numId w:val="31"/>
        </w:numPr>
        <w:rPr>
          <w:rFonts w:ascii="Arial" w:cs="Arial" w:eastAsia="Arial" w:hAnsi="Arial"/>
          <w:sz w:val="21"/>
          <w:szCs w:val="21"/>
          <w:color w:val="auto"/>
        </w:rPr>
      </w:pPr>
      <w:r>
        <w:rPr>
          <w:rFonts w:ascii="Arial" w:cs="Arial" w:eastAsia="Arial" w:hAnsi="Arial"/>
          <w:sz w:val="21"/>
          <w:szCs w:val="21"/>
          <w:color w:val="auto"/>
        </w:rPr>
        <w:t>references to a Contract mean such Contract as from time to time amended and restated, supplemented or otherwise modified, in each case to the extent not prohibited by such Contract or this Agreement;</w:t>
      </w:r>
    </w:p>
    <w:p>
      <w:pPr>
        <w:spacing w:after="0" w:line="150" w:lineRule="exact"/>
        <w:rPr>
          <w:rFonts w:ascii="Arial" w:cs="Arial" w:eastAsia="Arial" w:hAnsi="Arial"/>
          <w:sz w:val="21"/>
          <w:szCs w:val="21"/>
          <w:color w:val="auto"/>
        </w:rPr>
      </w:pPr>
    </w:p>
    <w:p>
      <w:pPr>
        <w:ind w:left="2640" w:hanging="905"/>
        <w:spacing w:after="0"/>
        <w:tabs>
          <w:tab w:leader="none" w:pos="26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references to a Person are also to its permitted successors and assigns;</w:t>
      </w:r>
    </w:p>
    <w:p>
      <w:pPr>
        <w:spacing w:after="0" w:line="206" w:lineRule="exact"/>
        <w:rPr>
          <w:rFonts w:ascii="Arial" w:cs="Arial" w:eastAsia="Arial" w:hAnsi="Arial"/>
          <w:sz w:val="22"/>
          <w:szCs w:val="22"/>
          <w:color w:val="auto"/>
        </w:rPr>
      </w:pPr>
    </w:p>
    <w:p>
      <w:pPr>
        <w:ind w:firstLine="1735"/>
        <w:spacing w:after="0" w:line="250" w:lineRule="auto"/>
        <w:tabs>
          <w:tab w:leader="none" w:pos="2615"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references to an “Article,” “Section” “Exhibit” or “Schedule” refer to an Article or Section of, or an Exhibit or Schedule to, this Agreement, unless otherwise specified;</w:t>
      </w:r>
    </w:p>
    <w:p>
      <w:pPr>
        <w:spacing w:after="0" w:line="174" w:lineRule="exact"/>
        <w:rPr>
          <w:rFonts w:ascii="Arial" w:cs="Arial" w:eastAsia="Arial" w:hAnsi="Arial"/>
          <w:sz w:val="22"/>
          <w:szCs w:val="22"/>
          <w:color w:val="auto"/>
        </w:rPr>
      </w:pPr>
    </w:p>
    <w:p>
      <w:pPr>
        <w:ind w:left="2600" w:hanging="865"/>
        <w:spacing w:after="0"/>
        <w:tabs>
          <w:tab w:leader="none" w:pos="26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references to “$” or otherwise to dollar amounts refer to the lawful currency of the United States;</w:t>
      </w:r>
    </w:p>
    <w:p>
      <w:pPr>
        <w:spacing w:after="0" w:line="240" w:lineRule="exact"/>
        <w:rPr>
          <w:rFonts w:ascii="Arial" w:cs="Arial" w:eastAsia="Arial" w:hAnsi="Arial"/>
          <w:sz w:val="19"/>
          <w:szCs w:val="19"/>
          <w:color w:val="auto"/>
        </w:rPr>
      </w:pPr>
    </w:p>
    <w:p>
      <w:pPr>
        <w:jc w:val="both"/>
        <w:ind w:firstLine="1735"/>
        <w:spacing w:after="0"/>
        <w:tabs>
          <w:tab w:leader="none" w:pos="2627"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references to an Applicable Law include any amendment or modification to such Applicable Law and any rules and regulations issued thereunder, whether such amendment or modification is made, or issuance of such rules and regulations occurs, before, on or after the date of this Agreement; and</w:t>
      </w:r>
    </w:p>
    <w:p>
      <w:pPr>
        <w:spacing w:after="0" w:line="186" w:lineRule="exact"/>
        <w:rPr>
          <w:rFonts w:ascii="Arial" w:cs="Arial" w:eastAsia="Arial" w:hAnsi="Arial"/>
          <w:sz w:val="22"/>
          <w:szCs w:val="22"/>
          <w:color w:val="auto"/>
        </w:rPr>
      </w:pPr>
    </w:p>
    <w:p>
      <w:pPr>
        <w:jc w:val="both"/>
        <w:ind w:firstLine="1735"/>
        <w:spacing w:after="0"/>
        <w:tabs>
          <w:tab w:leader="none" w:pos="2627"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references to this “Agreement” shall include a reference to all Schedules and Exhibits attached to this Agreement (including the Disclosure Schedules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all of which constitute a part of this Agreement and are incorporated herein for all purposes.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p>
      <w:pPr>
        <w:ind w:left="4760"/>
        <w:spacing w:after="0"/>
        <w:rPr>
          <w:sz w:val="20"/>
          <w:szCs w:val="20"/>
          <w:color w:val="auto"/>
        </w:rPr>
      </w:pPr>
      <w:r>
        <w:rPr>
          <w:rFonts w:ascii="Arial" w:cs="Arial" w:eastAsia="Arial" w:hAnsi="Arial"/>
          <w:sz w:val="22"/>
          <w:szCs w:val="22"/>
          <w:u w:val="single" w:color="auto"/>
          <w:color w:val="auto"/>
        </w:rPr>
        <w:t>ARTICLE II</w:t>
      </w:r>
    </w:p>
    <w:p>
      <w:pPr>
        <w:spacing w:after="0" w:line="233" w:lineRule="exact"/>
        <w:rPr>
          <w:sz w:val="20"/>
          <w:szCs w:val="20"/>
          <w:color w:val="auto"/>
        </w:rPr>
      </w:pPr>
    </w:p>
    <w:p>
      <w:pPr>
        <w:ind w:left="3260"/>
        <w:spacing w:after="0"/>
        <w:rPr>
          <w:sz w:val="20"/>
          <w:szCs w:val="20"/>
          <w:color w:val="auto"/>
        </w:rPr>
      </w:pPr>
      <w:r>
        <w:rPr>
          <w:rFonts w:ascii="Arial" w:cs="Arial" w:eastAsia="Arial" w:hAnsi="Arial"/>
          <w:sz w:val="22"/>
          <w:szCs w:val="22"/>
          <w:u w:val="single" w:color="auto"/>
          <w:color w:val="auto"/>
        </w:rPr>
        <w:t>PURCHASE AND SALE OF PURCHASED ASSETS</w:t>
      </w:r>
    </w:p>
    <w:p>
      <w:pPr>
        <w:spacing w:after="0" w:line="206"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8"/>
          <w:szCs w:val="18"/>
          <w:u w:val="single" w:color="auto"/>
          <w:color w:val="auto"/>
        </w:rPr>
        <w:t>Purchase and Sale of Purchased Assets</w:t>
      </w:r>
      <w:r>
        <w:rPr>
          <w:rFonts w:ascii="Arial" w:cs="Arial" w:eastAsia="Arial" w:hAnsi="Arial"/>
          <w:sz w:val="18"/>
          <w:szCs w:val="18"/>
          <w:color w:val="auto"/>
        </w:rPr>
        <w:t>.</w:t>
      </w:r>
    </w:p>
    <w:p>
      <w:pPr>
        <w:spacing w:after="0" w:line="206" w:lineRule="exact"/>
        <w:rPr>
          <w:sz w:val="20"/>
          <w:szCs w:val="20"/>
          <w:color w:val="auto"/>
        </w:rPr>
      </w:pPr>
    </w:p>
    <w:p>
      <w:pPr>
        <w:jc w:val="both"/>
        <w:ind w:firstLine="1735"/>
        <w:spacing w:after="0" w:line="297" w:lineRule="auto"/>
        <w:tabs>
          <w:tab w:leader="none" w:pos="2615"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 xml:space="preserve">Purchase and Sale. </w:t>
      </w:r>
      <w:r>
        <w:rPr>
          <w:rFonts w:ascii="Arial" w:cs="Arial" w:eastAsia="Arial" w:hAnsi="Arial"/>
          <w:sz w:val="19"/>
          <w:szCs w:val="19"/>
          <w:color w:val="auto"/>
        </w:rPr>
        <w:t>Upon the terms and subject to the conditions of this Agreement, at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Seller shall sell, transfer, assign and convey to Buyer, and Buyer shall purchase, acquire and accept from Seller, free and clear of all liens and encumbrances, all of Seller’s right, title and interest in and to the following (collectively, the “</w:t>
      </w:r>
      <w:r>
        <w:rPr>
          <w:rFonts w:ascii="Arial" w:cs="Arial" w:eastAsia="Arial" w:hAnsi="Arial"/>
          <w:sz w:val="19"/>
          <w:szCs w:val="19"/>
          <w:u w:val="single" w:color="auto"/>
          <w:color w:val="auto"/>
        </w:rPr>
        <w:t>Purchased Assets</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firstLine="2600"/>
        <w:spacing w:after="0" w:line="236" w:lineRule="auto"/>
        <w:tabs>
          <w:tab w:leader="none" w:pos="3444" w:val="left"/>
        </w:tabs>
        <w:numPr>
          <w:ilvl w:val="1"/>
          <w:numId w:val="32"/>
        </w:numPr>
        <w:rPr>
          <w:rFonts w:ascii="Arial" w:cs="Arial" w:eastAsia="Arial" w:hAnsi="Arial"/>
          <w:sz w:val="22"/>
          <w:szCs w:val="22"/>
          <w:color w:val="auto"/>
        </w:rPr>
      </w:pPr>
      <w:r>
        <w:rPr>
          <w:rFonts w:ascii="Arial" w:cs="Arial" w:eastAsia="Arial" w:hAnsi="Arial"/>
          <w:sz w:val="22"/>
          <w:szCs w:val="22"/>
          <w:color w:val="auto"/>
        </w:rPr>
        <w:t>Seller’s entitlement to receive the Applicable Percentage of each Royalty Payment that becomes due and payable following the date of this Agreement (including on account of Net Sales made prior to the date of this Agreement), any payments to Seller under the License Agreement in lieu of such Royalty Payments, and any overdue interest on any of the above payments payable to Seller by Pfizer pursuant to Section 5.5.6 of the License Agreement (collectively, the “</w:t>
      </w:r>
      <w:r>
        <w:rPr>
          <w:rFonts w:ascii="Arial" w:cs="Arial" w:eastAsia="Arial" w:hAnsi="Arial"/>
          <w:sz w:val="22"/>
          <w:szCs w:val="22"/>
          <w:u w:val="single" w:color="auto"/>
          <w:color w:val="auto"/>
        </w:rPr>
        <w:t>Purchased Receivables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firstLine="2600"/>
        <w:spacing w:after="0" w:line="250" w:lineRule="auto"/>
        <w:tabs>
          <w:tab w:leader="none" w:pos="3504"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right to receive all Royalty Reports due for delivery following the date of this Agreement and the audit rights pursuant to Section 5.6.2 of the License Agreement; and</w:t>
      </w:r>
    </w:p>
    <w:p>
      <w:pPr>
        <w:spacing w:after="0" w:line="174" w:lineRule="exact"/>
        <w:rPr>
          <w:rFonts w:ascii="Arial" w:cs="Arial" w:eastAsia="Arial" w:hAnsi="Arial"/>
          <w:sz w:val="22"/>
          <w:szCs w:val="22"/>
          <w:color w:val="auto"/>
        </w:rPr>
      </w:pPr>
    </w:p>
    <w:p>
      <w:pPr>
        <w:jc w:val="both"/>
        <w:ind w:firstLine="2600"/>
        <w:spacing w:after="0"/>
        <w:tabs>
          <w:tab w:leader="none" w:pos="3564"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right to enforce all rights of Seller with respect to receipt of the Purchased Receivables and the Royalty Reports against Pfizer under the License Agreement, including the audit rights of Seller pursuant to Section 5.6.2 of the License Agreement.</w:t>
      </w:r>
    </w:p>
    <w:p>
      <w:pPr>
        <w:spacing w:after="0" w:line="186"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For the avoidance of doubt, in determining whether the amount received by Buyer in respect of the Purchased Receivables exceeds the Cap Amount, such amount will include any Additional Amounts received by the Buyer and not include any Indemnified Taxes payable (whether payable through withholding or directly by the Buyer) in respect of any amounts payable to the Buyer under this Agreement (including in respect of any Additional Amounts).</w:t>
      </w:r>
    </w:p>
    <w:p>
      <w:pPr>
        <w:spacing w:after="0" w:line="174" w:lineRule="exact"/>
        <w:rPr>
          <w:sz w:val="20"/>
          <w:szCs w:val="20"/>
          <w:color w:val="auto"/>
        </w:rPr>
      </w:pPr>
    </w:p>
    <w:p>
      <w:pPr>
        <w:jc w:val="both"/>
        <w:ind w:firstLine="1735"/>
        <w:spacing w:after="0" w:line="257" w:lineRule="auto"/>
        <w:tabs>
          <w:tab w:leader="none" w:pos="2627"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Purchase Price</w:t>
      </w:r>
      <w:r>
        <w:rPr>
          <w:rFonts w:ascii="Arial" w:cs="Arial" w:eastAsia="Arial" w:hAnsi="Arial"/>
          <w:sz w:val="21"/>
          <w:szCs w:val="21"/>
          <w:color w:val="auto"/>
        </w:rPr>
        <w:t>. In full consideration for the sale, transfer, assignment and conveyance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Purchased Assets, and subject to the terms and conditions set forth herein, Buyer shall pay Seller the following amounts (collectively, the “</w:t>
      </w:r>
      <w:r>
        <w:rPr>
          <w:rFonts w:ascii="Arial" w:cs="Arial" w:eastAsia="Arial" w:hAnsi="Arial"/>
          <w:sz w:val="21"/>
          <w:szCs w:val="21"/>
          <w:u w:val="single" w:color="auto"/>
          <w:color w:val="auto"/>
        </w:rPr>
        <w:t>Purchase Price</w:t>
      </w:r>
      <w:r>
        <w:rPr>
          <w:rFonts w:ascii="Arial" w:cs="Arial" w:eastAsia="Arial" w:hAnsi="Arial"/>
          <w:sz w:val="21"/>
          <w:szCs w:val="21"/>
          <w:color w:val="auto"/>
        </w:rPr>
        <w:t>”) by wire transfer of immediately available funds as directed by Seller:</w:t>
      </w:r>
    </w:p>
    <w:p>
      <w:pPr>
        <w:spacing w:after="0" w:line="169" w:lineRule="exact"/>
        <w:rPr>
          <w:rFonts w:ascii="Arial" w:cs="Arial" w:eastAsia="Arial" w:hAnsi="Arial"/>
          <w:sz w:val="21"/>
          <w:szCs w:val="21"/>
          <w:color w:val="auto"/>
        </w:rPr>
      </w:pPr>
    </w:p>
    <w:p>
      <w:pPr>
        <w:ind w:left="3460" w:hanging="860"/>
        <w:spacing w:after="0"/>
        <w:tabs>
          <w:tab w:leader="none" w:pos="34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on the Closing Date, an amount equal to $35,000,000 (the “</w:t>
      </w:r>
      <w:r>
        <w:rPr>
          <w:rFonts w:ascii="Arial" w:cs="Arial" w:eastAsia="Arial" w:hAnsi="Arial"/>
          <w:sz w:val="19"/>
          <w:szCs w:val="19"/>
          <w:u w:val="single" w:color="auto"/>
          <w:color w:val="auto"/>
        </w:rPr>
        <w:t>Investment Amount</w:t>
      </w:r>
      <w:r>
        <w:rPr>
          <w:rFonts w:ascii="Arial" w:cs="Arial" w:eastAsia="Arial" w:hAnsi="Arial"/>
          <w:sz w:val="19"/>
          <w:szCs w:val="19"/>
          <w:color w:val="auto"/>
        </w:rPr>
        <w:t>”); and</w:t>
      </w:r>
    </w:p>
    <w:p>
      <w:pPr>
        <w:spacing w:after="0" w:line="240" w:lineRule="exact"/>
        <w:rPr>
          <w:rFonts w:ascii="Arial" w:cs="Arial" w:eastAsia="Arial" w:hAnsi="Arial"/>
          <w:sz w:val="19"/>
          <w:szCs w:val="19"/>
          <w:color w:val="auto"/>
        </w:rPr>
      </w:pPr>
    </w:p>
    <w:p>
      <w:pPr>
        <w:jc w:val="both"/>
        <w:ind w:right="20" w:firstLine="2600"/>
        <w:spacing w:after="0" w:line="238" w:lineRule="auto"/>
        <w:tabs>
          <w:tab w:leader="none" w:pos="3504" w:val="left"/>
        </w:tabs>
        <w:numPr>
          <w:ilvl w:val="1"/>
          <w:numId w:val="33"/>
        </w:numPr>
        <w:rPr>
          <w:rFonts w:ascii="Arial" w:cs="Arial" w:eastAsia="Arial" w:hAnsi="Arial"/>
          <w:sz w:val="22"/>
          <w:szCs w:val="22"/>
          <w:color w:val="auto"/>
        </w:rPr>
      </w:pPr>
      <w:r>
        <w:rPr>
          <w:rFonts w:ascii="Arial" w:cs="Arial" w:eastAsia="Arial" w:hAnsi="Arial"/>
          <w:sz w:val="22"/>
          <w:szCs w:val="22"/>
          <w:color w:val="auto"/>
        </w:rPr>
        <w:t>within 15 Business Days after Buyer receives the final Royalty Report for a calendar year that, together with the other Royalty Reports received in respect of such calendar year, evidences that annual Net Sales are equal to or exceed the applicable Sales Tier in the aggregate during the applicable calendar year, an amount equal to the applicable Milestone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5" w:name="page66"/>
    <w:bookmarkEnd w:id="65"/>
    <w:p>
      <w:pPr>
        <w:jc w:val="both"/>
        <w:spacing w:after="0" w:line="250" w:lineRule="auto"/>
        <w:rPr>
          <w:sz w:val="20"/>
          <w:szCs w:val="20"/>
          <w:color w:val="auto"/>
        </w:rPr>
      </w:pPr>
      <w:r>
        <w:rPr>
          <w:rFonts w:ascii="Arial" w:cs="Arial" w:eastAsia="Arial" w:hAnsi="Arial"/>
          <w:sz w:val="22"/>
          <w:szCs w:val="22"/>
          <w:color w:val="auto"/>
        </w:rPr>
        <w:t>Payment for such Sales Tier. For the avoidance of doubt, each Milestone Payment, if and when due and payable, will only be paid once.</w:t>
      </w:r>
      <w:r>
        <w:rPr>
          <w:rFonts w:ascii="Arial" w:cs="Arial" w:eastAsia="Arial" w:hAnsi="Arial"/>
          <w:sz w:val="18"/>
          <w:szCs w:val="18"/>
          <w:color w:val="auto"/>
        </w:rPr>
        <w:t>1</w:t>
      </w:r>
    </w:p>
    <w:p>
      <w:pPr>
        <w:spacing w:after="0" w:line="175" w:lineRule="exact"/>
        <w:rPr>
          <w:sz w:val="20"/>
          <w:szCs w:val="20"/>
          <w:color w:val="auto"/>
        </w:rPr>
      </w:pPr>
    </w:p>
    <w:p>
      <w:pPr>
        <w:jc w:val="both"/>
        <w:ind w:firstLine="1512"/>
        <w:spacing w:after="0" w:line="236"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Excluded Assets</w:t>
      </w:r>
      <w:r>
        <w:rPr>
          <w:rFonts w:ascii="Arial" w:cs="Arial" w:eastAsia="Arial" w:hAnsi="Arial"/>
          <w:sz w:val="22"/>
          <w:szCs w:val="22"/>
          <w:color w:val="auto"/>
        </w:rPr>
        <w:t>. Buyer does not, by purchase, acquisition or acceptance of the rights, title or interest granted hereunder or otherwise pursuant to any of the Transaction Documents, purchase, acquire or accept any assets or contract rights of Seller, other than the Purchased Assets (the “</w:t>
      </w:r>
      <w:r>
        <w:rPr>
          <w:rFonts w:ascii="Arial" w:cs="Arial" w:eastAsia="Arial" w:hAnsi="Arial"/>
          <w:sz w:val="22"/>
          <w:szCs w:val="22"/>
          <w:u w:val="single" w:color="auto"/>
          <w:color w:val="auto"/>
        </w:rPr>
        <w:t>Excluded Assets</w:t>
      </w:r>
      <w:r>
        <w:rPr>
          <w:rFonts w:ascii="Arial" w:cs="Arial" w:eastAsia="Arial" w:hAnsi="Arial"/>
          <w:sz w:val="22"/>
          <w:szCs w:val="22"/>
          <w:color w:val="auto"/>
        </w:rPr>
        <w:t>”). For the avoidance of doubt, the Excluded Assets include Seller’s rights under Sections 6.1.1, 6.1.2, 9.7.2(a)(ii), 9.7.7 and 9.7.10(a) of the License Agreement (the “</w:t>
      </w:r>
      <w:r>
        <w:rPr>
          <w:rFonts w:ascii="Arial" w:cs="Arial" w:eastAsia="Arial" w:hAnsi="Arial"/>
          <w:sz w:val="22"/>
          <w:szCs w:val="22"/>
          <w:u w:val="single" w:color="auto"/>
          <w:color w:val="auto"/>
        </w:rPr>
        <w:t>Retained Rights</w:t>
      </w:r>
      <w:r>
        <w:rPr>
          <w:rFonts w:ascii="Arial" w:cs="Arial" w:eastAsia="Arial" w:hAnsi="Arial"/>
          <w:sz w:val="22"/>
          <w:szCs w:val="22"/>
          <w:color w:val="auto"/>
        </w:rPr>
        <w:t>”).</w:t>
      </w:r>
    </w:p>
    <w:p>
      <w:pPr>
        <w:spacing w:after="0" w:line="187" w:lineRule="exact"/>
        <w:rPr>
          <w:sz w:val="20"/>
          <w:szCs w:val="20"/>
          <w:color w:val="auto"/>
        </w:rPr>
      </w:pPr>
    </w:p>
    <w:p>
      <w:pPr>
        <w:jc w:val="both"/>
        <w:ind w:firstLine="1512"/>
        <w:spacing w:after="0" w:line="234"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No Obligations Transferred</w:t>
      </w:r>
      <w:r>
        <w:rPr>
          <w:rFonts w:ascii="Arial" w:cs="Arial" w:eastAsia="Arial" w:hAnsi="Arial"/>
          <w:sz w:val="22"/>
          <w:szCs w:val="22"/>
          <w:color w:val="auto"/>
        </w:rPr>
        <w:t>. Notwithstanding anything to the contrary contained in this Agreement, (a) the sale, transfer, assignment and conveyance to Buyer of the Purchased Assets pursuant to this Agreement shall not in any way subject Buyer to, or transfer, affect or modify, any obligation or liability of Seller or Seller’s Affiliates of whatever nature, whether presently in existence or arising or asserted hereafter, whether known or unknown (the “</w:t>
      </w:r>
      <w:r>
        <w:rPr>
          <w:rFonts w:ascii="Arial" w:cs="Arial" w:eastAsia="Arial" w:hAnsi="Arial"/>
          <w:sz w:val="22"/>
          <w:szCs w:val="22"/>
          <w:u w:val="single" w:color="auto"/>
          <w:color w:val="auto"/>
        </w:rPr>
        <w:t>Excluded Liabilities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Obligations</w:t>
      </w:r>
      <w:r>
        <w:rPr>
          <w:rFonts w:ascii="Arial" w:cs="Arial" w:eastAsia="Arial" w:hAnsi="Arial"/>
          <w:sz w:val="22"/>
          <w:szCs w:val="22"/>
          <w:color w:val="auto"/>
        </w:rPr>
        <w:t>”) and (b) Buyer expressly does not assume or agree to become responsible for any of the Excluded Liabilities and Obligations. All Excluded Liabilities and Obligations shall be retained by and remain liabilities and obligations of Seller or Seller’s Affiliates, as the case may be.</w:t>
      </w:r>
    </w:p>
    <w:p>
      <w:pPr>
        <w:spacing w:after="0" w:line="191" w:lineRule="exact"/>
        <w:rPr>
          <w:sz w:val="20"/>
          <w:szCs w:val="20"/>
          <w:color w:val="auto"/>
        </w:rPr>
      </w:pPr>
    </w:p>
    <w:p>
      <w:pPr>
        <w:jc w:val="both"/>
        <w:ind w:firstLine="1512"/>
        <w:spacing w:after="0" w:line="297"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Sale</w:t>
      </w:r>
      <w:r>
        <w:rPr>
          <w:rFonts w:ascii="Arial" w:cs="Arial" w:eastAsia="Arial" w:hAnsi="Arial"/>
          <w:sz w:val="19"/>
          <w:szCs w:val="19"/>
          <w:color w:val="auto"/>
        </w:rPr>
        <w:t>. It is the intention of the parties hereto that the sale, transfer, assignment and conveyance contemplated by this Agreement be, and is, a true, complete absolute and irrevocable sale, transfer, assignment and conveyance by Seller to Buyer of all of Seller’s right, title and interest in and to the Purchased Assets. Neither Seller 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4230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0"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31"/>
          <w:szCs w:val="31"/>
          <w:color w:val="auto"/>
          <w:vertAlign w:val="superscript"/>
        </w:rPr>
      </w:pPr>
      <w:r>
        <w:rPr>
          <w:rFonts w:ascii="Arial" w:cs="Arial" w:eastAsia="Arial" w:hAnsi="Arial"/>
          <w:sz w:val="18"/>
          <w:szCs w:val="18"/>
          <w:color w:val="auto"/>
        </w:rPr>
        <w:t>Illustrative calculations of potential Milestone Payments for 2021:</w:t>
      </w:r>
    </w:p>
    <w:p>
      <w:pPr>
        <w:spacing w:after="0" w:line="123"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Sales are less than $350,000,000: No Milestone Payment for 2021.</w:t>
      </w:r>
    </w:p>
    <w:p>
      <w:pPr>
        <w:spacing w:after="0" w:line="114" w:lineRule="exact"/>
        <w:rPr>
          <w:rFonts w:ascii="Arial" w:cs="Arial" w:eastAsia="Arial" w:hAnsi="Arial"/>
          <w:sz w:val="18"/>
          <w:szCs w:val="18"/>
          <w:color w:val="auto"/>
        </w:rPr>
      </w:pPr>
    </w:p>
    <w:p>
      <w:pPr>
        <w:ind w:left="300" w:hanging="29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Sales are equal to or greater than $350,000,000 but less than $395,000,000: Milestone Payment of $3,500,000.</w:t>
      </w:r>
    </w:p>
    <w:p>
      <w:pPr>
        <w:spacing w:after="0" w:line="130" w:lineRule="exact"/>
        <w:rPr>
          <w:rFonts w:ascii="Arial" w:cs="Arial" w:eastAsia="Arial" w:hAnsi="Arial"/>
          <w:sz w:val="18"/>
          <w:szCs w:val="18"/>
          <w:color w:val="auto"/>
        </w:rPr>
      </w:pPr>
    </w:p>
    <w:p>
      <w:pPr>
        <w:ind w:left="300" w:hanging="29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Sales are equal to or greater than $395,000,000: Milestone Payment of $10,000,000.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6" w:name="page67"/>
    <w:bookmarkEnd w:id="66"/>
    <w:p>
      <w:pPr>
        <w:jc w:val="both"/>
        <w:spacing w:after="0" w:line="270" w:lineRule="auto"/>
        <w:rPr>
          <w:sz w:val="20"/>
          <w:szCs w:val="20"/>
          <w:color w:val="auto"/>
        </w:rPr>
      </w:pPr>
      <w:r>
        <w:rPr>
          <w:rFonts w:ascii="Arial" w:cs="Arial" w:eastAsia="Arial" w:hAnsi="Arial"/>
          <w:sz w:val="19"/>
          <w:szCs w:val="19"/>
          <w:color w:val="auto"/>
        </w:rPr>
        <w:t>Buyer intends the transactions contemplated by this Agreement to be, or for any purpose characterized as, a loan from Buyer to Seller or a pledge, a security interest, a financing transaction or a borrowing. Seller hereby waives, to the maximum extent permitted by Applicable Law, any right to contest or otherwise assert that this Agreement does not constitute a true, complete, absolute and irrevocable sale, transfer, assignment and conveyance by Seller to Buyer of all of Seller’s right, title and interest in and to the Purchased Assets under Applicable Law, which waiver shall, to the maximum extent permitted by Applicable Law, be enforceable against Seller in any bankruptcy or insolvency proceeding relating to Seller. Accordingly, Seller will treat the sale, transfer, assignment and conveyance of the Purchased Assets as sales of “accounts” or “payment intangibles” (as appropriate) in accordance with the UCC, and Seller hereby authorizes Buyer, from and after the Closing, to file financing statements (and continuation statements with respect to such financing statements when applicable) (the “</w:t>
      </w:r>
      <w:r>
        <w:rPr>
          <w:rFonts w:ascii="Arial" w:cs="Arial" w:eastAsia="Arial" w:hAnsi="Arial"/>
          <w:sz w:val="19"/>
          <w:szCs w:val="19"/>
          <w:u w:val="single" w:color="auto"/>
          <w:color w:val="auto"/>
        </w:rPr>
        <w:t>Financing Statements</w:t>
      </w:r>
      <w:r>
        <w:rPr>
          <w:rFonts w:ascii="Arial" w:cs="Arial" w:eastAsia="Arial" w:hAnsi="Arial"/>
          <w:sz w:val="19"/>
          <w:szCs w:val="19"/>
          <w:color w:val="auto"/>
        </w:rPr>
        <w:t>”) naming Seller as the debtor and Buyer as the secured party in respect of the Purchased Assets. Not in derogation of the foregoing statement of the intent of the parties hereto in this regard, and for the purposes of providing additional assurance to Buyer, if, notwithstanding the intent of the parties hereto, the sale, transfer, assignment and conveyance contemplated hereby is hereafter held not to be a sale, this Agreement shall constitute a security agreement and Seller does hereby grant to Buyer, as security for the payment to Buyer of amounts equal to the Purchased Assets as they becomes due and payable, a first priority security interest in and to all right, title and interest of Seller in, to and under the Purchased Assets and any “proceeds” (as such term is defined in the UCC) thereof, and Seller does hereby authorize Buyer to file such financing statements (and continuation statements with respect to such financing statements when applicable) in such manner and such jurisdiction as may be necessary or appropriate to perfect such security interests.</w:t>
      </w:r>
    </w:p>
    <w:p>
      <w:pPr>
        <w:spacing w:after="0" w:line="200" w:lineRule="exact"/>
        <w:rPr>
          <w:sz w:val="20"/>
          <w:szCs w:val="20"/>
          <w:color w:val="auto"/>
        </w:rPr>
      </w:pPr>
    </w:p>
    <w:p>
      <w:pPr>
        <w:spacing w:after="0" w:line="211" w:lineRule="exact"/>
        <w:rPr>
          <w:sz w:val="20"/>
          <w:szCs w:val="20"/>
          <w:color w:val="auto"/>
        </w:rPr>
      </w:pPr>
    </w:p>
    <w:p>
      <w:pPr>
        <w:jc w:val="both"/>
        <w:ind w:firstLine="1512"/>
        <w:spacing w:after="0" w:line="249"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Payments</w:t>
      </w:r>
      <w:r>
        <w:rPr>
          <w:rFonts w:ascii="Arial" w:cs="Arial" w:eastAsia="Arial" w:hAnsi="Arial"/>
          <w:sz w:val="21"/>
          <w:szCs w:val="21"/>
          <w:color w:val="auto"/>
        </w:rPr>
        <w:t>. Any payments to be made by a party to this Agreement shall be made by wire transfer of immediately available funds to such party in accordance with written instructions provided from time to time by one party to the other. A late fee of 4% over the prime rate published by the Wall Street Journal, from time to time, as the prime rate shall accrue on all unpaid undisputed amounts on an annualized basis with respect to any Milestone Payment payable by Buyer under Section 2.1(b)(ii) beginning ten Business Days after such Milestone Payment is due to Seller.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7" w:name="page68"/>
    <w:bookmarkEnd w:id="67"/>
    <w:p>
      <w:pPr>
        <w:ind w:left="4720"/>
        <w:spacing w:after="0"/>
        <w:rPr>
          <w:sz w:val="20"/>
          <w:szCs w:val="20"/>
          <w:color w:val="auto"/>
        </w:rPr>
      </w:pPr>
      <w:r>
        <w:rPr>
          <w:rFonts w:ascii="Arial" w:cs="Arial" w:eastAsia="Arial" w:hAnsi="Arial"/>
          <w:sz w:val="22"/>
          <w:szCs w:val="22"/>
          <w:u w:val="single" w:color="auto"/>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CLOSING; DELIVERABLES</w:t>
      </w:r>
    </w:p>
    <w:p>
      <w:pPr>
        <w:spacing w:after="0" w:line="206" w:lineRule="exact"/>
        <w:rPr>
          <w:sz w:val="20"/>
          <w:szCs w:val="20"/>
          <w:color w:val="auto"/>
        </w:rPr>
      </w:pPr>
    </w:p>
    <w:p>
      <w:pPr>
        <w:jc w:val="both"/>
        <w:ind w:firstLine="1512"/>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Closing</w:t>
      </w:r>
      <w:r>
        <w:rPr>
          <w:rFonts w:ascii="Arial" w:cs="Arial" w:eastAsia="Arial" w:hAnsi="Arial"/>
          <w:sz w:val="22"/>
          <w:szCs w:val="22"/>
          <w:color w:val="auto"/>
        </w:rPr>
        <w:t>. The closing of the purchase and sale of the Purchased Assets (the “</w:t>
      </w:r>
      <w:r>
        <w:rPr>
          <w:rFonts w:ascii="Arial" w:cs="Arial" w:eastAsia="Arial" w:hAnsi="Arial"/>
          <w:sz w:val="22"/>
          <w:szCs w:val="22"/>
          <w:u w:val="single" w:color="auto"/>
          <w:color w:val="auto"/>
        </w:rPr>
        <w:t>Closing</w:t>
      </w:r>
      <w:r>
        <w:rPr>
          <w:rFonts w:ascii="Arial" w:cs="Arial" w:eastAsia="Arial" w:hAnsi="Arial"/>
          <w:sz w:val="22"/>
          <w:szCs w:val="22"/>
          <w:color w:val="auto"/>
        </w:rPr>
        <w:t>”) shall take place at such place, time and date as the parties hereto may mutually agree. The date on which the Closing occurs is referred to in this Agreement as the “</w:t>
      </w:r>
      <w:r>
        <w:rPr>
          <w:rFonts w:ascii="Arial" w:cs="Arial" w:eastAsia="Arial" w:hAnsi="Arial"/>
          <w:sz w:val="22"/>
          <w:szCs w:val="22"/>
          <w:u w:val="single" w:color="auto"/>
          <w:color w:val="auto"/>
        </w:rPr>
        <w:t>Closing Date</w:t>
      </w:r>
      <w:r>
        <w:rPr>
          <w:rFonts w:ascii="Arial" w:cs="Arial" w:eastAsia="Arial" w:hAnsi="Arial"/>
          <w:sz w:val="22"/>
          <w:szCs w:val="22"/>
          <w:color w:val="auto"/>
        </w:rPr>
        <w:t>.”</w:t>
      </w:r>
    </w:p>
    <w:p>
      <w:pPr>
        <w:spacing w:after="0" w:line="186" w:lineRule="exact"/>
        <w:rPr>
          <w:sz w:val="20"/>
          <w:szCs w:val="20"/>
          <w:color w:val="auto"/>
        </w:rPr>
      </w:pPr>
    </w:p>
    <w:p>
      <w:pPr>
        <w:jc w:val="both"/>
        <w:ind w:firstLine="1512"/>
        <w:spacing w:after="0" w:line="250"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Payment of Investment Amount</w:t>
      </w:r>
      <w:r>
        <w:rPr>
          <w:rFonts w:ascii="Arial" w:cs="Arial" w:eastAsia="Arial" w:hAnsi="Arial"/>
          <w:sz w:val="22"/>
          <w:szCs w:val="22"/>
          <w:color w:val="auto"/>
        </w:rPr>
        <w:t>. At the Closing, Buyer shall deliver to Seller payment of the Investment Amount by wire transfer of immediately available funds as directed by Seller.</w:t>
      </w:r>
    </w:p>
    <w:p>
      <w:pPr>
        <w:spacing w:after="0" w:line="175"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Closing Certificates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Seller’s Closing Certificate</w:t>
      </w:r>
      <w:r>
        <w:rPr>
          <w:rFonts w:ascii="Arial" w:cs="Arial" w:eastAsia="Arial" w:hAnsi="Arial"/>
          <w:sz w:val="22"/>
          <w:szCs w:val="22"/>
          <w:color w:val="auto"/>
        </w:rPr>
        <w:t>. At the Closing, Seller shall deliver to Buyer a certificate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Secretary or another officer of Seller, dated the Closing Date, certifying as to (i) the incumbency of the officers of Seller executing the Transaction Documents and (ii) the attached copies of Seller’s organizational documents and resolutions adopted by Seller’s Board of Directors authorizing the execution and delivery by Seller of the Transaction Documents and the consummation by Seller of the transactions contemplated thereby.</w:t>
      </w:r>
    </w:p>
    <w:p>
      <w:pPr>
        <w:spacing w:after="0" w:line="187" w:lineRule="exact"/>
        <w:rPr>
          <w:rFonts w:ascii="Arial" w:cs="Arial" w:eastAsia="Arial" w:hAnsi="Arial"/>
          <w:sz w:val="22"/>
          <w:szCs w:val="22"/>
          <w:color w:val="auto"/>
        </w:rPr>
      </w:pPr>
    </w:p>
    <w:p>
      <w:pPr>
        <w:jc w:val="both"/>
        <w:ind w:firstLine="1735"/>
        <w:spacing w:after="0"/>
        <w:tabs>
          <w:tab w:leader="none" w:pos="2627"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Buyer’s Closing Certificate. </w:t>
      </w:r>
      <w:r>
        <w:rPr>
          <w:rFonts w:ascii="Arial" w:cs="Arial" w:eastAsia="Arial" w:hAnsi="Arial"/>
          <w:sz w:val="22"/>
          <w:szCs w:val="22"/>
          <w:color w:val="auto"/>
        </w:rPr>
        <w:t>At the Closing, Buyer shall deliver to Seller a certificate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Secretary or another officer of Buyer’s general partner, dated the Closing Date, in form and substance as mutually agreed by Buyer and Seller.</w:t>
      </w:r>
    </w:p>
    <w:p>
      <w:pPr>
        <w:spacing w:after="0" w:line="186" w:lineRule="exact"/>
        <w:rPr>
          <w:sz w:val="20"/>
          <w:szCs w:val="20"/>
          <w:color w:val="auto"/>
        </w:rPr>
      </w:pPr>
    </w:p>
    <w:p>
      <w:pPr>
        <w:jc w:val="both"/>
        <w:ind w:firstLine="1512"/>
        <w:spacing w:after="0"/>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Bill of Sale and Assignment</w:t>
      </w:r>
      <w:r>
        <w:rPr>
          <w:rFonts w:ascii="Arial" w:cs="Arial" w:eastAsia="Arial" w:hAnsi="Arial"/>
          <w:sz w:val="22"/>
          <w:szCs w:val="22"/>
          <w:color w:val="auto"/>
        </w:rPr>
        <w:t>. At the Closing, Seller and Buyer shall each deliver to the other party hereto a duly executed counterpart to the Bill of Sale and Assignment, evidencing the sale and assignment to Buyer of the Purchased Assets.</w:t>
      </w:r>
    </w:p>
    <w:p>
      <w:pPr>
        <w:spacing w:after="0" w:line="186" w:lineRule="exact"/>
        <w:rPr>
          <w:sz w:val="20"/>
          <w:szCs w:val="20"/>
          <w:color w:val="auto"/>
        </w:rPr>
      </w:pPr>
    </w:p>
    <w:p>
      <w:pPr>
        <w:jc w:val="both"/>
        <w:ind w:firstLine="1512"/>
        <w:spacing w:after="0" w:line="250" w:lineRule="auto"/>
        <w:rPr>
          <w:sz w:val="20"/>
          <w:szCs w:val="20"/>
          <w:color w:val="auto"/>
        </w:rPr>
      </w:pPr>
      <w:r>
        <w:rPr>
          <w:rFonts w:ascii="Arial" w:cs="Arial" w:eastAsia="Arial" w:hAnsi="Arial"/>
          <w:sz w:val="22"/>
          <w:szCs w:val="22"/>
          <w:color w:val="auto"/>
        </w:rPr>
        <w:t xml:space="preserve">Section 3.5 </w:t>
      </w:r>
      <w:r>
        <w:rPr>
          <w:rFonts w:ascii="Arial" w:cs="Arial" w:eastAsia="Arial" w:hAnsi="Arial"/>
          <w:sz w:val="22"/>
          <w:szCs w:val="22"/>
          <w:u w:val="single" w:color="auto"/>
          <w:color w:val="auto"/>
        </w:rPr>
        <w:t>Tax Forms</w:t>
      </w:r>
      <w:r>
        <w:rPr>
          <w:rFonts w:ascii="Arial" w:cs="Arial" w:eastAsia="Arial" w:hAnsi="Arial"/>
          <w:sz w:val="22"/>
          <w:szCs w:val="22"/>
          <w:color w:val="auto"/>
        </w:rPr>
        <w:t>. Prior to the Closing, Buyer shall have delivered to Seller an Applicable Withholding Certificate.</w:t>
      </w:r>
    </w:p>
    <w:p>
      <w:pPr>
        <w:spacing w:after="0" w:line="175" w:lineRule="exact"/>
        <w:rPr>
          <w:sz w:val="20"/>
          <w:szCs w:val="20"/>
          <w:color w:val="auto"/>
        </w:rPr>
      </w:pPr>
    </w:p>
    <w:p>
      <w:pPr>
        <w:jc w:val="both"/>
        <w:ind w:right="20" w:firstLine="1512"/>
        <w:spacing w:after="0" w:line="250"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Pfizer Instruction Letter</w:t>
      </w:r>
      <w:r>
        <w:rPr>
          <w:rFonts w:ascii="Arial" w:cs="Arial" w:eastAsia="Arial" w:hAnsi="Arial"/>
          <w:sz w:val="22"/>
          <w:szCs w:val="22"/>
          <w:color w:val="auto"/>
        </w:rPr>
        <w:t xml:space="preserve">. At the Closing, Seller shall deliver to Pfizer a duly executed letter of instruction,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attached hereto (the “</w:t>
      </w:r>
      <w:r>
        <w:rPr>
          <w:rFonts w:ascii="Arial" w:cs="Arial" w:eastAsia="Arial" w:hAnsi="Arial"/>
          <w:sz w:val="22"/>
          <w:szCs w:val="22"/>
          <w:u w:val="single" w:color="auto"/>
          <w:color w:val="auto"/>
        </w:rPr>
        <w:t>Pfizer Instruction Letter</w:t>
      </w:r>
      <w:r>
        <w:rPr>
          <w:rFonts w:ascii="Arial" w:cs="Arial" w:eastAsia="Arial" w:hAnsi="Arial"/>
          <w:sz w:val="22"/>
          <w:szCs w:val="22"/>
          <w:color w:val="auto"/>
        </w:rPr>
        <w:t>”).</w:t>
      </w:r>
    </w:p>
    <w:p>
      <w:pPr>
        <w:spacing w:after="0" w:line="175" w:lineRule="exact"/>
        <w:rPr>
          <w:sz w:val="20"/>
          <w:szCs w:val="20"/>
          <w:color w:val="auto"/>
        </w:rPr>
      </w:pPr>
    </w:p>
    <w:p>
      <w:pPr>
        <w:jc w:val="both"/>
        <w:ind w:firstLine="1512"/>
        <w:spacing w:after="0" w:line="250" w:lineRule="auto"/>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Legal Opinion</w:t>
      </w:r>
      <w:r>
        <w:rPr>
          <w:rFonts w:ascii="Arial" w:cs="Arial" w:eastAsia="Arial" w:hAnsi="Arial"/>
          <w:sz w:val="22"/>
          <w:szCs w:val="22"/>
          <w:color w:val="auto"/>
        </w:rPr>
        <w:t xml:space="preserve">. At the Closing, Morgan, Lewis &amp; Bockius, LLP, as counsel to Seller, shall deliver to Buyer a duly executed legal opinion in substantially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attached hereto.</w:t>
      </w:r>
    </w:p>
    <w:p>
      <w:pPr>
        <w:spacing w:after="0" w:line="175" w:lineRule="exact"/>
        <w:rPr>
          <w:sz w:val="20"/>
          <w:szCs w:val="20"/>
          <w:color w:val="auto"/>
        </w:rPr>
      </w:pPr>
    </w:p>
    <w:p>
      <w:pPr>
        <w:jc w:val="both"/>
        <w:ind w:firstLine="1512"/>
        <w:spacing w:after="0"/>
        <w:rPr>
          <w:sz w:val="20"/>
          <w:szCs w:val="20"/>
          <w:color w:val="auto"/>
        </w:rPr>
      </w:pPr>
      <w:r>
        <w:rPr>
          <w:rFonts w:ascii="Arial" w:cs="Arial" w:eastAsia="Arial" w:hAnsi="Arial"/>
          <w:sz w:val="22"/>
          <w:szCs w:val="22"/>
          <w:color w:val="auto"/>
        </w:rPr>
        <w:t xml:space="preserve">Section 3.8 </w:t>
      </w:r>
      <w:r>
        <w:rPr>
          <w:rFonts w:ascii="Arial" w:cs="Arial" w:eastAsia="Arial" w:hAnsi="Arial"/>
          <w:sz w:val="22"/>
          <w:szCs w:val="22"/>
          <w:u w:val="single" w:color="auto"/>
          <w:color w:val="auto"/>
        </w:rPr>
        <w:t>Financing Statements</w:t>
      </w:r>
      <w:r>
        <w:rPr>
          <w:rFonts w:ascii="Arial" w:cs="Arial" w:eastAsia="Arial" w:hAnsi="Arial"/>
          <w:sz w:val="22"/>
          <w:szCs w:val="22"/>
          <w:color w:val="auto"/>
        </w:rPr>
        <w:t>. At the Closing, Seller shall deliver to Buyer such Financing Statements, executed by Seller as applicable, in a form reasonably acceptable to Buyer to create, evidence and perfect the first-priority security interest granted pursuant to Section 2.4.</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8" w:name="page69"/>
    <w:bookmarkEnd w:id="68"/>
    <w:p>
      <w:pPr>
        <w:jc w:val="both"/>
        <w:ind w:firstLine="1512"/>
        <w:spacing w:after="0" w:line="250" w:lineRule="auto"/>
        <w:rPr>
          <w:sz w:val="20"/>
          <w:szCs w:val="20"/>
          <w:color w:val="auto"/>
        </w:rPr>
      </w:pPr>
      <w:r>
        <w:rPr>
          <w:rFonts w:ascii="Arial" w:cs="Arial" w:eastAsia="Arial" w:hAnsi="Arial"/>
          <w:sz w:val="22"/>
          <w:szCs w:val="22"/>
          <w:color w:val="auto"/>
        </w:rPr>
        <w:t xml:space="preserve">Section 3.9 </w:t>
      </w:r>
      <w:r>
        <w:rPr>
          <w:rFonts w:ascii="Arial" w:cs="Arial" w:eastAsia="Arial" w:hAnsi="Arial"/>
          <w:sz w:val="22"/>
          <w:szCs w:val="22"/>
          <w:u w:val="single" w:color="auto"/>
          <w:color w:val="auto"/>
        </w:rPr>
        <w:t>Escrow Agreement</w:t>
      </w:r>
      <w:r>
        <w:rPr>
          <w:rFonts w:ascii="Arial" w:cs="Arial" w:eastAsia="Arial" w:hAnsi="Arial"/>
          <w:sz w:val="22"/>
          <w:szCs w:val="22"/>
          <w:color w:val="auto"/>
        </w:rPr>
        <w:t xml:space="preserve">. At the Closing, Seller and Buyer shall each deliver to the other party a duly executed counterpart to the Escrow Agreement, substantially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w:t>
      </w:r>
    </w:p>
    <w:p>
      <w:pPr>
        <w:spacing w:after="0" w:line="175" w:lineRule="exact"/>
        <w:rPr>
          <w:sz w:val="20"/>
          <w:szCs w:val="20"/>
          <w:color w:val="auto"/>
        </w:rPr>
      </w:pPr>
    </w:p>
    <w:p>
      <w:pPr>
        <w:jc w:val="both"/>
        <w:ind w:firstLine="1512"/>
        <w:spacing w:after="0" w:line="238"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MidCap Release</w:t>
      </w:r>
      <w:r>
        <w:rPr>
          <w:rFonts w:ascii="Arial" w:cs="Arial" w:eastAsia="Arial" w:hAnsi="Arial"/>
          <w:sz w:val="22"/>
          <w:szCs w:val="22"/>
          <w:color w:val="auto"/>
        </w:rPr>
        <w:t>. At the Closing, Seller shall deliver to Buyer a release by MidCap of the security interest granted to MidCap in the License Agreement and the Purchased Assets pursuant to the MidCap Credit Agreement and the MidCap Collateral Assignment, which release shall be in a form reasonably acceptable to Buyer (the “</w:t>
      </w:r>
      <w:r>
        <w:rPr>
          <w:rFonts w:ascii="Arial" w:cs="Arial" w:eastAsia="Arial" w:hAnsi="Arial"/>
          <w:sz w:val="22"/>
          <w:szCs w:val="22"/>
          <w:u w:val="single" w:color="auto"/>
          <w:color w:val="auto"/>
        </w:rPr>
        <w:t>MidCap Release</w:t>
      </w:r>
      <w:r>
        <w:rPr>
          <w:rFonts w:ascii="Arial" w:cs="Arial" w:eastAsia="Arial" w:hAnsi="Arial"/>
          <w:sz w:val="22"/>
          <w:szCs w:val="22"/>
          <w:color w:val="auto"/>
        </w:rPr>
        <w:t>”).</w:t>
      </w:r>
    </w:p>
    <w:p>
      <w:pPr>
        <w:spacing w:after="0" w:line="185" w:lineRule="exact"/>
        <w:rPr>
          <w:sz w:val="20"/>
          <w:szCs w:val="20"/>
          <w:color w:val="auto"/>
        </w:rPr>
      </w:pPr>
    </w:p>
    <w:p>
      <w:pPr>
        <w:jc w:val="both"/>
        <w:ind w:firstLine="1512"/>
        <w:spacing w:after="0" w:line="245"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Lien Searches</w:t>
      </w:r>
      <w:r>
        <w:rPr>
          <w:rFonts w:ascii="Arial" w:cs="Arial" w:eastAsia="Arial" w:hAnsi="Arial"/>
          <w:sz w:val="21"/>
          <w:szCs w:val="21"/>
          <w:color w:val="auto"/>
        </w:rPr>
        <w:t>. Prior to the Closing, Buyer shall have received (a) the results of a recent search in the state of Delaware of all effective financing statements made against Seller, together with copies of all such filings disclosed by such search and (b) termination statements and amendment statements, as applicable, in each case in form and substance reasonably acceptable to Buyer to be filed with the Secretary of State of the State of Delaware as may be necessary to terminate or amend, as applicable, any effective financing statements that involve or relate to the Purchase Receivables that are disclosed by the search referred to in the immediately preceding clause (a) or as otherwise in existence (including, without limitation, any effective financing statements in favor of Midcap that involve or relate to the Purchased Assets or the License Agreement), which termination statements and amendment statements, as applicable, shall be filed concurrently with the consummation of the Closing.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9" w:name="page70"/>
    <w:bookmarkEnd w:id="69"/>
    <w:p>
      <w:pPr>
        <w:ind w:left="4700"/>
        <w:spacing w:after="0"/>
        <w:rPr>
          <w:sz w:val="20"/>
          <w:szCs w:val="20"/>
          <w:color w:val="auto"/>
        </w:rPr>
      </w:pPr>
      <w:r>
        <w:rPr>
          <w:rFonts w:ascii="Arial" w:cs="Arial" w:eastAsia="Arial" w:hAnsi="Arial"/>
          <w:sz w:val="22"/>
          <w:szCs w:val="22"/>
          <w:u w:val="single" w:color="auto"/>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SELLER’S REPRESENTATIONS AND WARRANTIES</w:t>
      </w:r>
    </w:p>
    <w:p>
      <w:pPr>
        <w:spacing w:after="0" w:line="20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Except as set forth in the disclosure schedules attached hereto (the “</w:t>
      </w:r>
      <w:r>
        <w:rPr>
          <w:rFonts w:ascii="Arial" w:cs="Arial" w:eastAsia="Arial" w:hAnsi="Arial"/>
          <w:sz w:val="21"/>
          <w:szCs w:val="21"/>
          <w:u w:val="single" w:color="auto"/>
          <w:color w:val="auto"/>
        </w:rPr>
        <w:t>Disclosure Schedules</w:t>
      </w:r>
      <w:r>
        <w:rPr>
          <w:rFonts w:ascii="Arial" w:cs="Arial" w:eastAsia="Arial" w:hAnsi="Arial"/>
          <w:sz w:val="21"/>
          <w:szCs w:val="21"/>
          <w:color w:val="auto"/>
        </w:rPr>
        <w:t xml:space="preserve">”), Seller hereby represents and warrants to Buyer as of the date hereof as set forth below. The Disclosure Schedules have been arranged and numbered in sections and subsections corresponding to each Section or subsection of this Article IV as to which Seller is limiting or otherwise qualifying its representations and warranties (without any need for reference of any kind in Article IV hereof to such Section or subsection of the Disclosure Schedules);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information disclosed in the Disclosure Schedules under any such Section or subsection shall be deemed to be disclosed and incorporated in only the specifically identified Section or subsection of the Disclosure Schedules.</w:t>
      </w:r>
    </w:p>
    <w:p>
      <w:pPr>
        <w:spacing w:after="0" w:line="184" w:lineRule="exact"/>
        <w:rPr>
          <w:sz w:val="20"/>
          <w:szCs w:val="20"/>
          <w:color w:val="auto"/>
        </w:rPr>
      </w:pPr>
    </w:p>
    <w:p>
      <w:pPr>
        <w:jc w:val="both"/>
        <w:ind w:firstLine="1512"/>
        <w:spacing w:after="0" w:line="235"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Organization</w:t>
      </w:r>
      <w:r>
        <w:rPr>
          <w:rFonts w:ascii="Arial" w:cs="Arial" w:eastAsia="Arial" w:hAnsi="Arial"/>
          <w:sz w:val="22"/>
          <w:szCs w:val="22"/>
          <w:color w:val="auto"/>
        </w:rPr>
        <w:t xml:space="preserve"> . Seller is a corporation duly organized, validly existing and in good standing under the laws of the State of Delaware. Seller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Seller Material Adverse Effect.</w:t>
      </w:r>
    </w:p>
    <w:p>
      <w:pPr>
        <w:spacing w:after="0" w:line="188" w:lineRule="exact"/>
        <w:rPr>
          <w:sz w:val="20"/>
          <w:szCs w:val="20"/>
          <w:color w:val="auto"/>
        </w:rPr>
      </w:pPr>
    </w:p>
    <w:p>
      <w:pPr>
        <w:jc w:val="both"/>
        <w:ind w:firstLine="1512"/>
        <w:spacing w:after="0" w:line="238"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Authorization</w:t>
      </w:r>
      <w:r>
        <w:rPr>
          <w:rFonts w:ascii="Arial" w:cs="Arial" w:eastAsia="Arial" w:hAnsi="Arial"/>
          <w:sz w:val="22"/>
          <w:szCs w:val="22"/>
          <w:color w:val="auto"/>
        </w:rPr>
        <w:t>. Seller has the requisite corporate power and authority to execute, deliver and perform its obligations under the Transaction Documents and to consummate the transactions contemplated thereby. The execution, delivery and performance of the Transaction Documents, and the consummation of the transactions contemplated thereby, have been duly authorized by all necessary corporate action on part of Seller.</w:t>
      </w:r>
    </w:p>
    <w:p>
      <w:pPr>
        <w:spacing w:after="0" w:line="185" w:lineRule="exact"/>
        <w:rPr>
          <w:sz w:val="20"/>
          <w:szCs w:val="20"/>
          <w:color w:val="auto"/>
        </w:rPr>
      </w:pPr>
    </w:p>
    <w:p>
      <w:pPr>
        <w:jc w:val="both"/>
        <w:ind w:firstLine="1512"/>
        <w:spacing w:after="0" w:line="236"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Enforceability</w:t>
      </w:r>
      <w:r>
        <w:rPr>
          <w:rFonts w:ascii="Arial" w:cs="Arial" w:eastAsia="Arial" w:hAnsi="Arial"/>
          <w:sz w:val="22"/>
          <w:szCs w:val="22"/>
          <w:color w:val="auto"/>
        </w:rPr>
        <w:t>. Each of the Transaction Documents has been duly executed and delivered by Seller, and constitutes a valid and binding obligation of Seller, enforceable against Seller in accordance with its terms, except as may be limited by general principles of equity (regardless of whether considered in a proceeding at law or in equity) and by applicable bankruptcy, insolvency, moratorium and other similar laws of general application relating to or affecting creditors’ rights generally.</w:t>
      </w:r>
    </w:p>
    <w:p>
      <w:pPr>
        <w:spacing w:after="0" w:line="187" w:lineRule="exact"/>
        <w:rPr>
          <w:sz w:val="20"/>
          <w:szCs w:val="20"/>
          <w:color w:val="auto"/>
        </w:rPr>
      </w:pPr>
    </w:p>
    <w:p>
      <w:pPr>
        <w:jc w:val="both"/>
        <w:ind w:firstLine="1512"/>
        <w:spacing w:after="0" w:line="248" w:lineRule="auto"/>
        <w:rPr>
          <w:sz w:val="20"/>
          <w:szCs w:val="20"/>
          <w:color w:val="auto"/>
        </w:rPr>
      </w:pPr>
      <w:r>
        <w:rPr>
          <w:rFonts w:ascii="Arial" w:cs="Arial" w:eastAsia="Arial" w:hAnsi="Arial"/>
          <w:sz w:val="21"/>
          <w:szCs w:val="21"/>
          <w:color w:val="auto"/>
        </w:rPr>
        <w:t xml:space="preserve">Section 4.4 </w:t>
      </w:r>
      <w:r>
        <w:rPr>
          <w:rFonts w:ascii="Arial" w:cs="Arial" w:eastAsia="Arial" w:hAnsi="Arial"/>
          <w:sz w:val="21"/>
          <w:szCs w:val="21"/>
          <w:u w:val="single" w:color="auto"/>
          <w:color w:val="auto"/>
        </w:rPr>
        <w:t>Absence of Conflicts</w:t>
      </w:r>
      <w:r>
        <w:rPr>
          <w:rFonts w:ascii="Arial" w:cs="Arial" w:eastAsia="Arial" w:hAnsi="Arial"/>
          <w:sz w:val="21"/>
          <w:szCs w:val="21"/>
          <w:color w:val="auto"/>
        </w:rPr>
        <w:t>. The execution, delivery and performance by Seller of the Transaction Documents and the consummation of the transactions contemplated thereby do not and shall not (a) conflict with, constitute a breach of or default under any provision of (i) the articles of organization or bylaws of Seller or (ii) the License Agreement, the MidCap Credit Agreement, or the MidCap Release; or (b) conflict with, constitute a material breach of or material default under any provision of (i) any Applicable Law or Judgment applicable to Seller or (ii) any Contract (other than the License Agreement) to which Seller is a party or by which Seller is bound.</w:t>
      </w:r>
    </w:p>
    <w:p>
      <w:pPr>
        <w:spacing w:after="0" w:line="177" w:lineRule="exact"/>
        <w:rPr>
          <w:sz w:val="20"/>
          <w:szCs w:val="20"/>
          <w:color w:val="auto"/>
        </w:rPr>
      </w:pPr>
    </w:p>
    <w:p>
      <w:pPr>
        <w:jc w:val="both"/>
        <w:ind w:firstLine="1512"/>
        <w:spacing w:after="0"/>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Consents</w:t>
      </w:r>
      <w:r>
        <w:rPr>
          <w:rFonts w:ascii="Arial" w:cs="Arial" w:eastAsia="Arial" w:hAnsi="Arial"/>
          <w:sz w:val="22"/>
          <w:szCs w:val="22"/>
          <w:color w:val="auto"/>
        </w:rPr>
        <w:t>. No Consent of any Governmental Authority or any other Person is required, or will be required, by or with respect to Seller in connection with the execution and delivery by Seller of the Transaction Documents, the performance by Seller of its obligations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0" w:name="page71"/>
    <w:bookmarkEnd w:id="70"/>
    <w:p>
      <w:pPr>
        <w:jc w:val="both"/>
        <w:ind w:right="20"/>
        <w:spacing w:after="0" w:line="250" w:lineRule="auto"/>
        <w:rPr>
          <w:sz w:val="20"/>
          <w:szCs w:val="20"/>
          <w:color w:val="auto"/>
        </w:rPr>
      </w:pPr>
      <w:r>
        <w:rPr>
          <w:rFonts w:ascii="Arial" w:cs="Arial" w:eastAsia="Arial" w:hAnsi="Arial"/>
          <w:sz w:val="22"/>
          <w:szCs w:val="22"/>
          <w:color w:val="auto"/>
        </w:rPr>
        <w:t>under the Transaction Documents or the consummation by Seller of the transactions contemplated by the Transaction Documents, except for such Consents as shall have been obtained on or prior to the date hereof.</w:t>
      </w:r>
    </w:p>
    <w:p>
      <w:pPr>
        <w:spacing w:after="0" w:line="175" w:lineRule="exact"/>
        <w:rPr>
          <w:sz w:val="20"/>
          <w:szCs w:val="20"/>
          <w:color w:val="auto"/>
        </w:rPr>
      </w:pPr>
    </w:p>
    <w:p>
      <w:pPr>
        <w:jc w:val="both"/>
        <w:ind w:firstLine="1512"/>
        <w:spacing w:after="0" w:line="235"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Litigation</w:t>
      </w:r>
      <w:r>
        <w:rPr>
          <w:rFonts w:ascii="Arial" w:cs="Arial" w:eastAsia="Arial" w:hAnsi="Arial"/>
          <w:sz w:val="22"/>
          <w:szCs w:val="22"/>
          <w:color w:val="auto"/>
        </w:rPr>
        <w:t>. No (a) action, suit, proceeding, claim, demand, citation, summons, subpoena, investigation, or other proceeding (whether civil, criminal, administrative, regulatory, investigative or informal) is pending, or, to the Knowledge of Seller, threatened, by or against Seller, at law or in equity, or (b) inquiry, or investigation (whether civil, criminal, administrative, regulatory, investigative or informal) by or before any Governmental Authority is pending, or, to the Knowledge of Seller, threatened, against Seller that, individually or in the aggregate, would reasonably be expected to result in a Seller Material Adverse Effect.</w:t>
      </w:r>
    </w:p>
    <w:p>
      <w:pPr>
        <w:spacing w:after="0" w:line="188" w:lineRule="exact"/>
        <w:rPr>
          <w:sz w:val="20"/>
          <w:szCs w:val="20"/>
          <w:color w:val="auto"/>
        </w:rPr>
      </w:pPr>
    </w:p>
    <w:p>
      <w:pPr>
        <w:jc w:val="both"/>
        <w:ind w:firstLine="1512"/>
        <w:spacing w:after="0" w:line="236" w:lineRule="auto"/>
        <w:rPr>
          <w:sz w:val="20"/>
          <w:szCs w:val="20"/>
          <w:color w:val="auto"/>
        </w:rPr>
      </w:pPr>
      <w:r>
        <w:rPr>
          <w:rFonts w:ascii="Arial" w:cs="Arial" w:eastAsia="Arial" w:hAnsi="Arial"/>
          <w:sz w:val="22"/>
          <w:szCs w:val="22"/>
          <w:color w:val="auto"/>
        </w:rPr>
        <w:t xml:space="preserve">Section 4.7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Seller (a) has not violated, is not in violation of, has not been given written notice that it has violated, and, to the Knowledge of Seller, Seller is not under investigation with respect to its violation of, and has not been threatened to be charged with any violation of, any Applicable Law or any Judgment of any Governmental Authority, and (b) is not subject to any Judgment of any Governmental Authority; in each case that would reasonably be expected to result in a Seller Material Adverse Effect.</w:t>
      </w:r>
    </w:p>
    <w:p>
      <w:pPr>
        <w:spacing w:after="0" w:line="187" w:lineRule="exact"/>
        <w:rPr>
          <w:sz w:val="20"/>
          <w:szCs w:val="20"/>
          <w:color w:val="auto"/>
        </w:rPr>
      </w:pPr>
    </w:p>
    <w:p>
      <w:pPr>
        <w:jc w:val="both"/>
        <w:ind w:firstLine="1512"/>
        <w:spacing w:after="0" w:line="238" w:lineRule="auto"/>
        <w:rPr>
          <w:sz w:val="20"/>
          <w:szCs w:val="20"/>
          <w:color w:val="auto"/>
        </w:rPr>
      </w:pPr>
      <w:r>
        <w:rPr>
          <w:rFonts w:ascii="Arial" w:cs="Arial" w:eastAsia="Arial" w:hAnsi="Arial"/>
          <w:sz w:val="22"/>
          <w:szCs w:val="22"/>
          <w:color w:val="auto"/>
        </w:rPr>
        <w:t xml:space="preserve">Section 4.8 </w:t>
      </w:r>
      <w:r>
        <w:rPr>
          <w:rFonts w:ascii="Arial" w:cs="Arial" w:eastAsia="Arial" w:hAnsi="Arial"/>
          <w:sz w:val="22"/>
          <w:szCs w:val="22"/>
          <w:u w:val="single" w:color="auto"/>
          <w:color w:val="auto"/>
        </w:rPr>
        <w:t>Brokers’ Fees</w:t>
      </w:r>
      <w:r>
        <w:rPr>
          <w:rFonts w:ascii="Arial" w:cs="Arial" w:eastAsia="Arial" w:hAnsi="Arial"/>
          <w:sz w:val="22"/>
          <w:szCs w:val="22"/>
          <w:color w:val="auto"/>
        </w:rPr>
        <w:t>. There is no investment banker, broker, finder, financial advisor or other intermediary who has been retained by or is authorized to act on behalf of Seller who is entitled to any fee or commission in connection with the transactions contemplated by this Agreement, other than Piper Sandler, whose fees and expenses shall be paid by Seller.</w:t>
      </w:r>
    </w:p>
    <w:p>
      <w:pPr>
        <w:spacing w:after="0" w:line="185"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4.9</w:t>
      </w:r>
      <w:r>
        <w:rPr>
          <w:sz w:val="20"/>
          <w:szCs w:val="20"/>
          <w:color w:val="auto"/>
        </w:rPr>
        <w:tab/>
      </w:r>
      <w:r>
        <w:rPr>
          <w:rFonts w:ascii="Arial" w:cs="Arial" w:eastAsia="Arial" w:hAnsi="Arial"/>
          <w:sz w:val="19"/>
          <w:szCs w:val="19"/>
          <w:u w:val="single" w:color="auto"/>
          <w:color w:val="auto"/>
        </w:rPr>
        <w:t>License Agreement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82" w:lineRule="auto"/>
        <w:tabs>
          <w:tab w:leader="none" w:pos="2615"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License Agreement; Royalty Reports; Material Notices</w:t>
      </w:r>
      <w:r>
        <w:rPr>
          <w:rFonts w:ascii="Arial" w:cs="Arial" w:eastAsia="Arial" w:hAnsi="Arial"/>
          <w:sz w:val="19"/>
          <w:szCs w:val="19"/>
          <w:color w:val="auto"/>
        </w:rPr>
        <w:t>. Attached hereto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E</w:t>
      </w:r>
      <w:r>
        <w:rPr>
          <w:rFonts w:ascii="Arial" w:cs="Arial" w:eastAsia="Arial" w:hAnsi="Arial"/>
          <w:sz w:val="19"/>
          <w:szCs w:val="19"/>
          <w:i w:val="1"/>
          <w:iCs w:val="1"/>
          <w:color w:val="auto"/>
        </w:rPr>
        <w:t xml:space="preserve"> </w:t>
      </w:r>
      <w:r>
        <w:rPr>
          <w:rFonts w:ascii="Arial" w:cs="Arial" w:eastAsia="Arial" w:hAnsi="Arial"/>
          <w:sz w:val="19"/>
          <w:szCs w:val="19"/>
          <w:color w:val="auto"/>
        </w:rPr>
        <w:t>is a true,</w:t>
      </w:r>
      <w:r>
        <w:rPr>
          <w:rFonts w:ascii="Arial" w:cs="Arial" w:eastAsia="Arial" w:hAnsi="Arial"/>
          <w:sz w:val="19"/>
          <w:szCs w:val="19"/>
          <w:i w:val="1"/>
          <w:iCs w:val="1"/>
          <w:color w:val="auto"/>
        </w:rPr>
        <w:t xml:space="preserve"> </w:t>
      </w:r>
      <w:r>
        <w:rPr>
          <w:rFonts w:ascii="Arial" w:cs="Arial" w:eastAsia="Arial" w:hAnsi="Arial"/>
          <w:sz w:val="19"/>
          <w:szCs w:val="19"/>
          <w:color w:val="auto"/>
        </w:rPr>
        <w:t>correct and complete copy of the License Agreement. Seller has made available to Buyer true, correct and complete copies of: (i) the Royalty Reports in respect of each calendar quarter ended since the date of the License Agreement Termination Notice that have been received by Seller prior to the date hereof; and (ii) all material written notices delivered to Pfizer by Seller, or by Pfizer to Seller, relating to, or involving, the Purchased Assets pursuant to the License Agreement since January 1, 2019.</w:t>
      </w:r>
    </w:p>
    <w:p>
      <w:pPr>
        <w:spacing w:after="0" w:line="147" w:lineRule="exact"/>
        <w:rPr>
          <w:rFonts w:ascii="Arial" w:cs="Arial" w:eastAsia="Arial" w:hAnsi="Arial"/>
          <w:sz w:val="19"/>
          <w:szCs w:val="19"/>
          <w:color w:val="auto"/>
        </w:rPr>
      </w:pPr>
    </w:p>
    <w:p>
      <w:pPr>
        <w:jc w:val="both"/>
        <w:ind w:firstLine="1735"/>
        <w:spacing w:after="0" w:line="246" w:lineRule="auto"/>
        <w:tabs>
          <w:tab w:leader="none" w:pos="2627" w:val="left"/>
        </w:tabs>
        <w:numPr>
          <w:ilvl w:val="0"/>
          <w:numId w:val="37"/>
        </w:numPr>
        <w:rPr>
          <w:rFonts w:ascii="Arial" w:cs="Arial" w:eastAsia="Arial" w:hAnsi="Arial"/>
          <w:sz w:val="21"/>
          <w:szCs w:val="21"/>
          <w:color w:val="auto"/>
        </w:rPr>
      </w:pPr>
      <w:r>
        <w:rPr>
          <w:rFonts w:ascii="Arial" w:cs="Arial" w:eastAsia="Arial" w:hAnsi="Arial"/>
          <w:sz w:val="21"/>
          <w:szCs w:val="21"/>
          <w:i w:val="1"/>
          <w:iCs w:val="1"/>
          <w:color w:val="auto"/>
        </w:rPr>
        <w:t xml:space="preserve">Validity and Enforceability of License Agreement. </w:t>
      </w:r>
      <w:r>
        <w:rPr>
          <w:rFonts w:ascii="Arial" w:cs="Arial" w:eastAsia="Arial" w:hAnsi="Arial"/>
          <w:sz w:val="21"/>
          <w:szCs w:val="21"/>
          <w:color w:val="auto"/>
        </w:rPr>
        <w:t>The Surviving Obligations are valid and binding</w:t>
      </w:r>
      <w:r>
        <w:rPr>
          <w:rFonts w:ascii="Arial" w:cs="Arial" w:eastAsia="Arial" w:hAnsi="Arial"/>
          <w:sz w:val="21"/>
          <w:szCs w:val="21"/>
          <w:i w:val="1"/>
          <w:iCs w:val="1"/>
          <w:color w:val="auto"/>
        </w:rPr>
        <w:t xml:space="preserve"> </w:t>
      </w:r>
      <w:r>
        <w:rPr>
          <w:rFonts w:ascii="Arial" w:cs="Arial" w:eastAsia="Arial" w:hAnsi="Arial"/>
          <w:sz w:val="21"/>
          <w:szCs w:val="21"/>
          <w:color w:val="auto"/>
        </w:rPr>
        <w:t>obligations of Seller and Pfizer, enforceable against each of Seller and Pfizer in accordance with their terms, except as may be limited by general principles of equity (regardless of whether considered in a proceeding at law or in equity) and by applicable bankruptcy, insolvency, moratorium and other similar laws of general application relating to or affecting creditors’ rights generally. The Surviving Obligations will continue to be valid, binding and enforceable on identical terms immediately after the consummation of the transactions contemplated by the Transaction Documents. Seller has not received any written notice from Pfizer challenging the validity, enforceability or interpretation of the Surviving Obligations or any obligation of Pfizer to pay the Royalty Payments thereunder.</w:t>
      </w:r>
    </w:p>
    <w:p>
      <w:pPr>
        <w:spacing w:after="0" w:line="179" w:lineRule="exact"/>
        <w:rPr>
          <w:rFonts w:ascii="Arial" w:cs="Arial" w:eastAsia="Arial" w:hAnsi="Arial"/>
          <w:sz w:val="21"/>
          <w:szCs w:val="21"/>
          <w:color w:val="auto"/>
        </w:rPr>
      </w:pPr>
    </w:p>
    <w:p>
      <w:pPr>
        <w:ind w:firstLine="1735"/>
        <w:spacing w:after="0" w:line="250" w:lineRule="auto"/>
        <w:tabs>
          <w:tab w:leader="none" w:pos="2615"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No Other Agreements</w:t>
      </w:r>
      <w:r>
        <w:rPr>
          <w:rFonts w:ascii="Arial" w:cs="Arial" w:eastAsia="Arial" w:hAnsi="Arial"/>
          <w:sz w:val="22"/>
          <w:szCs w:val="22"/>
          <w:color w:val="auto"/>
        </w:rPr>
        <w:t>. The Surviving Obligations are the only agreement, instrument,</w:t>
      </w:r>
      <w:r>
        <w:rPr>
          <w:rFonts w:ascii="Arial" w:cs="Arial" w:eastAsia="Arial" w:hAnsi="Arial"/>
          <w:sz w:val="22"/>
          <w:szCs w:val="22"/>
          <w:i w:val="1"/>
          <w:iCs w:val="1"/>
          <w:color w:val="auto"/>
        </w:rPr>
        <w:t xml:space="preserve"> </w:t>
      </w:r>
      <w:r>
        <w:rPr>
          <w:rFonts w:ascii="Arial" w:cs="Arial" w:eastAsia="Arial" w:hAnsi="Arial"/>
          <w:sz w:val="22"/>
          <w:szCs w:val="22"/>
          <w:color w:val="auto"/>
        </w:rPr>
        <w:t>arrangement, waiver or understanding between Seller (or any Affiliate thereof)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1" w:name="page72"/>
    <w:bookmarkEnd w:id="71"/>
    <w:p>
      <w:pPr>
        <w:jc w:val="both"/>
        <w:spacing w:after="0" w:line="269" w:lineRule="auto"/>
        <w:rPr>
          <w:sz w:val="20"/>
          <w:szCs w:val="20"/>
          <w:color w:val="auto"/>
        </w:rPr>
      </w:pPr>
      <w:r>
        <w:rPr>
          <w:rFonts w:ascii="Arial" w:cs="Arial" w:eastAsia="Arial" w:hAnsi="Arial"/>
          <w:sz w:val="19"/>
          <w:szCs w:val="19"/>
          <w:color w:val="auto"/>
        </w:rPr>
        <w:t>Pfizer (or any Affiliate thereof) relating to the subject matter thereof, and there are no other agreements, instruments, arrangements, waivers or understandings between Seller (or any Affiliate thereof) and Pfizer (or any Affiliate thereof) that relate to the Surviving Obligations, the Purchased Assets, or the Royalty Payment or that would reasonably be expected to result in a Seller Material Adverse Effect. Since the date of the License Agreement Termination Notice, Seller has not received from Pfizer any written proposal, and has not made any proposal to Pfizer, to amend or waive any provision of the License Agreement. Other than the MidCap Credit Agreement and the MidCap Collateral Agreement, there is no contract, agreement or other arrangement (whether written or oral) to which Seller is a party or by which any of their respective assets or properties is bound or committed</w:t>
      </w:r>
    </w:p>
    <w:p>
      <w:pPr>
        <w:spacing w:after="0" w:line="5" w:lineRule="exact"/>
        <w:rPr>
          <w:sz w:val="20"/>
          <w:szCs w:val="20"/>
          <w:color w:val="auto"/>
        </w:rPr>
      </w:pPr>
    </w:p>
    <w:p>
      <w:pPr>
        <w:jc w:val="both"/>
        <w:ind w:firstLine="8"/>
        <w:spacing w:after="0" w:line="234" w:lineRule="auto"/>
        <w:tabs>
          <w:tab w:leader="none" w:pos="25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that creates a lien on the Purchased Assets or the Surviving Obligations; (ii) that materially affects the Purchased Assets or (iii) for which breach thereof, nonperformance thereof, cancellation thereof or failure to renew would reasonably be expected to have a Seller Material Adverse Effect.</w:t>
      </w:r>
    </w:p>
    <w:p>
      <w:pPr>
        <w:spacing w:after="0" w:line="187" w:lineRule="exact"/>
        <w:rPr>
          <w:rFonts w:ascii="Arial" w:cs="Arial" w:eastAsia="Arial" w:hAnsi="Arial"/>
          <w:sz w:val="22"/>
          <w:szCs w:val="22"/>
          <w:color w:val="auto"/>
        </w:rPr>
      </w:pPr>
    </w:p>
    <w:p>
      <w:pPr>
        <w:jc w:val="both"/>
        <w:ind w:firstLine="1735"/>
        <w:spacing w:after="0" w:line="282" w:lineRule="auto"/>
        <w:tabs>
          <w:tab w:leader="none" w:pos="2627" w:val="left"/>
        </w:tabs>
        <w:numPr>
          <w:ilvl w:val="1"/>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No Termination, Force Majeure, etc. </w:t>
      </w:r>
      <w:r>
        <w:rPr>
          <w:rFonts w:ascii="Arial" w:cs="Arial" w:eastAsia="Arial" w:hAnsi="Arial"/>
          <w:sz w:val="19"/>
          <w:szCs w:val="19"/>
          <w:color w:val="auto"/>
        </w:rPr>
        <w:t>Other than the License Agreement Termination Notice, Seller</w:t>
      </w:r>
      <w:r>
        <w:rPr>
          <w:rFonts w:ascii="Arial" w:cs="Arial" w:eastAsia="Arial" w:hAnsi="Arial"/>
          <w:sz w:val="19"/>
          <w:szCs w:val="19"/>
          <w:i w:val="1"/>
          <w:iCs w:val="1"/>
          <w:color w:val="auto"/>
        </w:rPr>
        <w:t xml:space="preserve"> </w:t>
      </w:r>
      <w:r>
        <w:rPr>
          <w:rFonts w:ascii="Arial" w:cs="Arial" w:eastAsia="Arial" w:hAnsi="Arial"/>
          <w:sz w:val="19"/>
          <w:szCs w:val="19"/>
          <w:color w:val="auto"/>
        </w:rPr>
        <w:t>has not (i) given Pfizer any notice of termination pursuant to Section 9.5 or 9.6 of the License Agreement or (ii) received from Pfizer any written notice of termination pursuant to Section 9.5 or 9.6 of the License Agreement. No event has occurred, and there is no event that upon notice or the passage of time, or both, would reasonably be expected to give Seller or Pfizer the right to terminate or delay the Surviving Obligations, or cease or delay paying the Royalty Payment.</w:t>
      </w:r>
    </w:p>
    <w:p>
      <w:pPr>
        <w:spacing w:after="0" w:line="147" w:lineRule="exact"/>
        <w:rPr>
          <w:rFonts w:ascii="Arial" w:cs="Arial" w:eastAsia="Arial" w:hAnsi="Arial"/>
          <w:sz w:val="19"/>
          <w:szCs w:val="19"/>
          <w:color w:val="auto"/>
        </w:rPr>
      </w:pPr>
    </w:p>
    <w:p>
      <w:pPr>
        <w:jc w:val="both"/>
        <w:ind w:firstLine="1735"/>
        <w:spacing w:after="0" w:line="234" w:lineRule="auto"/>
        <w:tabs>
          <w:tab w:leader="none" w:pos="2615" w:val="left"/>
        </w:tabs>
        <w:numPr>
          <w:ilvl w:val="1"/>
          <w:numId w:val="38"/>
        </w:numPr>
        <w:rPr>
          <w:rFonts w:ascii="Arial" w:cs="Arial" w:eastAsia="Arial" w:hAnsi="Arial"/>
          <w:sz w:val="22"/>
          <w:szCs w:val="22"/>
          <w:color w:val="auto"/>
        </w:rPr>
      </w:pPr>
      <w:r>
        <w:rPr>
          <w:rFonts w:ascii="Arial" w:cs="Arial" w:eastAsia="Arial" w:hAnsi="Arial"/>
          <w:sz w:val="22"/>
          <w:szCs w:val="22"/>
          <w:i w:val="1"/>
          <w:iCs w:val="1"/>
          <w:color w:val="auto"/>
        </w:rPr>
        <w:t>No Breaches</w:t>
      </w:r>
      <w:r>
        <w:rPr>
          <w:rFonts w:ascii="Arial" w:cs="Arial" w:eastAsia="Arial" w:hAnsi="Arial"/>
          <w:sz w:val="22"/>
          <w:szCs w:val="22"/>
          <w:color w:val="auto"/>
        </w:rPr>
        <w:t>. There is and has been no material breach of any Surviving Obligation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License Agreement by Seller, and there is no event that upon notice or the passage of time, or both, would reasonably be expected to give rise to any material breach by Seller of any Surviving Obligation under the License Agreement. There is and has been no material breach of any Surviving Obligation under the License Agreement by Pfizer, and there is no event that upon notice or the passage of time, or both, would reasonably be expected to give rise to any such material breach by Pfizer. Seller has not received any notice that Seller or Pfizer is in default of, or of an intention by Pfizer to breach, any Surviving Obligation under the License Agreement.</w:t>
      </w:r>
    </w:p>
    <w:p>
      <w:pPr>
        <w:spacing w:after="0" w:line="190" w:lineRule="exact"/>
        <w:rPr>
          <w:rFonts w:ascii="Arial" w:cs="Arial" w:eastAsia="Arial" w:hAnsi="Arial"/>
          <w:sz w:val="22"/>
          <w:szCs w:val="22"/>
          <w:color w:val="auto"/>
        </w:rPr>
      </w:pPr>
    </w:p>
    <w:p>
      <w:pPr>
        <w:ind w:firstLine="1735"/>
        <w:spacing w:after="0" w:line="250" w:lineRule="auto"/>
        <w:tabs>
          <w:tab w:leader="none" w:pos="2591" w:val="left"/>
        </w:tabs>
        <w:numPr>
          <w:ilvl w:val="1"/>
          <w:numId w:val="38"/>
        </w:numPr>
        <w:rPr>
          <w:rFonts w:ascii="Arial" w:cs="Arial" w:eastAsia="Arial" w:hAnsi="Arial"/>
          <w:sz w:val="22"/>
          <w:szCs w:val="22"/>
          <w:color w:val="auto"/>
        </w:rPr>
      </w:pPr>
      <w:r>
        <w:rPr>
          <w:rFonts w:ascii="Arial" w:cs="Arial" w:eastAsia="Arial" w:hAnsi="Arial"/>
          <w:sz w:val="22"/>
          <w:szCs w:val="22"/>
          <w:i w:val="1"/>
          <w:iCs w:val="1"/>
          <w:color w:val="auto"/>
        </w:rPr>
        <w:t>Royalty Payments</w:t>
      </w:r>
      <w:r>
        <w:rPr>
          <w:rFonts w:ascii="Arial" w:cs="Arial" w:eastAsia="Arial" w:hAnsi="Arial"/>
          <w:sz w:val="22"/>
          <w:szCs w:val="22"/>
          <w:color w:val="auto"/>
        </w:rPr>
        <w:t>. Seller has received all amounts owed to it (including the Royalty Payments)</w:t>
      </w:r>
      <w:r>
        <w:rPr>
          <w:rFonts w:ascii="Arial" w:cs="Arial" w:eastAsia="Arial" w:hAnsi="Arial"/>
          <w:sz w:val="22"/>
          <w:szCs w:val="22"/>
          <w:i w:val="1"/>
          <w:iCs w:val="1"/>
          <w:color w:val="auto"/>
        </w:rPr>
        <w:t xml:space="preserve"> </w:t>
      </w:r>
      <w:r>
        <w:rPr>
          <w:rFonts w:ascii="Arial" w:cs="Arial" w:eastAsia="Arial" w:hAnsi="Arial"/>
          <w:sz w:val="22"/>
          <w:szCs w:val="22"/>
          <w:color w:val="auto"/>
        </w:rPr>
        <w:t>under the License Agreement, to the extent such amounts have come due.</w:t>
      </w:r>
    </w:p>
    <w:p>
      <w:pPr>
        <w:spacing w:after="0" w:line="174" w:lineRule="exact"/>
        <w:rPr>
          <w:rFonts w:ascii="Arial" w:cs="Arial" w:eastAsia="Arial" w:hAnsi="Arial"/>
          <w:sz w:val="22"/>
          <w:szCs w:val="22"/>
          <w:color w:val="auto"/>
        </w:rPr>
      </w:pPr>
    </w:p>
    <w:p>
      <w:pPr>
        <w:jc w:val="both"/>
        <w:ind w:firstLine="1735"/>
        <w:spacing w:after="0" w:line="249" w:lineRule="auto"/>
        <w:tabs>
          <w:tab w:leader="none" w:pos="2627" w:val="left"/>
        </w:tabs>
        <w:numPr>
          <w:ilvl w:val="1"/>
          <w:numId w:val="38"/>
        </w:numPr>
        <w:rPr>
          <w:rFonts w:ascii="Arial" w:cs="Arial" w:eastAsia="Arial" w:hAnsi="Arial"/>
          <w:sz w:val="21"/>
          <w:szCs w:val="21"/>
          <w:color w:val="auto"/>
        </w:rPr>
      </w:pPr>
      <w:r>
        <w:rPr>
          <w:rFonts w:ascii="Arial" w:cs="Arial" w:eastAsia="Arial" w:hAnsi="Arial"/>
          <w:sz w:val="21"/>
          <w:szCs w:val="21"/>
          <w:i w:val="1"/>
          <w:iCs w:val="1"/>
          <w:color w:val="auto"/>
        </w:rPr>
        <w:t>No Waivers, Releases or Amendments</w:t>
      </w:r>
      <w:r>
        <w:rPr>
          <w:rFonts w:ascii="Arial" w:cs="Arial" w:eastAsia="Arial" w:hAnsi="Arial"/>
          <w:sz w:val="21"/>
          <w:szCs w:val="21"/>
          <w:color w:val="auto"/>
        </w:rPr>
        <w:t>. Seller has not granted any material waiver of any Surviving</w:t>
      </w:r>
      <w:r>
        <w:rPr>
          <w:rFonts w:ascii="Arial" w:cs="Arial" w:eastAsia="Arial" w:hAnsi="Arial"/>
          <w:sz w:val="21"/>
          <w:szCs w:val="21"/>
          <w:i w:val="1"/>
          <w:iCs w:val="1"/>
          <w:color w:val="auto"/>
        </w:rPr>
        <w:t xml:space="preserve"> </w:t>
      </w:r>
      <w:r>
        <w:rPr>
          <w:rFonts w:ascii="Arial" w:cs="Arial" w:eastAsia="Arial" w:hAnsi="Arial"/>
          <w:sz w:val="21"/>
          <w:szCs w:val="21"/>
          <w:color w:val="auto"/>
        </w:rPr>
        <w:t>Obligation under the License Agreement or released Pfizer, in whole or in part, from any of its Surviving Obligations. There are no oral waivers or modifications (or pending requests therefor) in respect of any Surviving Obligation under the License Agreement. Since June 22, 2012, Seller has not received from Pfizer any proposal, and has not made any proposal to Pfizer, to amend or waive any Surviving Obligation under the License Agreement.</w:t>
      </w:r>
    </w:p>
    <w:p>
      <w:pPr>
        <w:spacing w:after="0" w:line="178" w:lineRule="exact"/>
        <w:rPr>
          <w:rFonts w:ascii="Arial" w:cs="Arial" w:eastAsia="Arial" w:hAnsi="Arial"/>
          <w:sz w:val="21"/>
          <w:szCs w:val="21"/>
          <w:color w:val="auto"/>
        </w:rPr>
      </w:pPr>
    </w:p>
    <w:p>
      <w:pPr>
        <w:jc w:val="both"/>
        <w:ind w:firstLine="1735"/>
        <w:spacing w:after="0" w:line="252" w:lineRule="auto"/>
        <w:tabs>
          <w:tab w:leader="none" w:pos="2627" w:val="left"/>
        </w:tabs>
        <w:numPr>
          <w:ilvl w:val="1"/>
          <w:numId w:val="38"/>
        </w:numPr>
        <w:rPr>
          <w:rFonts w:ascii="Arial" w:cs="Arial" w:eastAsia="Arial" w:hAnsi="Arial"/>
          <w:sz w:val="21"/>
          <w:szCs w:val="21"/>
          <w:color w:val="auto"/>
        </w:rPr>
      </w:pPr>
      <w:r>
        <w:rPr>
          <w:rFonts w:ascii="Arial" w:cs="Arial" w:eastAsia="Arial" w:hAnsi="Arial"/>
          <w:sz w:val="21"/>
          <w:szCs w:val="21"/>
          <w:i w:val="1"/>
          <w:iCs w:val="1"/>
          <w:color w:val="auto"/>
        </w:rPr>
        <w:t>No Sublicenses</w:t>
      </w:r>
      <w:r>
        <w:rPr>
          <w:rFonts w:ascii="Arial" w:cs="Arial" w:eastAsia="Arial" w:hAnsi="Arial"/>
          <w:sz w:val="21"/>
          <w:szCs w:val="21"/>
          <w:color w:val="auto"/>
        </w:rPr>
        <w:t>. There are no licenses or sublicenses entered into by Pfizer or any other Person (or</w:t>
      </w:r>
      <w:r>
        <w:rPr>
          <w:rFonts w:ascii="Arial" w:cs="Arial" w:eastAsia="Arial" w:hAnsi="Arial"/>
          <w:sz w:val="21"/>
          <w:szCs w:val="21"/>
          <w:i w:val="1"/>
          <w:iCs w:val="1"/>
          <w:color w:val="auto"/>
        </w:rPr>
        <w:t xml:space="preserve"> </w:t>
      </w:r>
      <w:r>
        <w:rPr>
          <w:rFonts w:ascii="Arial" w:cs="Arial" w:eastAsia="Arial" w:hAnsi="Arial"/>
          <w:sz w:val="21"/>
          <w:szCs w:val="21"/>
          <w:color w:val="auto"/>
        </w:rPr>
        <w:t>any predecessor or Affiliate thereof) in respect of the CD20 Biosimilar Product or any Surviving Obligation under the License Agreement. Seller has not received any notice from Pfizer relating to any prospective licenses or sublicenses in respect of the CD20 Biosimilar Product or any Surviving Obligation under the License Agreement.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2" w:name="page73"/>
    <w:bookmarkEnd w:id="72"/>
    <w:p>
      <w:pPr>
        <w:ind w:left="3460" w:hanging="860"/>
        <w:spacing w:after="0"/>
        <w:tabs>
          <w:tab w:leader="none" w:pos="3460"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Audits</w:t>
      </w:r>
      <w:r>
        <w:rPr>
          <w:rFonts w:ascii="Arial" w:cs="Arial" w:eastAsia="Arial" w:hAnsi="Arial"/>
          <w:sz w:val="19"/>
          <w:szCs w:val="19"/>
          <w:color w:val="auto"/>
        </w:rPr>
        <w:t>. Seller has not exercised its rights to conduct an audit under Section 5.6.2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License Agreement.</w:t>
      </w:r>
    </w:p>
    <w:p>
      <w:pPr>
        <w:spacing w:after="0" w:line="188" w:lineRule="exact"/>
        <w:rPr>
          <w:sz w:val="20"/>
          <w:szCs w:val="20"/>
          <w:color w:val="auto"/>
        </w:rPr>
      </w:pPr>
    </w:p>
    <w:p>
      <w:pPr>
        <w:jc w:val="both"/>
        <w:ind w:firstLine="1735"/>
        <w:spacing w:after="0" w:line="238" w:lineRule="auto"/>
        <w:tabs>
          <w:tab w:leader="none" w:pos="2579"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Set-Offs</w:t>
      </w:r>
      <w:r>
        <w:rPr>
          <w:rFonts w:ascii="Arial" w:cs="Arial" w:eastAsia="Arial" w:hAnsi="Arial"/>
          <w:sz w:val="22"/>
          <w:szCs w:val="22"/>
          <w:color w:val="auto"/>
        </w:rPr>
        <w:t>. Pfizer is not owed any amount by Seller, under the License Agreement or otherwise, that</w:t>
      </w:r>
      <w:r>
        <w:rPr>
          <w:rFonts w:ascii="Arial" w:cs="Arial" w:eastAsia="Arial" w:hAnsi="Arial"/>
          <w:sz w:val="22"/>
          <w:szCs w:val="22"/>
          <w:i w:val="1"/>
          <w:iCs w:val="1"/>
          <w:color w:val="auto"/>
        </w:rPr>
        <w:t xml:space="preserve"> </w:t>
      </w:r>
      <w:r>
        <w:rPr>
          <w:rFonts w:ascii="Arial" w:cs="Arial" w:eastAsia="Arial" w:hAnsi="Arial"/>
          <w:sz w:val="22"/>
          <w:szCs w:val="22"/>
          <w:color w:val="auto"/>
        </w:rPr>
        <w:t>Pfizer would have the right to set-off against the Royalty Payments or any other amounts payable to Seller under the Surviving Obligations. Pfizer has not in the past exercised any set-off against the Royalty Payments or any other amounts payable to Seller under the License Agreement.</w:t>
      </w:r>
    </w:p>
    <w:p>
      <w:pPr>
        <w:spacing w:after="0" w:line="184" w:lineRule="exact"/>
        <w:rPr>
          <w:rFonts w:ascii="Arial" w:cs="Arial" w:eastAsia="Arial" w:hAnsi="Arial"/>
          <w:sz w:val="22"/>
          <w:szCs w:val="22"/>
          <w:color w:val="auto"/>
        </w:rPr>
      </w:pPr>
    </w:p>
    <w:p>
      <w:pPr>
        <w:ind w:firstLine="1735"/>
        <w:spacing w:after="0" w:line="250" w:lineRule="auto"/>
        <w:tabs>
          <w:tab w:leader="none" w:pos="2627"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No Indemnity Claims</w:t>
      </w:r>
      <w:r>
        <w:rPr>
          <w:rFonts w:ascii="Arial" w:cs="Arial" w:eastAsia="Arial" w:hAnsi="Arial"/>
          <w:sz w:val="22"/>
          <w:szCs w:val="22"/>
          <w:color w:val="auto"/>
        </w:rPr>
        <w:t>. As of the date of this Agreement, neither Seller nor Pfizer has made or</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any notice of an indemnity claim under the License Agreement or the Surviving Obligations.</w:t>
      </w:r>
    </w:p>
    <w:p>
      <w:pPr>
        <w:spacing w:after="0" w:line="174" w:lineRule="exact"/>
        <w:rPr>
          <w:rFonts w:ascii="Arial" w:cs="Arial" w:eastAsia="Arial" w:hAnsi="Arial"/>
          <w:sz w:val="22"/>
          <w:szCs w:val="22"/>
          <w:color w:val="auto"/>
        </w:rPr>
      </w:pPr>
    </w:p>
    <w:p>
      <w:pPr>
        <w:jc w:val="both"/>
        <w:ind w:firstLine="1735"/>
        <w:spacing w:after="0" w:line="236" w:lineRule="auto"/>
        <w:tabs>
          <w:tab w:leader="none" w:pos="2579"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No Assignments</w:t>
      </w:r>
      <w:r>
        <w:rPr>
          <w:rFonts w:ascii="Arial" w:cs="Arial" w:eastAsia="Arial" w:hAnsi="Arial"/>
          <w:sz w:val="22"/>
          <w:szCs w:val="22"/>
          <w:color w:val="auto"/>
        </w:rPr>
        <w:t>. Seller has not consented to, and Seller has not been notified of, any assignment or</w:t>
      </w:r>
      <w:r>
        <w:rPr>
          <w:rFonts w:ascii="Arial" w:cs="Arial" w:eastAsia="Arial" w:hAnsi="Arial"/>
          <w:sz w:val="22"/>
          <w:szCs w:val="22"/>
          <w:i w:val="1"/>
          <w:iCs w:val="1"/>
          <w:color w:val="auto"/>
        </w:rPr>
        <w:t xml:space="preserve"> </w:t>
      </w:r>
      <w:r>
        <w:rPr>
          <w:rFonts w:ascii="Arial" w:cs="Arial" w:eastAsia="Arial" w:hAnsi="Arial"/>
          <w:sz w:val="22"/>
          <w:szCs w:val="22"/>
          <w:color w:val="auto"/>
        </w:rPr>
        <w:t>other transfer by Pfizer of any Surviving Obligation under the License Agreement. Pfizer has not assigned or otherwise transferred any Surviving Obligation under the License Agreement to any Person. Seller has not assigned or otherwise transferred, in whole or in part, any Surviving Obligation under the License Agreement or any of Seller’s right, title or interest in and to the Purchased Assets.</w:t>
      </w:r>
    </w:p>
    <w:p>
      <w:pPr>
        <w:spacing w:after="0" w:line="187" w:lineRule="exact"/>
        <w:rPr>
          <w:rFonts w:ascii="Arial" w:cs="Arial" w:eastAsia="Arial" w:hAnsi="Arial"/>
          <w:sz w:val="22"/>
          <w:szCs w:val="22"/>
          <w:color w:val="auto"/>
        </w:rPr>
      </w:pPr>
    </w:p>
    <w:p>
      <w:pPr>
        <w:jc w:val="both"/>
        <w:ind w:firstLine="1735"/>
        <w:spacing w:after="0"/>
        <w:tabs>
          <w:tab w:leader="none" w:pos="2687"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Royalty Term</w:t>
      </w:r>
      <w:r>
        <w:rPr>
          <w:rFonts w:ascii="Arial" w:cs="Arial" w:eastAsia="Arial" w:hAnsi="Arial"/>
          <w:sz w:val="22"/>
          <w:szCs w:val="22"/>
          <w:color w:val="auto"/>
        </w:rPr>
        <w:t>. To the Knowledge of Seller, (i) the first commercial sale of a CD20 Biosimilar</w:t>
      </w:r>
      <w:r>
        <w:rPr>
          <w:rFonts w:ascii="Arial" w:cs="Arial" w:eastAsia="Arial" w:hAnsi="Arial"/>
          <w:sz w:val="22"/>
          <w:szCs w:val="22"/>
          <w:i w:val="1"/>
          <w:iCs w:val="1"/>
          <w:color w:val="auto"/>
        </w:rPr>
        <w:t xml:space="preserve"> </w:t>
      </w:r>
      <w:r>
        <w:rPr>
          <w:rFonts w:ascii="Arial" w:cs="Arial" w:eastAsia="Arial" w:hAnsi="Arial"/>
          <w:sz w:val="22"/>
          <w:szCs w:val="22"/>
          <w:color w:val="auto"/>
        </w:rPr>
        <w:t>Product in Japan occurred on January 21, 2020; and (ii) the first commercial sale of a CD20 Biosimilar Product in the United States occurred on February 3, 2020.</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CD20 Biosimilar Products</w:t>
      </w:r>
      <w:r>
        <w:rPr>
          <w:rFonts w:ascii="Arial" w:cs="Arial" w:eastAsia="Arial" w:hAnsi="Arial"/>
          <w:sz w:val="22"/>
          <w:szCs w:val="22"/>
          <w:color w:val="auto"/>
        </w:rPr>
        <w:t>. To the Knowledge of Seller, Pfizer has not developed or</w:t>
      </w:r>
      <w:r>
        <w:rPr>
          <w:rFonts w:ascii="Arial" w:cs="Arial" w:eastAsia="Arial" w:hAnsi="Arial"/>
          <w:sz w:val="22"/>
          <w:szCs w:val="22"/>
          <w:i w:val="1"/>
          <w:iCs w:val="1"/>
          <w:color w:val="auto"/>
        </w:rPr>
        <w:t xml:space="preserve"> </w:t>
      </w:r>
      <w:r>
        <w:rPr>
          <w:rFonts w:ascii="Arial" w:cs="Arial" w:eastAsia="Arial" w:hAnsi="Arial"/>
          <w:sz w:val="22"/>
          <w:szCs w:val="22"/>
          <w:color w:val="auto"/>
        </w:rPr>
        <w:t>commercialized, and Pfizer is not developing or commercializing, any products that would be considered a CD20 Biosimilar Product had the Development or Commercialization (each as defined in the License Agreement) of such product first commenced or was first conducted during the CD20 Biosimilar Product Applicability Period.</w:t>
      </w:r>
    </w:p>
    <w:p>
      <w:pPr>
        <w:spacing w:after="0" w:line="184" w:lineRule="exact"/>
        <w:rPr>
          <w:rFonts w:ascii="Arial" w:cs="Arial" w:eastAsia="Arial" w:hAnsi="Arial"/>
          <w:sz w:val="22"/>
          <w:szCs w:val="22"/>
          <w:color w:val="auto"/>
        </w:rPr>
      </w:pPr>
    </w:p>
    <w:p>
      <w:pPr>
        <w:jc w:val="both"/>
        <w:ind w:firstLine="1735"/>
        <w:spacing w:after="0" w:line="236" w:lineRule="auto"/>
        <w:tabs>
          <w:tab w:leader="none" w:pos="2627"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 xml:space="preserve">Freedom-to-operate. </w:t>
      </w:r>
      <w:r>
        <w:rPr>
          <w:rFonts w:ascii="Arial" w:cs="Arial" w:eastAsia="Arial" w:hAnsi="Arial"/>
          <w:sz w:val="22"/>
          <w:szCs w:val="22"/>
          <w:color w:val="auto"/>
        </w:rPr>
        <w:t>No legal opinion concerning or with respect to any third party intellectual</w:t>
      </w:r>
      <w:r>
        <w:rPr>
          <w:rFonts w:ascii="Arial" w:cs="Arial" w:eastAsia="Arial" w:hAnsi="Arial"/>
          <w:sz w:val="22"/>
          <w:szCs w:val="22"/>
          <w:i w:val="1"/>
          <w:iCs w:val="1"/>
          <w:color w:val="auto"/>
        </w:rPr>
        <w:t xml:space="preserve"> </w:t>
      </w:r>
      <w:r>
        <w:rPr>
          <w:rFonts w:ascii="Arial" w:cs="Arial" w:eastAsia="Arial" w:hAnsi="Arial"/>
          <w:sz w:val="22"/>
          <w:szCs w:val="22"/>
          <w:color w:val="auto"/>
        </w:rPr>
        <w:t>property rights relating to the CD20 Biosimilar Products, including any freedom-to-operate, product clearance, patentability or right-to-use opinion, has been delivered to Seller or, to the Knowledge of Seller, to Pfizer. To the Knowledge of Seller, There is no patent owned or exclusively controlled by a third party which Pfizer does not have the right to use and that would be infringed by Pfizer’s sale of the CD20 Biosimilar Products.</w:t>
      </w:r>
    </w:p>
    <w:p>
      <w:pPr>
        <w:spacing w:after="0" w:line="187" w:lineRule="exact"/>
        <w:rPr>
          <w:rFonts w:ascii="Arial" w:cs="Arial" w:eastAsia="Arial" w:hAnsi="Arial"/>
          <w:sz w:val="22"/>
          <w:szCs w:val="22"/>
          <w:color w:val="auto"/>
        </w:rPr>
      </w:pPr>
    </w:p>
    <w:p>
      <w:pPr>
        <w:jc w:val="both"/>
        <w:ind w:firstLine="1735"/>
        <w:spacing w:after="0" w:line="246" w:lineRule="auto"/>
        <w:tabs>
          <w:tab w:leader="none" w:pos="2627" w:val="left"/>
        </w:tabs>
        <w:numPr>
          <w:ilvl w:val="0"/>
          <w:numId w:val="40"/>
        </w:numPr>
        <w:rPr>
          <w:rFonts w:ascii="Arial" w:cs="Arial" w:eastAsia="Arial" w:hAnsi="Arial"/>
          <w:sz w:val="21"/>
          <w:szCs w:val="21"/>
          <w:color w:val="auto"/>
        </w:rPr>
      </w:pPr>
      <w:r>
        <w:rPr>
          <w:rFonts w:ascii="Arial" w:cs="Arial" w:eastAsia="Arial" w:hAnsi="Arial"/>
          <w:sz w:val="21"/>
          <w:szCs w:val="21"/>
          <w:i w:val="1"/>
          <w:iCs w:val="1"/>
          <w:color w:val="auto"/>
        </w:rPr>
        <w:t>BPCIA Litigation</w:t>
      </w:r>
      <w:r>
        <w:rPr>
          <w:rFonts w:ascii="Arial" w:cs="Arial" w:eastAsia="Arial" w:hAnsi="Arial"/>
          <w:sz w:val="21"/>
          <w:szCs w:val="21"/>
          <w:color w:val="auto"/>
        </w:rPr>
        <w:t>. To the Knowledge of Seller, (i) there is no pending Biologics Price Competition</w:t>
      </w:r>
      <w:r>
        <w:rPr>
          <w:rFonts w:ascii="Arial" w:cs="Arial" w:eastAsia="Arial" w:hAnsi="Arial"/>
          <w:sz w:val="21"/>
          <w:szCs w:val="21"/>
          <w:i w:val="1"/>
          <w:iCs w:val="1"/>
          <w:color w:val="auto"/>
        </w:rPr>
        <w:t xml:space="preserve"> </w:t>
      </w:r>
      <w:r>
        <w:rPr>
          <w:rFonts w:ascii="Arial" w:cs="Arial" w:eastAsia="Arial" w:hAnsi="Arial"/>
          <w:sz w:val="21"/>
          <w:szCs w:val="21"/>
          <w:color w:val="auto"/>
        </w:rPr>
        <w:t>and Innovation Act (“</w:t>
      </w:r>
      <w:r>
        <w:rPr>
          <w:rFonts w:ascii="Arial" w:cs="Arial" w:eastAsia="Arial" w:hAnsi="Arial"/>
          <w:sz w:val="21"/>
          <w:szCs w:val="21"/>
          <w:u w:val="single" w:color="auto"/>
          <w:color w:val="auto"/>
        </w:rPr>
        <w:t>BPCIA</w:t>
      </w:r>
      <w:r>
        <w:rPr>
          <w:rFonts w:ascii="Arial" w:cs="Arial" w:eastAsia="Arial" w:hAnsi="Arial"/>
          <w:sz w:val="21"/>
          <w:szCs w:val="21"/>
          <w:color w:val="auto"/>
        </w:rPr>
        <w:t>”) litigation regarding any CD20 Biosimilar Products; (ii) any litigation involving the BRCIA arising out of, relating to or in connection with any CD20 Biosimilar Product has been settled or discharged and no action, suit, proceeding, claim, demand, citation, summons, subpoena, investigation, or other proceeding (whether civil, criminal, administrative, regulatory, investigative or informal) is pending or threatened involving the BPCIA arising out of, relating to or in connection with any CD20 Biosimilar Product, and (iii) no event has occurred, and there is no event that upon notice or the passage of time, or both, would reasonably be expected to result in any action, suit, proceeding, claim, demand, citation, summons, subpoena, investigation, or other proceeding (whether civil,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3" w:name="page74"/>
    <w:bookmarkEnd w:id="73"/>
    <w:p>
      <w:pPr>
        <w:jc w:val="both"/>
        <w:spacing w:after="0" w:line="250" w:lineRule="auto"/>
        <w:rPr>
          <w:sz w:val="20"/>
          <w:szCs w:val="20"/>
          <w:color w:val="auto"/>
        </w:rPr>
      </w:pPr>
      <w:r>
        <w:rPr>
          <w:rFonts w:ascii="Arial" w:cs="Arial" w:eastAsia="Arial" w:hAnsi="Arial"/>
          <w:sz w:val="22"/>
          <w:szCs w:val="22"/>
          <w:color w:val="auto"/>
        </w:rPr>
        <w:t>criminal, administrative, regulatory, investigative or informal) involving the BPCIA arising out of, relating to or in connection with any CD20 Biosimilar Product.</w:t>
      </w:r>
    </w:p>
    <w:p>
      <w:pPr>
        <w:spacing w:after="0" w:line="175" w:lineRule="exact"/>
        <w:rPr>
          <w:sz w:val="20"/>
          <w:szCs w:val="20"/>
          <w:color w:val="auto"/>
        </w:rPr>
      </w:pPr>
    </w:p>
    <w:p>
      <w:pPr>
        <w:jc w:val="both"/>
        <w:ind w:firstLine="1512"/>
        <w:spacing w:after="0" w:line="274"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Title to Purchased Assets</w:t>
      </w:r>
      <w:r>
        <w:rPr>
          <w:rFonts w:ascii="Arial" w:cs="Arial" w:eastAsia="Arial" w:hAnsi="Arial"/>
          <w:sz w:val="19"/>
          <w:szCs w:val="19"/>
          <w:color w:val="auto"/>
        </w:rPr>
        <w:t>. Seller has good and valid title to the Purchased Assets, free and clear of all liens and encumbrances other than liens in favor of MidCap pursuant to the MidCap Credit Agreement and MidCap Collateral Assignment. Upon payment of the Purchase Price by Buyer and delivery of the MidCap Release, Buyer will have acquired, subject to the terms and conditions set forth in this Agreement, good and valid title to the Purchased Assets, free and clear of all liens and encumbrances. Upon the filing by Buyer of the Financing Statements with the Secretary of State of the State of Delaware and to the extent the Purchased Assets constitute an asset of Seller that has not been sold as contemplated by the foregoing provisions of this Section 4.10, the security interest in the Purchased Assets granted by Seller to Buyer pursuant to Section 2.4 shall be perfected and prior to all other liens thereon to the extent that such security interest in the Purchased Assets can be perfected under the UCC by the filing of the Financing Statements in such filing office.</w:t>
      </w:r>
    </w:p>
    <w:p>
      <w:pPr>
        <w:spacing w:after="0" w:line="158" w:lineRule="exact"/>
        <w:rPr>
          <w:sz w:val="20"/>
          <w:szCs w:val="20"/>
          <w:color w:val="auto"/>
        </w:rPr>
      </w:pPr>
    </w:p>
    <w:p>
      <w:pPr>
        <w:jc w:val="both"/>
        <w:ind w:firstLine="1512"/>
        <w:spacing w:after="0" w:line="257" w:lineRule="auto"/>
        <w:rPr>
          <w:sz w:val="20"/>
          <w:szCs w:val="20"/>
          <w:color w:val="auto"/>
        </w:rPr>
      </w:pPr>
      <w:r>
        <w:rPr>
          <w:rFonts w:ascii="Arial" w:cs="Arial" w:eastAsia="Arial" w:hAnsi="Arial"/>
          <w:sz w:val="21"/>
          <w:szCs w:val="21"/>
          <w:color w:val="auto"/>
        </w:rPr>
        <w:t xml:space="preserve">Section 4.11 </w:t>
      </w:r>
      <w:r>
        <w:rPr>
          <w:rFonts w:ascii="Arial" w:cs="Arial" w:eastAsia="Arial" w:hAnsi="Arial"/>
          <w:sz w:val="21"/>
          <w:szCs w:val="21"/>
          <w:u w:val="single" w:color="auto"/>
          <w:color w:val="auto"/>
        </w:rPr>
        <w:t>UCC Matters</w:t>
      </w:r>
      <w:r>
        <w:rPr>
          <w:rFonts w:ascii="Arial" w:cs="Arial" w:eastAsia="Arial" w:hAnsi="Arial"/>
          <w:sz w:val="21"/>
          <w:szCs w:val="21"/>
          <w:color w:val="auto"/>
        </w:rPr>
        <w:t>. Seller’s exact legal name is, and since its organization has been, “Aptevo Therapeutics Inc.” Seller’s jurisdiction of organization is, and since its organization has been, the State of Delaware. Seller’s principal place of business is, and since its organization has been, located in Seattle, Washington.</w:t>
      </w:r>
    </w:p>
    <w:p>
      <w:pPr>
        <w:spacing w:after="0" w:line="169" w:lineRule="exact"/>
        <w:rPr>
          <w:sz w:val="20"/>
          <w:szCs w:val="20"/>
          <w:color w:val="auto"/>
        </w:rPr>
      </w:pPr>
    </w:p>
    <w:p>
      <w:pPr>
        <w:jc w:val="both"/>
        <w:ind w:firstLine="1512"/>
        <w:spacing w:after="0" w:line="273" w:lineRule="auto"/>
        <w:rPr>
          <w:sz w:val="20"/>
          <w:szCs w:val="20"/>
          <w:color w:val="auto"/>
        </w:rPr>
      </w:pPr>
      <w:r>
        <w:rPr>
          <w:rFonts w:ascii="Arial" w:cs="Arial" w:eastAsia="Arial" w:hAnsi="Arial"/>
          <w:sz w:val="19"/>
          <w:szCs w:val="19"/>
          <w:color w:val="auto"/>
        </w:rPr>
        <w:t xml:space="preserve">Section 4.12 </w:t>
      </w:r>
      <w:r>
        <w:rPr>
          <w:rFonts w:ascii="Arial" w:cs="Arial" w:eastAsia="Arial" w:hAnsi="Arial"/>
          <w:sz w:val="19"/>
          <w:szCs w:val="19"/>
          <w:u w:val="single" w:color="auto"/>
          <w:color w:val="auto"/>
        </w:rPr>
        <w:t>Taxes</w:t>
      </w:r>
      <w:r>
        <w:rPr>
          <w:rFonts w:ascii="Arial" w:cs="Arial" w:eastAsia="Arial" w:hAnsi="Arial"/>
          <w:sz w:val="19"/>
          <w:szCs w:val="19"/>
          <w:color w:val="auto"/>
        </w:rPr>
        <w:t>. No deduction or withholding for or on account of any tax has been or was required to be made from any payment by Pfizer to Seller under the License Agreement and no such deduction or withholding would have been required even if Seller were ineligible for any income tax treaty benefits. Following the Closing Date, to Knowledge of Seller, no deduction or withholding on account of any tax will be required by Applicable Law (determined without regard to any tax treaty) to be made from any payment to Buyer under the License Agreement or this Agreement. Seller has filed (or caused to be filed) all material tax returns and material tax reports required to be filed under Applicable Law and has paid all material taxes required to be paid by Seller (including, in each case, in its capacity as a withholding agent), except for any such taxes that are being contested in good faith by appropriate proceedings and for which adequate reserves have been provided in accordance with the generally accepted accounting principles applicable to Seller, as in effect from time to time. There are no existing Liens for taxes on the Purchased Assets (or any portion thereof).</w:t>
      </w:r>
    </w:p>
    <w:p>
      <w:pPr>
        <w:spacing w:after="0" w:line="161" w:lineRule="exact"/>
        <w:rPr>
          <w:sz w:val="20"/>
          <w:szCs w:val="20"/>
          <w:color w:val="auto"/>
        </w:rPr>
      </w:pPr>
    </w:p>
    <w:p>
      <w:pPr>
        <w:jc w:val="both"/>
        <w:ind w:firstLine="1512"/>
        <w:spacing w:after="0" w:line="250" w:lineRule="auto"/>
        <w:rPr>
          <w:sz w:val="20"/>
          <w:szCs w:val="20"/>
          <w:color w:val="auto"/>
        </w:rPr>
      </w:pPr>
      <w:r>
        <w:rPr>
          <w:rFonts w:ascii="Arial" w:cs="Arial" w:eastAsia="Arial" w:hAnsi="Arial"/>
          <w:sz w:val="22"/>
          <w:szCs w:val="22"/>
          <w:color w:val="auto"/>
        </w:rPr>
        <w:t xml:space="preserve">Section 4.13 </w:t>
      </w:r>
      <w:r>
        <w:rPr>
          <w:rFonts w:ascii="Arial" w:cs="Arial" w:eastAsia="Arial" w:hAnsi="Arial"/>
          <w:sz w:val="22"/>
          <w:szCs w:val="22"/>
          <w:u w:val="single" w:color="auto"/>
          <w:color w:val="auto"/>
        </w:rPr>
        <w:t>Solvency</w:t>
      </w:r>
      <w:r>
        <w:rPr>
          <w:rFonts w:ascii="Arial" w:cs="Arial" w:eastAsia="Arial" w:hAnsi="Arial"/>
          <w:sz w:val="22"/>
          <w:szCs w:val="22"/>
          <w:color w:val="auto"/>
        </w:rPr>
        <w:t>. Seller is, individually and together with its subsidiaries on a consolidated basis, Solvent, and will be Solvent after giving effect to the transactions contemplated by this Agreement.</w:t>
      </w:r>
    </w:p>
    <w:p>
      <w:pPr>
        <w:spacing w:after="0" w:line="175" w:lineRule="exact"/>
        <w:rPr>
          <w:sz w:val="20"/>
          <w:szCs w:val="20"/>
          <w:color w:val="auto"/>
        </w:rPr>
      </w:pPr>
    </w:p>
    <w:p>
      <w:pPr>
        <w:jc w:val="both"/>
        <w:ind w:firstLine="1512"/>
        <w:spacing w:after="0" w:line="236" w:lineRule="auto"/>
        <w:rPr>
          <w:sz w:val="20"/>
          <w:szCs w:val="20"/>
          <w:color w:val="auto"/>
        </w:rPr>
      </w:pPr>
      <w:r>
        <w:rPr>
          <w:rFonts w:ascii="Arial" w:cs="Arial" w:eastAsia="Arial" w:hAnsi="Arial"/>
          <w:sz w:val="22"/>
          <w:szCs w:val="22"/>
          <w:color w:val="auto"/>
        </w:rPr>
        <w:t xml:space="preserve">Section 4.14 </w:t>
      </w:r>
      <w:r>
        <w:rPr>
          <w:rFonts w:ascii="Arial" w:cs="Arial" w:eastAsia="Arial" w:hAnsi="Arial"/>
          <w:sz w:val="22"/>
          <w:szCs w:val="22"/>
          <w:u w:val="single" w:color="auto"/>
          <w:color w:val="auto"/>
        </w:rPr>
        <w:t>Disclosure</w:t>
      </w:r>
      <w:r>
        <w:rPr>
          <w:rFonts w:ascii="Arial" w:cs="Arial" w:eastAsia="Arial" w:hAnsi="Arial"/>
          <w:sz w:val="22"/>
          <w:szCs w:val="22"/>
          <w:color w:val="auto"/>
        </w:rPr>
        <w:t>. None of the representations or warranties of Seller contained in this Agreement or any Transaction Document and none of the information contained in any schedule, certificate, or other document delivered by or on behalf of Seller pursuant hereto or thereto or in connection with the transactions contemplated hereby or thereby contains any untrue statement of a material fact or omits to state a material fact necessary to make the statements herein or therein not misleading.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4" w:name="page75"/>
    <w:bookmarkEnd w:id="74"/>
    <w:p>
      <w:pPr>
        <w:jc w:val="center"/>
        <w:ind w:right="640"/>
        <w:spacing w:after="0"/>
        <w:rPr>
          <w:sz w:val="20"/>
          <w:szCs w:val="20"/>
          <w:color w:val="auto"/>
        </w:rPr>
      </w:pPr>
      <w:r>
        <w:rPr>
          <w:rFonts w:ascii="Arial" w:cs="Arial" w:eastAsia="Arial" w:hAnsi="Arial"/>
          <w:sz w:val="22"/>
          <w:szCs w:val="22"/>
          <w:u w:val="single" w:color="auto"/>
          <w:color w:val="auto"/>
        </w:rPr>
        <w:t>ARTICLE V</w:t>
      </w:r>
    </w:p>
    <w:p>
      <w:pPr>
        <w:spacing w:after="0" w:line="233" w:lineRule="exact"/>
        <w:rPr>
          <w:sz w:val="20"/>
          <w:szCs w:val="20"/>
          <w:color w:val="auto"/>
        </w:rPr>
      </w:pPr>
    </w:p>
    <w:p>
      <w:pPr>
        <w:ind w:left="880" w:right="3480" w:firstLine="1974"/>
        <w:spacing w:after="0" w:line="504" w:lineRule="auto"/>
        <w:rPr>
          <w:sz w:val="20"/>
          <w:szCs w:val="20"/>
          <w:color w:val="auto"/>
        </w:rPr>
      </w:pPr>
      <w:r>
        <w:rPr>
          <w:rFonts w:ascii="Arial" w:cs="Arial" w:eastAsia="Arial" w:hAnsi="Arial"/>
          <w:sz w:val="19"/>
          <w:szCs w:val="19"/>
          <w:u w:val="single" w:color="auto"/>
          <w:color w:val="auto"/>
        </w:rPr>
        <w:t xml:space="preserve">BUYER’S REPRESENTATIONS AND WARRANTIES </w:t>
      </w:r>
      <w:r>
        <w:rPr>
          <w:rFonts w:ascii="Arial" w:cs="Arial" w:eastAsia="Arial" w:hAnsi="Arial"/>
          <w:sz w:val="19"/>
          <w:szCs w:val="19"/>
          <w:color w:val="auto"/>
        </w:rPr>
        <w:t>Buyer hereby represents and warrants to Seller that as of the date hereof:</w:t>
      </w:r>
    </w:p>
    <w:p>
      <w:pPr>
        <w:jc w:val="both"/>
        <w:ind w:firstLine="1512"/>
        <w:spacing w:after="0" w:line="250"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Organization</w:t>
      </w:r>
      <w:r>
        <w:rPr>
          <w:rFonts w:ascii="Arial" w:cs="Arial" w:eastAsia="Arial" w:hAnsi="Arial"/>
          <w:sz w:val="22"/>
          <w:szCs w:val="22"/>
          <w:color w:val="auto"/>
        </w:rPr>
        <w:t>. Each Buyer is an entity duly organized, validly existing and in good standing under the laws of the respective jurisdiction in which it is organized.</w:t>
      </w:r>
    </w:p>
    <w:p>
      <w:pPr>
        <w:spacing w:after="0" w:line="175" w:lineRule="exact"/>
        <w:rPr>
          <w:sz w:val="20"/>
          <w:szCs w:val="20"/>
          <w:color w:val="auto"/>
        </w:rPr>
      </w:pPr>
    </w:p>
    <w:p>
      <w:pPr>
        <w:jc w:val="both"/>
        <w:ind w:firstLine="1512"/>
        <w:spacing w:after="0" w:line="238"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Authorization</w:t>
      </w:r>
      <w:r>
        <w:rPr>
          <w:rFonts w:ascii="Arial" w:cs="Arial" w:eastAsia="Arial" w:hAnsi="Arial"/>
          <w:sz w:val="22"/>
          <w:szCs w:val="22"/>
          <w:color w:val="auto"/>
        </w:rPr>
        <w:t>. Buyer has the requisite organizational power and authority to execute, deliver and perform the Transaction Documents and to consummate the transactions contemplated thereby. The execution, delivery and performance of the Transaction Documents, and the consummation of the transactions contemplated thereby, have been duly authorized by all necessary corporate action on part of Buyer.</w:t>
      </w:r>
    </w:p>
    <w:p>
      <w:pPr>
        <w:spacing w:after="0" w:line="185" w:lineRule="exact"/>
        <w:rPr>
          <w:sz w:val="20"/>
          <w:szCs w:val="20"/>
          <w:color w:val="auto"/>
        </w:rPr>
      </w:pPr>
    </w:p>
    <w:p>
      <w:pPr>
        <w:jc w:val="both"/>
        <w:ind w:firstLine="1512"/>
        <w:spacing w:after="0" w:line="236"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Enforceability</w:t>
      </w:r>
      <w:r>
        <w:rPr>
          <w:rFonts w:ascii="Arial" w:cs="Arial" w:eastAsia="Arial" w:hAnsi="Arial"/>
          <w:sz w:val="22"/>
          <w:szCs w:val="22"/>
          <w:color w:val="auto"/>
        </w:rPr>
        <w:t>. Each of the Transaction Documents has been duly executed and delivered by Buyer, and constitutes a valid and binding obligation of Buyer, enforceable against Buyer in accordance with its terms, except as may be limited by general principles of equity (regardless of whether considered in a proceeding at law or in equity) and by applicable bankruptcy, insolvency, moratorium and other similar laws of general application relating to or affecting creditors’ rights generally.</w:t>
      </w:r>
    </w:p>
    <w:p>
      <w:pPr>
        <w:spacing w:after="0" w:line="187" w:lineRule="exact"/>
        <w:rPr>
          <w:sz w:val="20"/>
          <w:szCs w:val="20"/>
          <w:color w:val="auto"/>
        </w:rPr>
      </w:pPr>
    </w:p>
    <w:p>
      <w:pPr>
        <w:jc w:val="both"/>
        <w:ind w:firstLine="1512"/>
        <w:spacing w:after="0" w:line="248"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u w:val="single" w:color="auto"/>
          <w:color w:val="auto"/>
        </w:rPr>
        <w:t>Absence of Conflicts</w:t>
      </w:r>
      <w:r>
        <w:rPr>
          <w:rFonts w:ascii="Arial" w:cs="Arial" w:eastAsia="Arial" w:hAnsi="Arial"/>
          <w:sz w:val="21"/>
          <w:szCs w:val="21"/>
          <w:color w:val="auto"/>
        </w:rPr>
        <w:t>. The execution, delivery and performance by Buyer of the Transaction Documents and the consummation of the transactions contemplated thereby do not and shall not (a) conflict with, constitute a breach or default under any provision of the organizational documents of Buyer, or (b) conflict with, constitute a material breach of or material default under any provision of (i) any Applicable Law or Judgment applicable to Seller or (ii) any Contract to which Buyer is a party or by which Buyer is bound, except for such breaches or defaults that, individually or in the aggregate, would not reasonably be expected to result in a Buyer Material Adverse Effect.</w:t>
      </w:r>
    </w:p>
    <w:p>
      <w:pPr>
        <w:spacing w:after="0" w:line="177" w:lineRule="exact"/>
        <w:rPr>
          <w:sz w:val="20"/>
          <w:szCs w:val="20"/>
          <w:color w:val="auto"/>
        </w:rPr>
      </w:pPr>
    </w:p>
    <w:p>
      <w:pPr>
        <w:jc w:val="both"/>
        <w:ind w:firstLine="1512"/>
        <w:spacing w:after="0" w:line="235"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Consents</w:t>
      </w:r>
      <w:r>
        <w:rPr>
          <w:rFonts w:ascii="Arial" w:cs="Arial" w:eastAsia="Arial" w:hAnsi="Arial"/>
          <w:sz w:val="22"/>
          <w:szCs w:val="22"/>
          <w:color w:val="auto"/>
        </w:rPr>
        <w:t>. No Consent of any Governmental Authority or any other Person is required by or with respect to Buyer in connection with the execution and delivery by Buyer of the Transaction Documents, the performance by Buyer of its obligations under the Transaction Documents or the consummation of the transactions contemplated by the Transaction Documents, except for (a) such Consents, the failure of which to be obtained or made, would not reasonably be expected to result in a Buyer Material Adverse Effect, and (b) such Consents as shall have been obtained on or prior to the date hereof.</w:t>
      </w:r>
    </w:p>
    <w:p>
      <w:pPr>
        <w:spacing w:after="0" w:line="188" w:lineRule="exact"/>
        <w:rPr>
          <w:sz w:val="20"/>
          <w:szCs w:val="20"/>
          <w:color w:val="auto"/>
        </w:rPr>
      </w:pPr>
    </w:p>
    <w:p>
      <w:pPr>
        <w:jc w:val="both"/>
        <w:ind w:firstLine="1512"/>
        <w:spacing w:after="0"/>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Litigation</w:t>
      </w:r>
      <w:r>
        <w:rPr>
          <w:rFonts w:ascii="Arial" w:cs="Arial" w:eastAsia="Arial" w:hAnsi="Arial"/>
          <w:sz w:val="22"/>
          <w:szCs w:val="22"/>
          <w:color w:val="auto"/>
        </w:rPr>
        <w:t>. No action, suit, proceeding or investigation before any Governmental Authority, or, to the knowledge of Buyer, threatened, against Buyer that, individually or in the aggregate, would reasonably be expected to result in a Buyer Material Adverse Effect.</w:t>
      </w:r>
    </w:p>
    <w:p>
      <w:pPr>
        <w:spacing w:after="0" w:line="186" w:lineRule="exact"/>
        <w:rPr>
          <w:sz w:val="20"/>
          <w:szCs w:val="20"/>
          <w:color w:val="auto"/>
        </w:rPr>
      </w:pPr>
    </w:p>
    <w:p>
      <w:pPr>
        <w:jc w:val="both"/>
        <w:ind w:firstLine="1512"/>
        <w:spacing w:after="0"/>
        <w:rPr>
          <w:sz w:val="20"/>
          <w:szCs w:val="20"/>
          <w:color w:val="auto"/>
        </w:rPr>
      </w:pPr>
      <w:r>
        <w:rPr>
          <w:rFonts w:ascii="Arial" w:cs="Arial" w:eastAsia="Arial" w:hAnsi="Arial"/>
          <w:sz w:val="22"/>
          <w:szCs w:val="22"/>
          <w:color w:val="auto"/>
        </w:rPr>
        <w:t xml:space="preserve">Section 5.7 </w:t>
      </w:r>
      <w:r>
        <w:rPr>
          <w:rFonts w:ascii="Arial" w:cs="Arial" w:eastAsia="Arial" w:hAnsi="Arial"/>
          <w:sz w:val="22"/>
          <w:szCs w:val="22"/>
          <w:u w:val="single" w:color="auto"/>
          <w:color w:val="auto"/>
        </w:rPr>
        <w:t>Brokers’ Fees</w:t>
      </w:r>
      <w:r>
        <w:rPr>
          <w:rFonts w:ascii="Arial" w:cs="Arial" w:eastAsia="Arial" w:hAnsi="Arial"/>
          <w:sz w:val="22"/>
          <w:szCs w:val="22"/>
          <w:color w:val="auto"/>
        </w:rPr>
        <w:t>. There is no investment banker, broker, finder, financial advisor or other intermediary who has been retained by or is authorized to act on behalf of Buyer who is entitled to any fee or commission in connection with the transactions contemplated by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5" w:name="page76"/>
    <w:bookmarkEnd w:id="75"/>
    <w:p>
      <w:pPr>
        <w:jc w:val="both"/>
        <w:ind w:firstLine="1512"/>
        <w:spacing w:after="0"/>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Financing</w:t>
      </w:r>
      <w:r>
        <w:rPr>
          <w:rFonts w:ascii="Arial" w:cs="Arial" w:eastAsia="Arial" w:hAnsi="Arial"/>
          <w:sz w:val="22"/>
          <w:szCs w:val="22"/>
          <w:color w:val="auto"/>
        </w:rPr>
        <w:t>. Buyer has, and will have as of the Closing, sufficient cash on hand or binding and enforceable commitments to provide it with funds sufficient to satisfy its obligations to pay the Purchase Price. Buyer acknowledges that its obligations under this Agreement are not contingent on obtaining financing.</w:t>
      </w:r>
    </w:p>
    <w:p>
      <w:pPr>
        <w:spacing w:after="0" w:line="186"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5.9</w:t>
      </w:r>
      <w:r>
        <w:rPr>
          <w:sz w:val="20"/>
          <w:szCs w:val="20"/>
          <w:color w:val="auto"/>
        </w:rPr>
        <w:tab/>
      </w:r>
      <w:r>
        <w:rPr>
          <w:rFonts w:ascii="Arial" w:cs="Arial" w:eastAsia="Arial" w:hAnsi="Arial"/>
          <w:sz w:val="19"/>
          <w:szCs w:val="19"/>
          <w:u w:val="single" w:color="auto"/>
          <w:color w:val="auto"/>
        </w:rPr>
        <w:t>Tax Status</w:t>
      </w:r>
      <w:r>
        <w:rPr>
          <w:rFonts w:ascii="Arial" w:cs="Arial" w:eastAsia="Arial" w:hAnsi="Arial"/>
          <w:sz w:val="19"/>
          <w:szCs w:val="19"/>
          <w:color w:val="auto"/>
        </w:rPr>
        <w:t>. Buyer is a “United States person”, as defined in section 7701(a)(30) of the Code.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6" w:name="page77"/>
    <w:bookmarkEnd w:id="76"/>
    <w:p>
      <w:pPr>
        <w:ind w:left="4700"/>
        <w:spacing w:after="0"/>
        <w:rPr>
          <w:sz w:val="20"/>
          <w:szCs w:val="20"/>
          <w:color w:val="auto"/>
        </w:rPr>
      </w:pPr>
      <w:r>
        <w:rPr>
          <w:rFonts w:ascii="Arial" w:cs="Arial" w:eastAsia="Arial" w:hAnsi="Arial"/>
          <w:sz w:val="22"/>
          <w:szCs w:val="22"/>
          <w:u w:val="single" w:color="auto"/>
          <w:color w:val="auto"/>
        </w:rPr>
        <w:t>ARTICLE VI</w:t>
      </w:r>
    </w:p>
    <w:p>
      <w:pPr>
        <w:spacing w:after="0" w:line="233" w:lineRule="exact"/>
        <w:rPr>
          <w:sz w:val="20"/>
          <w:szCs w:val="20"/>
          <w:color w:val="auto"/>
        </w:rPr>
      </w:pPr>
    </w:p>
    <w:p>
      <w:pPr>
        <w:ind w:left="4440"/>
        <w:spacing w:after="0"/>
        <w:rPr>
          <w:sz w:val="20"/>
          <w:szCs w:val="20"/>
          <w:color w:val="auto"/>
        </w:rPr>
      </w:pPr>
      <w:r>
        <w:rPr>
          <w:rFonts w:ascii="Arial" w:cs="Arial" w:eastAsia="Arial" w:hAnsi="Arial"/>
          <w:sz w:val="22"/>
          <w:szCs w:val="22"/>
          <w:u w:val="single" w:color="auto"/>
          <w:color w:val="auto"/>
        </w:rPr>
        <w:t>GENERAL COVENANTS</w:t>
      </w:r>
    </w:p>
    <w:p>
      <w:pPr>
        <w:spacing w:after="0" w:line="206"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6" w:lineRule="auto"/>
        <w:tabs>
          <w:tab w:leader="none" w:pos="2615" w:val="left"/>
        </w:tabs>
        <w:numPr>
          <w:ilvl w:val="0"/>
          <w:numId w:val="41"/>
        </w:numPr>
        <w:rPr>
          <w:rFonts w:ascii="Arial" w:cs="Arial" w:eastAsia="Arial" w:hAnsi="Arial"/>
          <w:sz w:val="21"/>
          <w:szCs w:val="21"/>
          <w:color w:val="auto"/>
        </w:rPr>
      </w:pPr>
      <w:r>
        <w:rPr>
          <w:rFonts w:ascii="Arial" w:cs="Arial" w:eastAsia="Arial" w:hAnsi="Arial"/>
          <w:sz w:val="21"/>
          <w:szCs w:val="21"/>
          <w:i w:val="1"/>
          <w:iCs w:val="1"/>
          <w:color w:val="auto"/>
        </w:rPr>
        <w:t>Confidentiality</w:t>
      </w:r>
      <w:r>
        <w:rPr>
          <w:rFonts w:ascii="Arial" w:cs="Arial" w:eastAsia="Arial" w:hAnsi="Arial"/>
          <w:sz w:val="21"/>
          <w:szCs w:val="21"/>
          <w:color w:val="auto"/>
        </w:rPr>
        <w:t>. Except as set forth in Section 6.1(c) below, each party (“</w:t>
      </w:r>
      <w:r>
        <w:rPr>
          <w:rFonts w:ascii="Arial" w:cs="Arial" w:eastAsia="Arial" w:hAnsi="Arial"/>
          <w:sz w:val="21"/>
          <w:szCs w:val="21"/>
          <w:u w:val="single" w:color="auto"/>
          <w:color w:val="auto"/>
        </w:rPr>
        <w:t>Receiving Party</w:t>
      </w:r>
      <w:r>
        <w:rPr>
          <w:rFonts w:ascii="Arial" w:cs="Arial" w:eastAsia="Arial" w:hAnsi="Arial"/>
          <w:sz w:val="21"/>
          <w:szCs w:val="21"/>
          <w:color w:val="auto"/>
        </w:rPr>
        <w:t>”) shall</w:t>
      </w:r>
      <w:r>
        <w:rPr>
          <w:rFonts w:ascii="Arial" w:cs="Arial" w:eastAsia="Arial" w:hAnsi="Arial"/>
          <w:sz w:val="21"/>
          <w:szCs w:val="21"/>
          <w:i w:val="1"/>
          <w:iCs w:val="1"/>
          <w:color w:val="auto"/>
        </w:rPr>
        <w:t xml:space="preserve"> </w:t>
      </w:r>
      <w:r>
        <w:rPr>
          <w:rFonts w:ascii="Arial" w:cs="Arial" w:eastAsia="Arial" w:hAnsi="Arial"/>
          <w:sz w:val="21"/>
          <w:szCs w:val="21"/>
          <w:color w:val="auto"/>
        </w:rPr>
        <w:t>keep confidential and not disclose to any Person (other than its Affiliates and its and its Affiliates’ Representatives), and shall cause its Affiliates and its and its Affiliates’ Representatives to keep confidential and not disclose to any Person, any Confidential Information. Receiving Party shall, and shall cause its Affiliates and its and its Affiliates’ Representatives to, use the Confidential Information solely in connection with Receiving Party’s administration of, and exercising of rights and performance of obligations under, the Transaction Documents (and not for any other purpose). The foregoing obligations shall continue until the later of (x) the date of termination of this Agreement pursuant to Section 9.14(a) and (y) the date of expiration of the last to expire of the Relevant Obligations.</w:t>
      </w:r>
    </w:p>
    <w:p>
      <w:pPr>
        <w:spacing w:after="0" w:line="179" w:lineRule="exact"/>
        <w:rPr>
          <w:rFonts w:ascii="Arial" w:cs="Arial" w:eastAsia="Arial" w:hAnsi="Arial"/>
          <w:sz w:val="21"/>
          <w:szCs w:val="21"/>
          <w:color w:val="auto"/>
        </w:rPr>
      </w:pPr>
    </w:p>
    <w:p>
      <w:pPr>
        <w:jc w:val="both"/>
        <w:ind w:firstLine="1735"/>
        <w:spacing w:after="0" w:line="270" w:lineRule="auto"/>
        <w:tabs>
          <w:tab w:leader="none" w:pos="2627" w:val="left"/>
        </w:tabs>
        <w:numPr>
          <w:ilvl w:val="0"/>
          <w:numId w:val="41"/>
        </w:numPr>
        <w:rPr>
          <w:rFonts w:ascii="Arial" w:cs="Arial" w:eastAsia="Arial" w:hAnsi="Arial"/>
          <w:sz w:val="19"/>
          <w:szCs w:val="19"/>
          <w:color w:val="auto"/>
        </w:rPr>
      </w:pPr>
      <w:r>
        <w:rPr>
          <w:rFonts w:ascii="Arial" w:cs="Arial" w:eastAsia="Arial" w:hAnsi="Arial"/>
          <w:sz w:val="19"/>
          <w:szCs w:val="19"/>
          <w:i w:val="1"/>
          <w:iCs w:val="1"/>
          <w:color w:val="auto"/>
        </w:rPr>
        <w:t>Confidential Information</w:t>
      </w:r>
      <w:r>
        <w:rPr>
          <w:rFonts w:ascii="Arial" w:cs="Arial" w:eastAsia="Arial" w:hAnsi="Arial"/>
          <w:sz w:val="19"/>
          <w:szCs w:val="19"/>
          <w:color w:val="auto"/>
        </w:rPr>
        <w: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collectively, all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(whether written or oral, or in electronic or other form, and whether furnished before, on or after the date of this Agreement) concerning, or relating in any way, directly or indirectly, to the other party (“</w:t>
      </w:r>
      <w:r>
        <w:rPr>
          <w:rFonts w:ascii="Arial" w:cs="Arial" w:eastAsia="Arial" w:hAnsi="Arial"/>
          <w:sz w:val="19"/>
          <w:szCs w:val="19"/>
          <w:u w:val="single" w:color="auto"/>
          <w:color w:val="auto"/>
        </w:rPr>
        <w:t>Disclosing Party</w:t>
      </w:r>
      <w:r>
        <w:rPr>
          <w:rFonts w:ascii="Arial" w:cs="Arial" w:eastAsia="Arial" w:hAnsi="Arial"/>
          <w:sz w:val="19"/>
          <w:szCs w:val="19"/>
          <w:color w:val="auto"/>
        </w:rPr>
        <w:t>”), the License Agreement or the Purchased Assets, including any Royalty Reports, notices, requests, correspondence or other information furnished pursuant to this Agreement and any other reports, data, information, materials, notices, correspondence or documents of any kind relating in any way, directly or indirectly, to the Purchased Assets. Notwithstanding the foregoing,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shall not include the existence or terms of this Agreement, or any information that (A) was known by Receiving Party at the time such information was disclosed to Receiving Party, its Affiliates or its or its Affiliates’ Representatives in accordance herewith or in accordance with the Confidentiality Agreement, as evidenced by its written records; (B) was or becomes generally available to the public or part of the public domain (other than as a result of a disclosure by Receiving Party, its Affiliates or its or its Affiliates’ Representatives in violation of this Agreement or the Confidentiality Agreement) prior to any disclosure of such information by Receiving Party, its Affiliates or its or its Affiliates’ Representatives; (C) becomes known to Receiving Party on a non-confidential basis from a source other than Disclosing Party and its Representatives (and without any breach of this Agreement or the Confidentiality Agreement by Receiving Party, its Affiliates or its or its Affiliates’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source, to the knowledge of Receiving Party, had the right to disclose such information to Receiving Party (without breaching any legal, contractual or fiduciary obligation to Disclosing Party); or (D) is or has been independently developed by Receiving Party, its Affiliates or its or its Affiliates’ Representatives without use of or reference to the Confidential Information (as evidenced by contemporaneous written records).</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2620" w:hanging="885"/>
        <w:spacing w:after="0"/>
        <w:tabs>
          <w:tab w:leader="none" w:pos="2620"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Permitted Disclosures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600"/>
        <w:spacing w:after="0" w:line="238" w:lineRule="auto"/>
        <w:tabs>
          <w:tab w:leader="none" w:pos="3444" w:val="left"/>
        </w:tabs>
        <w:numPr>
          <w:ilvl w:val="1"/>
          <w:numId w:val="41"/>
        </w:numPr>
        <w:rPr>
          <w:rFonts w:ascii="Arial" w:cs="Arial" w:eastAsia="Arial" w:hAnsi="Arial"/>
          <w:sz w:val="22"/>
          <w:szCs w:val="22"/>
          <w:color w:val="auto"/>
        </w:rPr>
      </w:pPr>
      <w:r>
        <w:rPr>
          <w:rFonts w:ascii="Arial" w:cs="Arial" w:eastAsia="Arial" w:hAnsi="Arial"/>
          <w:sz w:val="22"/>
          <w:szCs w:val="22"/>
          <w:color w:val="auto"/>
        </w:rPr>
        <w:t>In the event that Receiving Party or its Affiliates or any of its or its Affiliates’ Representatives are requested by a governmental or regulatory authority or required by Applicable Law (as reasonably determined by the Disclosing Party after consulting with legal counsel), legal process, or the regulations of a stock exchange or governmental or regulatory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77" w:name="page78"/>
    <w:bookmarkEnd w:id="77"/>
    <w:p>
      <w:pPr>
        <w:jc w:val="both"/>
        <w:spacing w:after="0" w:line="271" w:lineRule="auto"/>
        <w:rPr>
          <w:sz w:val="20"/>
          <w:szCs w:val="20"/>
          <w:color w:val="auto"/>
        </w:rPr>
      </w:pPr>
      <w:r>
        <w:rPr>
          <w:rFonts w:ascii="Arial" w:cs="Arial" w:eastAsia="Arial" w:hAnsi="Arial"/>
          <w:sz w:val="19"/>
          <w:szCs w:val="19"/>
          <w:color w:val="auto"/>
        </w:rPr>
        <w:t>authority or by the order or ruling of a court, administrative agency or other government body of competent jurisdiction to disclose any Confidential Information, Receiving Party shall promptly, and, in any event, use reasonable efforts to, promptly upon learning of such requirement, to the extent permitted by Applicable Law, notify Disclosing Party in writing of such requirement so that Disclosing Party may seek an appropriate protective order or other appropriate remedy (and if Disclosing Party seeks such an order or other remedy, Receiving Party will provide such cooperation, at Disclosing Party’s expense, as Disclosing Party shall reasonably request). If no such protective order or other remedy is obtained and Receiving Party or its Affiliates or its or its Affiliates’ Representatives are, in the view of their respective counsel (which may include their respective internal counsel), legally compelled to disclose Confidential Information, Receiving Party or its Affiliates or its or its Affiliates’ Representatives, as the case may be, shall only disclose that portion of the Confidential Information that their respective counsel advises that Receiving Party or its Affiliates or its or its Affiliates’ Representatives, as the case may be, are compelled to disclose and will exercise reasonable efforts, at Disclosing Party’s expense, to obtain reliable assurance that confidential treatment will be accorded to that portion of the Confidential Information that is being disclosed. In any event, Receiving Party will not oppose action by Disclosing Party to seek an appropriate protective order or other reliable assurance that confidential treatment will be accorded the Confidential Information.</w:t>
      </w:r>
    </w:p>
    <w:p>
      <w:pPr>
        <w:spacing w:after="0" w:line="200" w:lineRule="exact"/>
        <w:rPr>
          <w:sz w:val="20"/>
          <w:szCs w:val="20"/>
          <w:color w:val="auto"/>
        </w:rPr>
      </w:pPr>
    </w:p>
    <w:p>
      <w:pPr>
        <w:spacing w:after="0" w:line="211" w:lineRule="exact"/>
        <w:rPr>
          <w:sz w:val="20"/>
          <w:szCs w:val="20"/>
          <w:color w:val="auto"/>
        </w:rPr>
      </w:pPr>
    </w:p>
    <w:p>
      <w:pPr>
        <w:jc w:val="both"/>
        <w:ind w:firstLine="2600"/>
        <w:spacing w:after="0" w:line="235" w:lineRule="auto"/>
        <w:tabs>
          <w:tab w:leader="none" w:pos="3504" w:val="left"/>
        </w:tabs>
        <w:numPr>
          <w:ilvl w:val="1"/>
          <w:numId w:val="42"/>
        </w:numPr>
        <w:rPr>
          <w:rFonts w:ascii="Arial" w:cs="Arial" w:eastAsia="Arial" w:hAnsi="Arial"/>
          <w:sz w:val="22"/>
          <w:szCs w:val="22"/>
          <w:color w:val="auto"/>
        </w:rPr>
      </w:pPr>
      <w:r>
        <w:rPr>
          <w:rFonts w:ascii="Arial" w:cs="Arial" w:eastAsia="Arial" w:hAnsi="Arial"/>
          <w:sz w:val="22"/>
          <w:szCs w:val="22"/>
          <w:color w:val="auto"/>
        </w:rPr>
        <w:t>Notwithstanding anything herein to the contrary, nothing in this Section 6.1 shall be construed to restrict Receiving Party from disclosing Confidential Information to Receiving Party’s Affiliates, Representatives, existing or prospective lenders, acquirors, investors, partners, assignees and other sources of funding, including underwriters, debt financing or co-investors, or direct or indirect beneficial owners or limited partners, and the Representatives of the foregoing, provided that the recipient of Confidential Information agrees to be bound by the provisions of this Section 6.1 or are otherwise subject to reasonable restrictions of confidentiality.</w:t>
      </w:r>
    </w:p>
    <w:p>
      <w:pPr>
        <w:spacing w:after="0" w:line="187" w:lineRule="exact"/>
        <w:rPr>
          <w:rFonts w:ascii="Arial" w:cs="Arial" w:eastAsia="Arial" w:hAnsi="Arial"/>
          <w:sz w:val="22"/>
          <w:szCs w:val="22"/>
          <w:color w:val="auto"/>
        </w:rPr>
      </w:pPr>
    </w:p>
    <w:p>
      <w:pPr>
        <w:jc w:val="both"/>
        <w:ind w:firstLine="1735"/>
        <w:spacing w:after="0"/>
        <w:tabs>
          <w:tab w:leader="none" w:pos="2627"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Termination of Confidentiality Agreement</w:t>
      </w:r>
      <w:r>
        <w:rPr>
          <w:rFonts w:ascii="Arial" w:cs="Arial" w:eastAsia="Arial" w:hAnsi="Arial"/>
          <w:sz w:val="22"/>
          <w:szCs w:val="22"/>
          <w:color w:val="auto"/>
        </w:rPr>
        <w:t>. Effective upon the date hereof, the Confidentiality</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dated July 22, 2020 (the “</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between Buyer and Seller shall terminate and be of no further force or effect, and shall be superseded by the provisions of this Section 6.1.</w:t>
      </w:r>
    </w:p>
    <w:p>
      <w:pPr>
        <w:spacing w:after="0" w:line="186" w:lineRule="exact"/>
        <w:rPr>
          <w:rFonts w:ascii="Arial" w:cs="Arial" w:eastAsia="Arial" w:hAnsi="Arial"/>
          <w:sz w:val="22"/>
          <w:szCs w:val="22"/>
          <w:color w:val="auto"/>
        </w:rPr>
      </w:pPr>
    </w:p>
    <w:p>
      <w:pPr>
        <w:jc w:val="both"/>
        <w:ind w:firstLine="1735"/>
        <w:spacing w:after="0" w:line="287" w:lineRule="auto"/>
        <w:tabs>
          <w:tab w:leader="none" w:pos="2615" w:val="left"/>
        </w:tabs>
        <w:numPr>
          <w:ilvl w:val="0"/>
          <w:numId w:val="43"/>
        </w:numPr>
        <w:rPr>
          <w:rFonts w:ascii="Arial" w:cs="Arial" w:eastAsia="Arial" w:hAnsi="Arial"/>
          <w:sz w:val="19"/>
          <w:szCs w:val="19"/>
          <w:color w:val="auto"/>
        </w:rPr>
      </w:pPr>
      <w:r>
        <w:rPr>
          <w:rFonts w:ascii="Arial" w:cs="Arial" w:eastAsia="Arial" w:hAnsi="Arial"/>
          <w:sz w:val="19"/>
          <w:szCs w:val="19"/>
          <w:i w:val="1"/>
          <w:iCs w:val="1"/>
          <w:color w:val="auto"/>
        </w:rPr>
        <w:t>Specific Enforcement</w:t>
      </w:r>
      <w:r>
        <w:rPr>
          <w:rFonts w:ascii="Arial" w:cs="Arial" w:eastAsia="Arial" w:hAnsi="Arial"/>
          <w:sz w:val="19"/>
          <w:szCs w:val="19"/>
          <w:color w:val="auto"/>
        </w:rPr>
        <w:t>. Receiving Party acknowledges and agrees that remedies at law may not be</w:t>
      </w:r>
      <w:r>
        <w:rPr>
          <w:rFonts w:ascii="Arial" w:cs="Arial" w:eastAsia="Arial" w:hAnsi="Arial"/>
          <w:sz w:val="19"/>
          <w:szCs w:val="19"/>
          <w:i w:val="1"/>
          <w:iCs w:val="1"/>
          <w:color w:val="auto"/>
        </w:rPr>
        <w:t xml:space="preserve"> </w:t>
      </w:r>
      <w:r>
        <w:rPr>
          <w:rFonts w:ascii="Arial" w:cs="Arial" w:eastAsia="Arial" w:hAnsi="Arial"/>
          <w:sz w:val="19"/>
          <w:szCs w:val="19"/>
          <w:color w:val="auto"/>
        </w:rPr>
        <w:t>adequate to protect Disclosing Party against any actual or threatened breach of this Section 6.1 by Receiving Party, its Affiliates or its or its Affiliates’ Representatives, and that Disclosing Party shall be entitled to seek specific performance and temporary and permanent injunctive relief or other equitable relief as a remedy for any such actual or threatened breach.</w:t>
      </w:r>
    </w:p>
    <w:p>
      <w:pPr>
        <w:spacing w:after="0" w:line="143" w:lineRule="exact"/>
        <w:rPr>
          <w:sz w:val="20"/>
          <w:szCs w:val="20"/>
          <w:color w:val="auto"/>
        </w:rPr>
      </w:pPr>
    </w:p>
    <w:p>
      <w:pPr>
        <w:jc w:val="both"/>
        <w:ind w:firstLine="1512"/>
        <w:spacing w:after="0" w:line="234"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Public Announcements</w:t>
      </w:r>
      <w:r>
        <w:rPr>
          <w:rFonts w:ascii="Arial" w:cs="Arial" w:eastAsia="Arial" w:hAnsi="Arial"/>
          <w:sz w:val="22"/>
          <w:szCs w:val="22"/>
          <w:color w:val="auto"/>
        </w:rPr>
        <w:t>. Seller and Buyer shall consult with each other in good faith regarding the form and content of any press release or other public announcement or otherwise make any public disclosure with respect to this Agreement or the subject matter hereof (“</w:t>
      </w:r>
      <w:r>
        <w:rPr>
          <w:rFonts w:ascii="Arial" w:cs="Arial" w:eastAsia="Arial" w:hAnsi="Arial"/>
          <w:sz w:val="22"/>
          <w:szCs w:val="22"/>
          <w:u w:val="single" w:color="auto"/>
          <w:color w:val="auto"/>
        </w:rPr>
        <w:t>Public Announcement</w:t>
      </w:r>
      <w:r>
        <w:rPr>
          <w:rFonts w:ascii="Arial" w:cs="Arial" w:eastAsia="Arial" w:hAnsi="Arial"/>
          <w:sz w:val="22"/>
          <w:szCs w:val="22"/>
          <w:color w:val="auto"/>
        </w:rPr>
        <w:t>”) to be issued or made by Seller or Buyer at or following the Closing relating to this Agreement and the transactions contemplated hereby and no party shall, and each party shall instruct its Affiliates and its and its Affiliates’ Representatives not to issue any Public Announcement without reasonable time to comment on such proposed Public Announcement in advance of such issuance and prior consent of the other party (which consent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8" w:name="page79"/>
    <w:bookmarkEnd w:id="78"/>
    <w:p>
      <w:pPr>
        <w:jc w:val="both"/>
        <w:spacing w:after="0" w:line="246" w:lineRule="auto"/>
        <w:rPr>
          <w:sz w:val="20"/>
          <w:szCs w:val="20"/>
          <w:color w:val="auto"/>
        </w:rPr>
      </w:pPr>
      <w:r>
        <w:rPr>
          <w:rFonts w:ascii="Arial" w:cs="Arial" w:eastAsia="Arial" w:hAnsi="Arial"/>
          <w:sz w:val="21"/>
          <w:szCs w:val="21"/>
          <w:color w:val="auto"/>
        </w:rPr>
        <w:t>shall not be unreasonably withheld, conditioned or delayed), except as may be required by Applicable Law, regulation or stock exchange rule (in which case the party required to make the Public Announcement shall (i) allow the other party reasonable time to comment on such Public Announcement in advance of such issuance and (ii) if such Public Announcement involves a public disclosure of a copy of this Agreement or any exhibit or schedule hereto, the party hereto making such disclosure shall first use reasonable efforts to redact from such copy of this Agreement or such exhibit or schedule, as the case may be, such portions as reasonably requested by the other party hereto before making such public disclosure, provided that such redactions are consistent with Applicable Law).</w:t>
      </w:r>
    </w:p>
    <w:p>
      <w:pPr>
        <w:spacing w:after="0" w:line="184" w:lineRule="exact"/>
        <w:rPr>
          <w:sz w:val="20"/>
          <w:szCs w:val="20"/>
          <w:color w:val="auto"/>
        </w:rPr>
      </w:pPr>
    </w:p>
    <w:p>
      <w:pPr>
        <w:jc w:val="both"/>
        <w:ind w:firstLine="1512"/>
        <w:spacing w:after="0" w:line="270"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Taxes</w:t>
      </w:r>
      <w:r>
        <w:rPr>
          <w:rFonts w:ascii="Arial" w:cs="Arial" w:eastAsia="Arial" w:hAnsi="Arial"/>
          <w:sz w:val="19"/>
          <w:szCs w:val="19"/>
          <w:color w:val="auto"/>
        </w:rPr>
        <w:t>. Seller and Buyer agree that for United States federal, state, local and non-United States tax purposes, (a) Seller and Buyer shall treat the transactions contemplated by the Transaction Documents as a sale of the Purchased Assets and (b) any and all amounts remitted by Seller to Buyer after the Closing Date pursuant to Section 7.2(a) or otherwise under this Agreement shall be treated as received by Seller as agent for Buyer. Buyer agrees (i) to notify Seller promptly in writing if (A) Buyer becomes ineligible to use or deliver any Applicable Withholding Certificate or other tax form previously delivered pursuant to this Agreement, or (B) any Applicable Withholding Certificate or other tax form previously delivered pursuant to this Agreement ceases to be accurate or complete, and (ii) to provide (to the extent it is legally eligible to do so) any additional tax forms that Seller may reasonably request. Buyer agrees to notify Seller promptly if the statements in Section 5.8 (if made as of any date after the Closing Date) cease, or because of any change of Applicable Law or any act or omission planned, suffered or performed by Buyer, would in the future cease, to be true. Seller shall be entitled to deduct (or cause to be deducted) from any amount payable under this Agreement (but for this sentence) to Buyer any income or other tax that Seller determines that it is required to withhold with respect to such amount payable to Buyer under this Agreement prior to remittance to Buyer; provided that if Seller, Pfizer or any other applicable withholding agent shall be required to withhold or deduct any such tax, (1) the applicable withholding agent shall remit (or cause to be remitted) any amount withheld or deducted pursuant to this Section 6.3 to the relevant taxing authority and (2) if such tax is an Indemnified Tax Seller shall make a payment to Buyer so that, after all such required deductions and withholdings are made by any applicable withholding agent (including any deductions and withholdings required with respect to any additional payments under this Section 6.3), Buyer receives an amount equal to the amount that it would have received had no deductions or withholdings on account of Indemnified Taxes been made. Seller shall give, or cause to be given, to Buyer such assistance as may reasonably be necessary to enable Buyer to claim exemption therefrom or credit therefor, and in each case shall furnish Buyer proper evidence of the taxes paid by Seller to the relevant taxing authority on its behalf.</w:t>
      </w:r>
    </w:p>
    <w:p>
      <w:pPr>
        <w:spacing w:after="0" w:line="200" w:lineRule="exact"/>
        <w:rPr>
          <w:sz w:val="20"/>
          <w:szCs w:val="20"/>
          <w:color w:val="auto"/>
        </w:rPr>
      </w:pPr>
    </w:p>
    <w:p>
      <w:pPr>
        <w:spacing w:after="0" w:line="203"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u w:val="single" w:color="auto"/>
          <w:color w:val="auto"/>
        </w:rPr>
        <w:t>Further Actions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5" w:lineRule="auto"/>
        <w:tabs>
          <w:tab w:leader="none" w:pos="2615" w:val="left"/>
        </w:tabs>
        <w:numPr>
          <w:ilvl w:val="0"/>
          <w:numId w:val="44"/>
        </w:numPr>
        <w:rPr>
          <w:rFonts w:ascii="Arial" w:cs="Arial" w:eastAsia="Arial" w:hAnsi="Arial"/>
          <w:sz w:val="22"/>
          <w:szCs w:val="22"/>
          <w:color w:val="auto"/>
        </w:rPr>
      </w:pPr>
      <w:r>
        <w:rPr>
          <w:rFonts w:ascii="Arial" w:cs="Arial" w:eastAsia="Arial" w:hAnsi="Arial"/>
          <w:sz w:val="22"/>
          <w:szCs w:val="22"/>
          <w:color w:val="auto"/>
        </w:rPr>
        <w:t>From and after the Closing, each of Buyer and Seller shall, at the expense of the requesting party, execute and deliver such additional documents, certificates and instruments, and perform such additional acts, as may be reasonably requested and necessary or appropriate to carry out all of the provisions of this Agreement and to give full effect to and consummate the transactions contemplated by this Agreement, including to (a) perfect the sale, assignment, transfer and conveyance of the Purchased Assets to Buyer pursuant to this Agreement, (b) create, evidence and perfect Buyer’s security interest granted pursuant to Section 4 and (c)</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enable Buyer to exercise or enforce any of Buyer’s rights under any Transaction Document to which Buyer is party.</w:t>
      </w:r>
    </w:p>
    <w:p>
      <w:pPr>
        <w:spacing w:after="0" w:line="206" w:lineRule="exact"/>
        <w:rPr>
          <w:sz w:val="20"/>
          <w:szCs w:val="20"/>
          <w:color w:val="auto"/>
        </w:rPr>
      </w:pPr>
    </w:p>
    <w:p>
      <w:pPr>
        <w:jc w:val="both"/>
        <w:ind w:firstLine="1735"/>
        <w:spacing w:after="0" w:line="297" w:lineRule="auto"/>
        <w:tabs>
          <w:tab w:leader="none" w:pos="2627" w:val="left"/>
        </w:tabs>
        <w:numPr>
          <w:ilvl w:val="0"/>
          <w:numId w:val="45"/>
        </w:numPr>
        <w:rPr>
          <w:rFonts w:ascii="Arial" w:cs="Arial" w:eastAsia="Arial" w:hAnsi="Arial"/>
          <w:sz w:val="19"/>
          <w:szCs w:val="19"/>
          <w:color w:val="auto"/>
        </w:rPr>
      </w:pPr>
      <w:r>
        <w:rPr>
          <w:rFonts w:ascii="Arial" w:cs="Arial" w:eastAsia="Arial" w:hAnsi="Arial"/>
          <w:sz w:val="19"/>
          <w:szCs w:val="19"/>
          <w:color w:val="auto"/>
        </w:rPr>
        <w:t>From and after the Closing, Buyer shall, at Seller’s cost and expense, use commercially reasonable efforts to execute and deliver such additional documents, certificates and instruments, and perform such additional acts, as may be reasonably requested and necessary or appropriate to allow Seller to exercise and enforce the Retained Rights.</w:t>
      </w:r>
    </w:p>
    <w:p>
      <w:pPr>
        <w:spacing w:after="0" w:line="134"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Distribution of Purchased Receivables; Escrow Matters</w:t>
      </w:r>
      <w:r>
        <w:rPr>
          <w:rFonts w:ascii="Arial" w:cs="Arial" w:eastAsia="Arial" w:hAnsi="Arial"/>
          <w:sz w:val="19"/>
          <w:szCs w:val="19"/>
          <w:color w:val="auto"/>
        </w:rPr>
        <w:t>.</w:t>
      </w:r>
    </w:p>
    <w:p>
      <w:pPr>
        <w:spacing w:after="0" w:line="206" w:lineRule="exact"/>
        <w:rPr>
          <w:sz w:val="20"/>
          <w:szCs w:val="20"/>
          <w:color w:val="auto"/>
        </w:rPr>
      </w:pPr>
    </w:p>
    <w:p>
      <w:pPr>
        <w:ind w:right="20" w:firstLine="1735"/>
        <w:spacing w:after="0" w:line="328" w:lineRule="auto"/>
        <w:tabs>
          <w:tab w:leader="none" w:pos="2615"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Deposit of Purchased Receivables</w:t>
      </w:r>
      <w:r>
        <w:rPr>
          <w:rFonts w:ascii="Arial" w:cs="Arial" w:eastAsia="Arial" w:hAnsi="Arial"/>
          <w:sz w:val="19"/>
          <w:szCs w:val="19"/>
          <w:color w:val="auto"/>
        </w:rPr>
        <w:t xml:space="preserve">. In accordance with the Pfizer Payment Instructions, from and after the date of this Agreement, Seller shall direct Pfizer to deposit all </w:t>
      </w:r>
      <w:r>
        <w:rPr>
          <w:rFonts w:ascii="Arial" w:cs="Arial" w:eastAsia="Arial" w:hAnsi="Arial"/>
          <w:sz w:val="19"/>
          <w:szCs w:val="19"/>
          <w:u w:val="single" w:color="auto"/>
          <w:color w:val="auto"/>
        </w:rPr>
        <w:t>Purchased Receivables</w:t>
      </w:r>
      <w:r>
        <w:rPr>
          <w:rFonts w:ascii="Arial" w:cs="Arial" w:eastAsia="Arial" w:hAnsi="Arial"/>
          <w:sz w:val="19"/>
          <w:szCs w:val="19"/>
          <w:color w:val="auto"/>
        </w:rPr>
        <w:t xml:space="preserve"> in the Escrow Account.</w:t>
      </w:r>
    </w:p>
    <w:p>
      <w:pPr>
        <w:spacing w:after="0" w:line="104" w:lineRule="exact"/>
        <w:rPr>
          <w:rFonts w:ascii="Arial" w:cs="Arial" w:eastAsia="Arial" w:hAnsi="Arial"/>
          <w:sz w:val="19"/>
          <w:szCs w:val="19"/>
          <w:color w:val="auto"/>
        </w:rPr>
      </w:pPr>
    </w:p>
    <w:p>
      <w:pPr>
        <w:ind w:right="20" w:firstLine="1735"/>
        <w:spacing w:after="0" w:line="250" w:lineRule="auto"/>
        <w:tabs>
          <w:tab w:leader="none" w:pos="2627"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Release of Royalty Payments from Escrow Account</w:t>
      </w:r>
      <w:r>
        <w:rPr>
          <w:rFonts w:ascii="Arial" w:cs="Arial" w:eastAsia="Arial" w:hAnsi="Arial"/>
          <w:sz w:val="22"/>
          <w:szCs w:val="22"/>
          <w:color w:val="auto"/>
        </w:rPr>
        <w:t>. Subject to the terms and conditions of the Escrow Agreement, the parties hereto agree and shall direct the Escrow Agent to:</w:t>
      </w:r>
    </w:p>
    <w:p>
      <w:pPr>
        <w:spacing w:after="0" w:line="174" w:lineRule="exact"/>
        <w:rPr>
          <w:rFonts w:ascii="Arial" w:cs="Arial" w:eastAsia="Arial" w:hAnsi="Arial"/>
          <w:sz w:val="22"/>
          <w:szCs w:val="22"/>
          <w:color w:val="auto"/>
        </w:rPr>
      </w:pPr>
    </w:p>
    <w:p>
      <w:pPr>
        <w:jc w:val="both"/>
        <w:ind w:firstLine="2600"/>
        <w:spacing w:after="0"/>
        <w:tabs>
          <w:tab w:leader="none" w:pos="3444" w:val="left"/>
        </w:tabs>
        <w:numPr>
          <w:ilvl w:val="1"/>
          <w:numId w:val="46"/>
        </w:numPr>
        <w:rPr>
          <w:rFonts w:ascii="Arial" w:cs="Arial" w:eastAsia="Arial" w:hAnsi="Arial"/>
          <w:sz w:val="22"/>
          <w:szCs w:val="22"/>
          <w:color w:val="auto"/>
        </w:rPr>
      </w:pPr>
      <w:r>
        <w:rPr>
          <w:rFonts w:ascii="Arial" w:cs="Arial" w:eastAsia="Arial" w:hAnsi="Arial"/>
          <w:sz w:val="22"/>
          <w:szCs w:val="22"/>
          <w:color w:val="auto"/>
        </w:rPr>
        <w:t>Promptly, but in any event within two (2) Business Days of receipt of deposit of Purchased Receivables in the Escrow Account, disburse such Purchased Receivables (together with any interest thereon, if applicable) to Buyer without any further action of the parties hereto.</w:t>
      </w:r>
    </w:p>
    <w:p>
      <w:pPr>
        <w:spacing w:after="0" w:line="186" w:lineRule="exact"/>
        <w:rPr>
          <w:rFonts w:ascii="Arial" w:cs="Arial" w:eastAsia="Arial" w:hAnsi="Arial"/>
          <w:sz w:val="22"/>
          <w:szCs w:val="22"/>
          <w:color w:val="auto"/>
        </w:rPr>
      </w:pPr>
    </w:p>
    <w:p>
      <w:pPr>
        <w:jc w:val="both"/>
        <w:ind w:firstLine="2600"/>
        <w:spacing w:after="0" w:line="274" w:lineRule="auto"/>
        <w:tabs>
          <w:tab w:leader="none" w:pos="3504" w:val="left"/>
        </w:tabs>
        <w:numPr>
          <w:ilvl w:val="1"/>
          <w:numId w:val="46"/>
        </w:numPr>
        <w:rPr>
          <w:rFonts w:ascii="Arial" w:cs="Arial" w:eastAsia="Arial" w:hAnsi="Arial"/>
          <w:sz w:val="19"/>
          <w:szCs w:val="19"/>
          <w:color w:val="auto"/>
        </w:rPr>
      </w:pPr>
      <w:r>
        <w:rPr>
          <w:rFonts w:ascii="Arial" w:cs="Arial" w:eastAsia="Arial" w:hAnsi="Arial"/>
          <w:sz w:val="19"/>
          <w:szCs w:val="19"/>
          <w:color w:val="auto"/>
        </w:rPr>
        <w:t>Notwithstanding Section 6.4(b)(i), if and when the aggregate amount of Purchased Receivables deposited in the Escrow Account exceeds the Cap Amount, then the parties shall provide joint written instructions to the Escrow Agent directing the Escrow Agent to promptly, but in any event within two (2) Business Days of receipt of deposit of Royalty Payments in the Escrow Account, disburse 50% of the amount of such Royalty Payments (together with any interest thereon, if applicable) to Buyer and 50% of the amount of such Royalty Payments (together with any interest thereon, if applicable) to Seller. For the avoidance of doubt, in determining whether the Purchased Receivables exceeds the Cap Amount, such amount will include the amount received by Buyer in respect of any Additional Amounts received by the Buyer and will not include any Indemnified Taxes payable (whether payable through withholding or directly by the Buyer) in respect of any amounts payable to the Buyer under this Agreement (including in respect of any Additional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-1728470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8" w:lineRule="exact"/>
        <w:rPr>
          <w:sz w:val="20"/>
          <w:szCs w:val="20"/>
          <w:color w:val="auto"/>
        </w:rPr>
      </w:pPr>
    </w:p>
    <w:p>
      <w:pPr>
        <w:ind w:firstLine="1512"/>
        <w:spacing w:after="0" w:line="250" w:lineRule="auto"/>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Pfizer Payments Instructions</w:t>
      </w:r>
      <w:r>
        <w:rPr>
          <w:rFonts w:ascii="Arial" w:cs="Arial" w:eastAsia="Arial" w:hAnsi="Arial"/>
          <w:sz w:val="22"/>
          <w:szCs w:val="22"/>
          <w:color w:val="auto"/>
        </w:rPr>
        <w:t>. Prior to the termination of this Agreement pursuant to Section 9.14(a), Seller shall not, without Buyer’s prior written consent, deliver any further directions to Pfizer.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0" w:name="page81"/>
    <w:bookmarkEnd w:id="80"/>
    <w:p>
      <w:pPr>
        <w:ind w:left="4680"/>
        <w:spacing w:after="0"/>
        <w:rPr>
          <w:sz w:val="20"/>
          <w:szCs w:val="20"/>
          <w:color w:val="auto"/>
        </w:rPr>
      </w:pPr>
      <w:r>
        <w:rPr>
          <w:rFonts w:ascii="Arial" w:cs="Arial" w:eastAsia="Arial" w:hAnsi="Arial"/>
          <w:sz w:val="22"/>
          <w:szCs w:val="22"/>
          <w:u w:val="single" w:color="auto"/>
          <w:color w:val="auto"/>
        </w:rPr>
        <w:t>ARTICLE VII</w:t>
      </w:r>
    </w:p>
    <w:p>
      <w:pPr>
        <w:spacing w:after="0" w:line="233" w:lineRule="exact"/>
        <w:rPr>
          <w:sz w:val="20"/>
          <w:szCs w:val="20"/>
          <w:color w:val="auto"/>
        </w:rPr>
      </w:pPr>
    </w:p>
    <w:p>
      <w:pPr>
        <w:ind w:left="2840"/>
        <w:spacing w:after="0"/>
        <w:rPr>
          <w:sz w:val="20"/>
          <w:szCs w:val="20"/>
          <w:color w:val="auto"/>
        </w:rPr>
      </w:pPr>
      <w:r>
        <w:rPr>
          <w:rFonts w:ascii="Arial" w:cs="Arial" w:eastAsia="Arial" w:hAnsi="Arial"/>
          <w:sz w:val="22"/>
          <w:szCs w:val="22"/>
          <w:u w:val="single" w:color="auto"/>
          <w:color w:val="auto"/>
        </w:rPr>
        <w:t>COVENANTS RELATING TO THE LICENSE AGREEMENT</w:t>
      </w:r>
    </w:p>
    <w:p>
      <w:pPr>
        <w:spacing w:after="0" w:line="206"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Performance of License Agreement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5" w:lineRule="auto"/>
        <w:tabs>
          <w:tab w:leader="none" w:pos="2615" w:val="left"/>
        </w:tabs>
        <w:numPr>
          <w:ilvl w:val="0"/>
          <w:numId w:val="47"/>
        </w:numPr>
        <w:rPr>
          <w:rFonts w:ascii="Arial" w:cs="Arial" w:eastAsia="Arial" w:hAnsi="Arial"/>
          <w:sz w:val="21"/>
          <w:szCs w:val="21"/>
          <w:color w:val="auto"/>
        </w:rPr>
      </w:pPr>
      <w:r>
        <w:rPr>
          <w:rFonts w:ascii="Arial" w:cs="Arial" w:eastAsia="Arial" w:hAnsi="Arial"/>
          <w:sz w:val="21"/>
          <w:szCs w:val="21"/>
          <w:color w:val="auto"/>
        </w:rPr>
        <w:t>Seller agrees that it shall (i) not take any action or forego any action that would reasonably be expected to constitute a material breach or default under the Surviving Obligations and (ii) use Commercially Reasonable Efforts to cure any such breach by Seller of the License Agreement, (iii) not forgive, release or compromise any amount owed to or becoming owed to Seller under the Surviving Obligations in respect of the Royalty Payments and (iv) not, without the prior written consent of Buyer, (A) exercise any right to offset, modify or terminate the Surviving Obligations, in whole or in part, (B) agree with Pfizer to offset, modify or terminate the Surviving Obligations, in whole or in part, or (C) take, or permit any Affiliate or sublicensee to take, any action that would reasonably be expected to give Pfizer the right to offset, modify or terminate the Surviving Obligations, in whole or in part. Subject to the foregoing, promptly, and in any event within five Business Days, following receipt by Seller of any notice of breach of termination of the Surviving Obligations, Seller shall furnish a true, correct and complete copy of the same to Buyer.</w:t>
      </w:r>
    </w:p>
    <w:p>
      <w:pPr>
        <w:spacing w:after="0" w:line="180" w:lineRule="exact"/>
        <w:rPr>
          <w:rFonts w:ascii="Arial" w:cs="Arial" w:eastAsia="Arial" w:hAnsi="Arial"/>
          <w:sz w:val="21"/>
          <w:szCs w:val="21"/>
          <w:color w:val="auto"/>
        </w:rPr>
      </w:pPr>
    </w:p>
    <w:p>
      <w:pPr>
        <w:jc w:val="both"/>
        <w:ind w:firstLine="1735"/>
        <w:spacing w:after="0" w:line="249" w:lineRule="auto"/>
        <w:tabs>
          <w:tab w:leader="none" w:pos="2627" w:val="left"/>
        </w:tabs>
        <w:numPr>
          <w:ilvl w:val="0"/>
          <w:numId w:val="47"/>
        </w:numPr>
        <w:rPr>
          <w:rFonts w:ascii="Arial" w:cs="Arial" w:eastAsia="Arial" w:hAnsi="Arial"/>
          <w:sz w:val="21"/>
          <w:szCs w:val="21"/>
          <w:color w:val="auto"/>
        </w:rPr>
      </w:pPr>
      <w:r>
        <w:rPr>
          <w:rFonts w:ascii="Arial" w:cs="Arial" w:eastAsia="Arial" w:hAnsi="Arial"/>
          <w:sz w:val="21"/>
          <w:szCs w:val="21"/>
          <w:color w:val="auto"/>
        </w:rPr>
        <w:t>Seller shall not, without the prior written consent of Buyer, grant or withhold any consent, exercise or waive any right, obligation or option or fail to exercise any right, obligation or option in respect of, affecting or relating to the Purchased Assets, the Product, the Surviving Obligations in any manner that would reasonably be expected (with or without the giving of notice or the passage of time, or both) to have a Seller Material Adverse Effect or conflict with, or cause a termination, material breach or default under the Surviving Obligations.</w:t>
      </w:r>
    </w:p>
    <w:p>
      <w:pPr>
        <w:spacing w:after="0" w:line="178"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Misdirected Royalty Payments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tabs>
          <w:tab w:leader="none" w:pos="2615"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Misdirected Royalty Payments</w:t>
      </w:r>
      <w:r>
        <w:rPr>
          <w:rFonts w:ascii="Arial" w:cs="Arial" w:eastAsia="Arial" w:hAnsi="Arial"/>
          <w:sz w:val="22"/>
          <w:szCs w:val="22"/>
          <w:color w:val="auto"/>
        </w:rPr>
        <w:t>. If Seller shall, notwithstanding the provisions of the Pfizer</w:t>
      </w:r>
      <w:r>
        <w:rPr>
          <w:rFonts w:ascii="Arial" w:cs="Arial" w:eastAsia="Arial" w:hAnsi="Arial"/>
          <w:sz w:val="22"/>
          <w:szCs w:val="22"/>
          <w:i w:val="1"/>
          <w:iCs w:val="1"/>
          <w:color w:val="auto"/>
        </w:rPr>
        <w:t xml:space="preserve"> </w:t>
      </w:r>
      <w:r>
        <w:rPr>
          <w:rFonts w:ascii="Arial" w:cs="Arial" w:eastAsia="Arial" w:hAnsi="Arial"/>
          <w:sz w:val="22"/>
          <w:szCs w:val="22"/>
          <w:color w:val="auto"/>
        </w:rPr>
        <w:t>Instruction Letter, receive any Purchased Receivables, Seller shall promptly, and in any event no later than five Business Days, remit to the Escrow Agent such Purchased Receivables for deposit in the Escrow Account.</w:t>
      </w:r>
    </w:p>
    <w:p>
      <w:pPr>
        <w:spacing w:after="0" w:line="186" w:lineRule="exact"/>
        <w:rPr>
          <w:rFonts w:ascii="Arial" w:cs="Arial" w:eastAsia="Arial" w:hAnsi="Arial"/>
          <w:sz w:val="22"/>
          <w:szCs w:val="22"/>
          <w:color w:val="auto"/>
        </w:rPr>
      </w:pPr>
    </w:p>
    <w:p>
      <w:pPr>
        <w:jc w:val="both"/>
        <w:ind w:firstLine="1735"/>
        <w:spacing w:after="0" w:line="252" w:lineRule="auto"/>
        <w:tabs>
          <w:tab w:leader="none" w:pos="2627" w:val="left"/>
        </w:tabs>
        <w:numPr>
          <w:ilvl w:val="0"/>
          <w:numId w:val="48"/>
        </w:numPr>
        <w:rPr>
          <w:rFonts w:ascii="Arial" w:cs="Arial" w:eastAsia="Arial" w:hAnsi="Arial"/>
          <w:sz w:val="21"/>
          <w:szCs w:val="21"/>
          <w:color w:val="auto"/>
        </w:rPr>
      </w:pPr>
      <w:r>
        <w:rPr>
          <w:rFonts w:ascii="Arial" w:cs="Arial" w:eastAsia="Arial" w:hAnsi="Arial"/>
          <w:sz w:val="21"/>
          <w:szCs w:val="21"/>
          <w:i w:val="1"/>
          <w:iCs w:val="1"/>
          <w:color w:val="auto"/>
        </w:rPr>
        <w:t>Setoffs by Pfizer</w:t>
      </w:r>
      <w:r>
        <w:rPr>
          <w:rFonts w:ascii="Arial" w:cs="Arial" w:eastAsia="Arial" w:hAnsi="Arial"/>
          <w:sz w:val="21"/>
          <w:szCs w:val="21"/>
          <w:color w:val="auto"/>
        </w:rPr>
        <w:t>. If Pfizer sets off against the Purchased Receivables any amount owing from</w:t>
      </w:r>
      <w:r>
        <w:rPr>
          <w:rFonts w:ascii="Arial" w:cs="Arial" w:eastAsia="Arial" w:hAnsi="Arial"/>
          <w:sz w:val="21"/>
          <w:szCs w:val="21"/>
          <w:i w:val="1"/>
          <w:iCs w:val="1"/>
          <w:color w:val="auto"/>
        </w:rPr>
        <w:t xml:space="preserve"> </w:t>
      </w:r>
      <w:r>
        <w:rPr>
          <w:rFonts w:ascii="Arial" w:cs="Arial" w:eastAsia="Arial" w:hAnsi="Arial"/>
          <w:sz w:val="21"/>
          <w:szCs w:val="21"/>
          <w:color w:val="auto"/>
        </w:rPr>
        <w:t>Seller, then Seller shall promptly, and in any event no later than five Business Days, pay to Buyer a sum equal to the amount of such set-off. After Seller makes the payment referred to in the first sentence of this Section 7.2(b), Seller shall be entitled to, and Buyer shall not be entitled to, any amounts recovered from Pfizer in respect of such set-off.</w:t>
      </w:r>
    </w:p>
    <w:p>
      <w:pPr>
        <w:spacing w:after="0" w:line="173" w:lineRule="exact"/>
        <w:rPr>
          <w:rFonts w:ascii="Arial" w:cs="Arial" w:eastAsia="Arial" w:hAnsi="Arial"/>
          <w:sz w:val="21"/>
          <w:szCs w:val="21"/>
          <w:color w:val="auto"/>
        </w:rPr>
      </w:pPr>
    </w:p>
    <w:p>
      <w:pPr>
        <w:jc w:val="both"/>
        <w:ind w:firstLine="1735"/>
        <w:spacing w:after="0" w:line="238" w:lineRule="auto"/>
        <w:tabs>
          <w:tab w:leader="none" w:pos="2615"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Remittances</w:t>
      </w:r>
      <w:r>
        <w:rPr>
          <w:rFonts w:ascii="Arial" w:cs="Arial" w:eastAsia="Arial" w:hAnsi="Arial"/>
          <w:sz w:val="22"/>
          <w:szCs w:val="22"/>
          <w:color w:val="auto"/>
        </w:rPr>
        <w:t>. All remittances pursuant to this Section 7.2 shall be made (i) without set-off or</w:t>
      </w:r>
      <w:r>
        <w:rPr>
          <w:rFonts w:ascii="Arial" w:cs="Arial" w:eastAsia="Arial" w:hAnsi="Arial"/>
          <w:sz w:val="22"/>
          <w:szCs w:val="22"/>
          <w:i w:val="1"/>
          <w:iCs w:val="1"/>
          <w:color w:val="auto"/>
        </w:rPr>
        <w:t xml:space="preserve"> </w:t>
      </w:r>
      <w:r>
        <w:rPr>
          <w:rFonts w:ascii="Arial" w:cs="Arial" w:eastAsia="Arial" w:hAnsi="Arial"/>
          <w:sz w:val="22"/>
          <w:szCs w:val="22"/>
          <w:color w:val="auto"/>
        </w:rPr>
        <w:t>deduction of any kind (except as required by Applicable Law) and (ii) by wire transfer of immediately available funds to such account as Buyer may designate in writing (such designation to be made at least three Business Days prior to any such payment), as the case may be.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1" w:name="page82"/>
    <w:bookmarkEnd w:id="81"/>
    <w:p>
      <w:pPr>
        <w:ind w:firstLine="1735"/>
        <w:spacing w:after="0" w:line="328" w:lineRule="auto"/>
        <w:tabs>
          <w:tab w:leader="none" w:pos="2627"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Payments Held In Trust</w:t>
      </w:r>
      <w:r>
        <w:rPr>
          <w:rFonts w:ascii="Arial" w:cs="Arial" w:eastAsia="Arial" w:hAnsi="Arial"/>
          <w:sz w:val="19"/>
          <w:szCs w:val="19"/>
          <w:color w:val="auto"/>
        </w:rPr>
        <w:t>. Seller agrees that it shall hold any amounts received by it to which Buyer</w:t>
      </w:r>
      <w:r>
        <w:rPr>
          <w:rFonts w:ascii="Arial" w:cs="Arial" w:eastAsia="Arial" w:hAnsi="Arial"/>
          <w:sz w:val="19"/>
          <w:szCs w:val="19"/>
          <w:i w:val="1"/>
          <w:iCs w:val="1"/>
          <w:color w:val="auto"/>
        </w:rPr>
        <w:t xml:space="preserve"> </w:t>
      </w:r>
      <w:r>
        <w:rPr>
          <w:rFonts w:ascii="Arial" w:cs="Arial" w:eastAsia="Arial" w:hAnsi="Arial"/>
          <w:sz w:val="19"/>
          <w:szCs w:val="19"/>
          <w:color w:val="auto"/>
        </w:rPr>
        <w:t>is entitled under this Agreement in trust and agrees that it shall have no right, title or interest whatsoever in such amounts.</w:t>
      </w:r>
    </w:p>
    <w:p>
      <w:pPr>
        <w:spacing w:after="0" w:line="104" w:lineRule="exact"/>
        <w:rPr>
          <w:rFonts w:ascii="Arial" w:cs="Arial" w:eastAsia="Arial" w:hAnsi="Arial"/>
          <w:sz w:val="19"/>
          <w:szCs w:val="19"/>
          <w:color w:val="auto"/>
        </w:rPr>
      </w:pPr>
    </w:p>
    <w:p>
      <w:pPr>
        <w:jc w:val="both"/>
        <w:ind w:firstLine="1735"/>
        <w:spacing w:after="0"/>
        <w:tabs>
          <w:tab w:leader="none" w:pos="2615"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late fee of 4% over the prime rate published by the Wall Street Journal, from time to time, as the prime rate shall accrue on all unpaid amounts on an annualized basis with respect to any sum payable under Section 7.2 beginning ten Business Days after receipt of such payment received in error.</w:t>
      </w:r>
    </w:p>
    <w:p>
      <w:pPr>
        <w:spacing w:after="0" w:line="186" w:lineRule="exact"/>
        <w:rPr>
          <w:sz w:val="20"/>
          <w:szCs w:val="20"/>
          <w:color w:val="auto"/>
        </w:rPr>
      </w:pPr>
    </w:p>
    <w:p>
      <w:pPr>
        <w:ind w:left="1520"/>
        <w:spacing w:after="0"/>
        <w:tabs>
          <w:tab w:leader="none" w:pos="3120" w:val="left"/>
          <w:tab w:leader="none" w:pos="674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22"/>
          <w:szCs w:val="22"/>
          <w:u w:val="single" w:color="auto"/>
          <w:color w:val="auto"/>
        </w:rPr>
        <w:t>Reports; Notices; Correspondence</w:t>
      </w:r>
      <w:r>
        <w:rPr>
          <w:sz w:val="20"/>
          <w:szCs w:val="20"/>
          <w:color w:val="auto"/>
        </w:rPr>
        <w:tab/>
      </w:r>
      <w:r>
        <w:rPr>
          <w:rFonts w:ascii="Arial" w:cs="Arial" w:eastAsia="Arial" w:hAnsi="Arial"/>
          <w:sz w:val="14"/>
          <w:szCs w:val="14"/>
          <w:color w:val="auto"/>
        </w:rPr>
        <w:t>.</w:t>
      </w:r>
    </w:p>
    <w:p>
      <w:pPr>
        <w:spacing w:after="0" w:line="206" w:lineRule="exact"/>
        <w:rPr>
          <w:sz w:val="20"/>
          <w:szCs w:val="20"/>
          <w:color w:val="auto"/>
        </w:rPr>
      </w:pPr>
    </w:p>
    <w:p>
      <w:pPr>
        <w:jc w:val="both"/>
        <w:ind w:firstLine="1735"/>
        <w:spacing w:after="0" w:line="238" w:lineRule="auto"/>
        <w:tabs>
          <w:tab w:leader="none" w:pos="2615"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Promptly, and in any event no later than five Business Days, following the receipt by Seller of (a) a Royalty Report required to be delivered pursuant to the License Agreement or (b) any material written notice or material written correspondence relating to, or involving the Purchased Receivables, Seller shall furnish a true, correct and copy of the same to Buyer.</w:t>
      </w:r>
    </w:p>
    <w:p>
      <w:pPr>
        <w:spacing w:after="0" w:line="184" w:lineRule="exact"/>
        <w:rPr>
          <w:rFonts w:ascii="Arial" w:cs="Arial" w:eastAsia="Arial" w:hAnsi="Arial"/>
          <w:sz w:val="22"/>
          <w:szCs w:val="22"/>
          <w:color w:val="auto"/>
        </w:rPr>
      </w:pPr>
    </w:p>
    <w:p>
      <w:pPr>
        <w:jc w:val="both"/>
        <w:ind w:firstLine="1735"/>
        <w:spacing w:after="0" w:line="248" w:lineRule="auto"/>
        <w:tabs>
          <w:tab w:leader="none" w:pos="2627" w:val="left"/>
        </w:tabs>
        <w:numPr>
          <w:ilvl w:val="0"/>
          <w:numId w:val="50"/>
        </w:numPr>
        <w:rPr>
          <w:rFonts w:ascii="Arial" w:cs="Arial" w:eastAsia="Arial" w:hAnsi="Arial"/>
          <w:sz w:val="21"/>
          <w:szCs w:val="21"/>
          <w:color w:val="auto"/>
        </w:rPr>
      </w:pPr>
      <w:r>
        <w:rPr>
          <w:rFonts w:ascii="Arial" w:cs="Arial" w:eastAsia="Arial" w:hAnsi="Arial"/>
          <w:sz w:val="21"/>
          <w:szCs w:val="21"/>
          <w:color w:val="auto"/>
        </w:rPr>
        <w:t>Seller shall not send any material written notice or correspondence to Pfizer relating to, or involving, the Purchased Receivables pursuant to the License Agreement without the prior written consent of Buyer (such consent not to be unreasonably withheld or delayed). Seller shall promptly, and in any event no later than five Business Days, provide to Buyer a copy of any material notice or correspondence sent by Seller to Pfizer relating to, or involving, the Purchased Receivables pursuant to the License Agreement. Seller shall use Commercially Reasonable Efforts to respond to any reasonable inquiries of Buyer related to or involving the Purchased Receivables.</w:t>
      </w:r>
    </w:p>
    <w:p>
      <w:pPr>
        <w:spacing w:after="0" w:line="177" w:lineRule="exact"/>
        <w:rPr>
          <w:sz w:val="20"/>
          <w:szCs w:val="20"/>
          <w:color w:val="auto"/>
        </w:rPr>
      </w:pPr>
    </w:p>
    <w:p>
      <w:pPr>
        <w:jc w:val="both"/>
        <w:ind w:firstLine="1512"/>
        <w:spacing w:after="0" w:line="246" w:lineRule="auto"/>
        <w:rPr>
          <w:sz w:val="20"/>
          <w:szCs w:val="20"/>
          <w:color w:val="auto"/>
        </w:rPr>
      </w:pPr>
      <w:r>
        <w:rPr>
          <w:rFonts w:ascii="Arial" w:cs="Arial" w:eastAsia="Arial" w:hAnsi="Arial"/>
          <w:sz w:val="21"/>
          <w:szCs w:val="21"/>
          <w:color w:val="auto"/>
        </w:rPr>
        <w:t xml:space="preserve">Section 7.4 </w:t>
      </w:r>
      <w:r>
        <w:rPr>
          <w:rFonts w:ascii="Arial" w:cs="Arial" w:eastAsia="Arial" w:hAnsi="Arial"/>
          <w:sz w:val="21"/>
          <w:szCs w:val="21"/>
          <w:u w:val="single" w:color="auto"/>
          <w:color w:val="auto"/>
        </w:rPr>
        <w:t>Preservation of Rights; Assignments</w:t>
      </w:r>
      <w:r>
        <w:rPr>
          <w:rFonts w:ascii="Arial" w:cs="Arial" w:eastAsia="Arial" w:hAnsi="Arial"/>
          <w:sz w:val="21"/>
          <w:szCs w:val="21"/>
          <w:color w:val="auto"/>
        </w:rPr>
        <w:t>. Seller shall not hereafter sell, transfer, hypothecate, delegate, assign or in any manner convey or mortgage, pledge or grant a security interest or other encumbrance of any kind in any of its rights, title or interest in and to, or duties under, all or any portion of the Surviving Obligations without the prior written consent of Buyer (such consent not to be unreasonably withheld or delayed). Promptly, and in any event within five Business Days following receipt by Seller of a written request from Pfizer for consent to, or prior written notice of, assignment of the Surviving Obligations (in whole or in part), Seller shall provide notice thereof to Buyer. Promptly (and in any event no later than five Business Days) following Seller’s receipt of any fully executed assignment of the Surviving Obligations by Pfizer, Seller shall furnish a copy of such assignment to Buyer.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2" w:name="page83"/>
    <w:bookmarkEnd w:id="82"/>
    <w:p>
      <w:pPr>
        <w:ind w:left="4640"/>
        <w:spacing w:after="0"/>
        <w:rPr>
          <w:sz w:val="20"/>
          <w:szCs w:val="20"/>
          <w:color w:val="auto"/>
        </w:rPr>
      </w:pPr>
      <w:r>
        <w:rPr>
          <w:rFonts w:ascii="Arial" w:cs="Arial" w:eastAsia="Arial" w:hAnsi="Arial"/>
          <w:sz w:val="22"/>
          <w:szCs w:val="22"/>
          <w:u w:val="single" w:color="auto"/>
          <w:color w:val="auto"/>
        </w:rPr>
        <w:t>ARTICLE VIII</w:t>
      </w:r>
    </w:p>
    <w:p>
      <w:pPr>
        <w:spacing w:after="0" w:line="233"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INDEMNIFICATION</w:t>
      </w:r>
    </w:p>
    <w:p>
      <w:pPr>
        <w:spacing w:after="0" w:line="206"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Obligation of Parties to Indemnify</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Indemnification by Seller</w:t>
      </w:r>
      <w:r>
        <w:rPr>
          <w:rFonts w:ascii="Arial" w:cs="Arial" w:eastAsia="Arial" w:hAnsi="Arial"/>
          <w:sz w:val="22"/>
          <w:szCs w:val="22"/>
          <w:color w:val="auto"/>
        </w:rPr>
        <w:t>. Subject to the limitations set forth in this ARTICLE VIII, from and after</w:t>
      </w:r>
      <w:r>
        <w:rPr>
          <w:rFonts w:ascii="Arial" w:cs="Arial" w:eastAsia="Arial" w:hAnsi="Arial"/>
          <w:sz w:val="22"/>
          <w:szCs w:val="22"/>
          <w:i w:val="1"/>
          <w:iCs w:val="1"/>
          <w:color w:val="auto"/>
        </w:rPr>
        <w:t xml:space="preserve"> </w:t>
      </w:r>
      <w:r>
        <w:rPr>
          <w:rFonts w:ascii="Arial" w:cs="Arial" w:eastAsia="Arial" w:hAnsi="Arial"/>
          <w:sz w:val="22"/>
          <w:szCs w:val="22"/>
          <w:color w:val="auto"/>
        </w:rPr>
        <w:t>the Closing, Seller shall indemnify Buyer, its Affiliates, and their Representatives (each, a “</w:t>
      </w:r>
      <w:r>
        <w:rPr>
          <w:rFonts w:ascii="Arial" w:cs="Arial" w:eastAsia="Arial" w:hAnsi="Arial"/>
          <w:sz w:val="22"/>
          <w:szCs w:val="22"/>
          <w:u w:val="single" w:color="auto"/>
          <w:color w:val="auto"/>
        </w:rPr>
        <w:t>Buyer Indemnified Party</w:t>
      </w:r>
      <w:r>
        <w:rPr>
          <w:rFonts w:ascii="Arial" w:cs="Arial" w:eastAsia="Arial" w:hAnsi="Arial"/>
          <w:sz w:val="22"/>
          <w:szCs w:val="22"/>
          <w:color w:val="auto"/>
        </w:rPr>
        <w:t>”) against any and all losses, liabilities, expenses (including reasonable attorneys’ fees and expenses in connection with any third party action, suit or proceeding) and damages (collectively, “</w:t>
      </w:r>
      <w:r>
        <w:rPr>
          <w:rFonts w:ascii="Arial" w:cs="Arial" w:eastAsia="Arial" w:hAnsi="Arial"/>
          <w:sz w:val="22"/>
          <w:szCs w:val="22"/>
          <w:u w:val="single" w:color="auto"/>
          <w:color w:val="auto"/>
        </w:rPr>
        <w:t>Losses</w:t>
      </w:r>
      <w:r>
        <w:rPr>
          <w:rFonts w:ascii="Arial" w:cs="Arial" w:eastAsia="Arial" w:hAnsi="Arial"/>
          <w:sz w:val="22"/>
          <w:szCs w:val="22"/>
          <w:color w:val="auto"/>
        </w:rPr>
        <w:t>”) incurred by such Buyer Indemnified Party, to the extent arising or resulting from any of the following:</w:t>
      </w:r>
    </w:p>
    <w:p>
      <w:pPr>
        <w:spacing w:after="0" w:line="187" w:lineRule="exact"/>
        <w:rPr>
          <w:rFonts w:ascii="Arial" w:cs="Arial" w:eastAsia="Arial" w:hAnsi="Arial"/>
          <w:sz w:val="22"/>
          <w:szCs w:val="22"/>
          <w:color w:val="auto"/>
        </w:rPr>
      </w:pPr>
    </w:p>
    <w:p>
      <w:pPr>
        <w:ind w:left="3460" w:hanging="860"/>
        <w:spacing w:after="0"/>
        <w:tabs>
          <w:tab w:leader="none" w:pos="34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any breach of any representation or warranty made by Seller in the Transaction</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Documents;</w:t>
      </w:r>
    </w:p>
    <w:p>
      <w:pPr>
        <w:spacing w:after="0" w:line="188" w:lineRule="exact"/>
        <w:rPr>
          <w:rFonts w:ascii="Arial" w:cs="Arial" w:eastAsia="Arial" w:hAnsi="Arial"/>
          <w:sz w:val="22"/>
          <w:szCs w:val="22"/>
          <w:color w:val="auto"/>
        </w:rPr>
      </w:pPr>
    </w:p>
    <w:p>
      <w:pPr>
        <w:ind w:left="3520" w:hanging="920"/>
        <w:spacing w:after="0"/>
        <w:tabs>
          <w:tab w:leader="none" w:pos="3520" w:val="left"/>
        </w:tabs>
        <w:numPr>
          <w:ilvl w:val="1"/>
          <w:numId w:val="51"/>
        </w:numPr>
        <w:rPr>
          <w:rFonts w:ascii="Arial" w:cs="Arial" w:eastAsia="Arial" w:hAnsi="Arial"/>
          <w:sz w:val="21"/>
          <w:szCs w:val="21"/>
          <w:color w:val="auto"/>
        </w:rPr>
      </w:pPr>
      <w:r>
        <w:rPr>
          <w:rFonts w:ascii="Arial" w:cs="Arial" w:eastAsia="Arial" w:hAnsi="Arial"/>
          <w:sz w:val="21"/>
          <w:szCs w:val="21"/>
          <w:color w:val="auto"/>
        </w:rPr>
        <w:t>any breach of any covenant or agreement of Seller contained in the Transaction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Documents; and</w:t>
      </w:r>
    </w:p>
    <w:p>
      <w:pPr>
        <w:spacing w:after="0" w:line="188" w:lineRule="exact"/>
        <w:rPr>
          <w:rFonts w:ascii="Arial" w:cs="Arial" w:eastAsia="Arial" w:hAnsi="Arial"/>
          <w:sz w:val="21"/>
          <w:szCs w:val="21"/>
          <w:color w:val="auto"/>
        </w:rPr>
      </w:pPr>
    </w:p>
    <w:p>
      <w:pPr>
        <w:ind w:left="3580" w:hanging="980"/>
        <w:spacing w:after="0"/>
        <w:tabs>
          <w:tab w:leader="none" w:pos="3580"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Excluded Assets, including from Seller’s exercise of the Retained Rights, and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Excluded Liabilities and Obligations.</w:t>
      </w:r>
    </w:p>
    <w:p>
      <w:pPr>
        <w:spacing w:after="0" w:line="188" w:lineRule="exact"/>
        <w:rPr>
          <w:rFonts w:ascii="Arial" w:cs="Arial" w:eastAsia="Arial" w:hAnsi="Arial"/>
          <w:sz w:val="19"/>
          <w:szCs w:val="19"/>
          <w:color w:val="auto"/>
        </w:rPr>
      </w:pPr>
    </w:p>
    <w:p>
      <w:pPr>
        <w:jc w:val="both"/>
        <w:ind w:firstLine="1735"/>
        <w:spacing w:after="0" w:line="297" w:lineRule="auto"/>
        <w:tabs>
          <w:tab w:leader="none" w:pos="2627"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Indemnification by Buyer</w:t>
      </w:r>
      <w:r>
        <w:rPr>
          <w:rFonts w:ascii="Arial" w:cs="Arial" w:eastAsia="Arial" w:hAnsi="Arial"/>
          <w:sz w:val="19"/>
          <w:szCs w:val="19"/>
          <w:color w:val="auto"/>
        </w:rPr>
        <w:t>. Subject to the limitations set forth in this ARTICLE VIII, from and after</w:t>
      </w:r>
      <w:r>
        <w:rPr>
          <w:rFonts w:ascii="Arial" w:cs="Arial" w:eastAsia="Arial" w:hAnsi="Arial"/>
          <w:sz w:val="19"/>
          <w:szCs w:val="19"/>
          <w:i w:val="1"/>
          <w:iCs w:val="1"/>
          <w:color w:val="auto"/>
        </w:rPr>
        <w:t xml:space="preserve"> </w:t>
      </w:r>
      <w:r>
        <w:rPr>
          <w:rFonts w:ascii="Arial" w:cs="Arial" w:eastAsia="Arial" w:hAnsi="Arial"/>
          <w:sz w:val="19"/>
          <w:szCs w:val="19"/>
          <w:color w:val="auto"/>
        </w:rPr>
        <w:t>the Closing, Buyer shall indemnify Seller, its Affiliates, and their Representatives (each, a “</w:t>
      </w:r>
      <w:r>
        <w:rPr>
          <w:rFonts w:ascii="Arial" w:cs="Arial" w:eastAsia="Arial" w:hAnsi="Arial"/>
          <w:sz w:val="19"/>
          <w:szCs w:val="19"/>
          <w:u w:val="single" w:color="auto"/>
          <w:color w:val="auto"/>
        </w:rPr>
        <w:t>Seller Indemnified Party</w:t>
      </w:r>
      <w:r>
        <w:rPr>
          <w:rFonts w:ascii="Arial" w:cs="Arial" w:eastAsia="Arial" w:hAnsi="Arial"/>
          <w:sz w:val="19"/>
          <w:szCs w:val="19"/>
          <w:color w:val="auto"/>
        </w:rPr>
        <w:t>”) against any and all Losses incurred by such Seller Indemnified Party, to the extent arising or resulting from any of the following:</w:t>
      </w:r>
    </w:p>
    <w:p>
      <w:pPr>
        <w:spacing w:after="0" w:line="133" w:lineRule="exact"/>
        <w:rPr>
          <w:rFonts w:ascii="Arial" w:cs="Arial" w:eastAsia="Arial" w:hAnsi="Arial"/>
          <w:sz w:val="19"/>
          <w:szCs w:val="19"/>
          <w:color w:val="auto"/>
        </w:rPr>
      </w:pPr>
    </w:p>
    <w:p>
      <w:pPr>
        <w:ind w:left="3460" w:hanging="860"/>
        <w:spacing w:after="0"/>
        <w:tabs>
          <w:tab w:leader="none" w:pos="34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any breach of any representation or warranty made by Buyer in the Transaction</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Documents; and</w:t>
      </w:r>
    </w:p>
    <w:p>
      <w:pPr>
        <w:spacing w:after="0" w:line="188" w:lineRule="exact"/>
        <w:rPr>
          <w:rFonts w:ascii="Arial" w:cs="Arial" w:eastAsia="Arial" w:hAnsi="Arial"/>
          <w:sz w:val="22"/>
          <w:szCs w:val="22"/>
          <w:color w:val="auto"/>
        </w:rPr>
      </w:pPr>
    </w:p>
    <w:p>
      <w:pPr>
        <w:ind w:left="3520" w:hanging="920"/>
        <w:spacing w:after="0"/>
        <w:tabs>
          <w:tab w:leader="none" w:pos="3520" w:val="left"/>
        </w:tabs>
        <w:numPr>
          <w:ilvl w:val="1"/>
          <w:numId w:val="51"/>
        </w:numPr>
        <w:rPr>
          <w:rFonts w:ascii="Arial" w:cs="Arial" w:eastAsia="Arial" w:hAnsi="Arial"/>
          <w:sz w:val="21"/>
          <w:szCs w:val="21"/>
          <w:color w:val="auto"/>
        </w:rPr>
      </w:pPr>
      <w:r>
        <w:rPr>
          <w:rFonts w:ascii="Arial" w:cs="Arial" w:eastAsia="Arial" w:hAnsi="Arial"/>
          <w:sz w:val="21"/>
          <w:szCs w:val="21"/>
          <w:color w:val="auto"/>
        </w:rPr>
        <w:t>any breach of any covenant or agreement of Buyer contained in the Transaction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Documents.</w:t>
      </w:r>
    </w:p>
    <w:p>
      <w:pPr>
        <w:spacing w:after="0" w:line="188"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u w:val="single" w:color="auto"/>
          <w:color w:val="auto"/>
        </w:rPr>
        <w:t>Procedures Relating to Indemnification for Third Party Claims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3" w:lineRule="auto"/>
        <w:tabs>
          <w:tab w:leader="none" w:pos="2615"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Notice of Third Party Claim</w:t>
      </w:r>
      <w:r>
        <w:rPr>
          <w:rFonts w:ascii="Arial" w:cs="Arial" w:eastAsia="Arial" w:hAnsi="Arial"/>
          <w:sz w:val="19"/>
          <w:szCs w:val="19"/>
          <w:color w:val="auto"/>
        </w:rPr>
        <w:t>. In order for a party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to be entitled to any</w:t>
      </w:r>
      <w:r>
        <w:rPr>
          <w:rFonts w:ascii="Arial" w:cs="Arial" w:eastAsia="Arial" w:hAnsi="Arial"/>
          <w:sz w:val="19"/>
          <w:szCs w:val="19"/>
          <w:i w:val="1"/>
          <w:iCs w:val="1"/>
          <w:color w:val="auto"/>
        </w:rPr>
        <w:t xml:space="preserve"> </w:t>
      </w:r>
      <w:r>
        <w:rPr>
          <w:rFonts w:ascii="Arial" w:cs="Arial" w:eastAsia="Arial" w:hAnsi="Arial"/>
          <w:sz w:val="19"/>
          <w:szCs w:val="19"/>
          <w:color w:val="auto"/>
        </w:rPr>
        <w:t>indemnification under this ARTICLE VIII in respect of Losses arising out of or involving a claim or demand made by any Person other than Buyer or Seller against a Buyer Indemnified Party or a Seller Indemnified Party, as applicable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the Indemnified Party must notify the party from whom indemnification is sought under this ARTICLE VIII (the “</w:t>
      </w:r>
      <w:r>
        <w:rPr>
          <w:rFonts w:ascii="Arial" w:cs="Arial" w:eastAsia="Arial" w:hAnsi="Arial"/>
          <w:sz w:val="19"/>
          <w:szCs w:val="19"/>
          <w:u w:val="single" w:color="auto"/>
          <w:color w:val="auto"/>
        </w:rPr>
        <w:t>Indemnifying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xml:space="preserve">”) promptly in writing (including in such notice a brief description of the Third Party Claim, including damages sought or estimated, to the extent actually known or reasonably capable of estimation by the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to promptly provide such notice shall not affect the indemnification provided under this ARTICLE VIII except to the extent that the Indemnifying Party has been actually prejudiced as a result of such failure. Thereafter, the Indemnified Party shall deliver to the Indemnifying Party, promptly after the Indemnified Party’s receipt thereof, copies of all documents (including court papers) received by the Indemnified Party relating to the Third Party Claim.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3" w:name="page84"/>
    <w:bookmarkEnd w:id="83"/>
    <w:p>
      <w:pPr>
        <w:jc w:val="both"/>
        <w:ind w:firstLine="1735"/>
        <w:spacing w:after="0" w:line="271" w:lineRule="auto"/>
        <w:tabs>
          <w:tab w:leader="none" w:pos="2627"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Defense of Third Party Claims</w:t>
      </w:r>
      <w:r>
        <w:rPr>
          <w:rFonts w:ascii="Arial" w:cs="Arial" w:eastAsia="Arial" w:hAnsi="Arial"/>
          <w:sz w:val="19"/>
          <w:szCs w:val="19"/>
          <w:color w:val="auto"/>
        </w:rPr>
        <w:t>. The Indemnifying Party shall be entitled to participate in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defense of the Third Party Claim and, if it so chooses, to assume the defense thereof, at its own expense, with counsel selected by the Indemnifying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counsel is not reasonably objected to by the Indemnified Party. If the Indemnifying Party elects to assume the defense of any Third Party Claim, the Indemnifying Party shall not be liable to the Indemnified Party for legal expenses subsequently incurred by the Indemnified Party in connection with the defense thereof, except that, if the Indemnifying Party and the Indemnified Party have conflicting interests or different defenses available with respect to such Third Party Claim, the Indemnified Party may hire its own separate counsel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counsel is not reasonably objected to by the Indemnifying Party) with respect to such Third Party Claim and the related action or suit, and the reasonable fees and expenses of such counsel shall be considered Losses for purposes of this Agreement. The Indemnifying Party shall permit the Indemnified Party to participate in, but not control, the defense of any such action or suit through counsel chosen by the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counsel is not reasonably objected to by the Indemnifying Party and, except in the circumstances described in the immediately preceding sentence, the fees and expenses of such counsel shall be borne by the Indemnified Party. The Indemnifying Party shall be liable for the reasonable fees and expenses of counsel employed by the Indemnified Party in the defense of a Third Party Claim (which shall all be considered Losses for purposes of this Agreement) for any period during which the Indemnifying Party has not assumed the defense thereof (other than during the period prior to the time the Indemnified Party shall have notified the Indemnifying Party of such Third Party Claim).</w:t>
      </w:r>
    </w:p>
    <w:p>
      <w:pPr>
        <w:spacing w:after="0" w:line="156" w:lineRule="exact"/>
        <w:rPr>
          <w:rFonts w:ascii="Arial" w:cs="Arial" w:eastAsia="Arial" w:hAnsi="Arial"/>
          <w:sz w:val="19"/>
          <w:szCs w:val="19"/>
          <w:color w:val="auto"/>
        </w:rPr>
      </w:pPr>
    </w:p>
    <w:p>
      <w:pPr>
        <w:jc w:val="both"/>
        <w:ind w:firstLine="1735"/>
        <w:spacing w:after="0" w:line="272" w:lineRule="auto"/>
        <w:tabs>
          <w:tab w:leader="none" w:pos="2615"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Cooperation</w:t>
      </w:r>
      <w:r>
        <w:rPr>
          <w:rFonts w:ascii="Arial" w:cs="Arial" w:eastAsia="Arial" w:hAnsi="Arial"/>
          <w:sz w:val="19"/>
          <w:szCs w:val="19"/>
          <w:color w:val="auto"/>
        </w:rPr>
        <w:t>. The parties hereto shall cooperate in the defense or prosecution of any Third Party</w:t>
      </w:r>
      <w:r>
        <w:rPr>
          <w:rFonts w:ascii="Arial" w:cs="Arial" w:eastAsia="Arial" w:hAnsi="Arial"/>
          <w:sz w:val="19"/>
          <w:szCs w:val="19"/>
          <w:i w:val="1"/>
          <w:iCs w:val="1"/>
          <w:color w:val="auto"/>
        </w:rPr>
        <w:t xml:space="preserve"> </w:t>
      </w:r>
      <w:r>
        <w:rPr>
          <w:rFonts w:ascii="Arial" w:cs="Arial" w:eastAsia="Arial" w:hAnsi="Arial"/>
          <w:sz w:val="19"/>
          <w:szCs w:val="19"/>
          <w:color w:val="auto"/>
        </w:rPr>
        <w:t>Claim, with such cooperation to include (i) the retention of and the provision to the Indemnifying Party of records and information that are reasonably relevant to such Third Party Claim and (ii) the making available of employees on a mutually convenient basis for providing additional information and explanation of any material provided hereunder. Neither the Indemnified Party nor the Indemnifying Party shall consent (such consent not to be unreasonably withheld or delayed) to the entry of any judgment, settlement, compromise or discharge of such Third Party Claim without the prior written consent of the other; provided that the consent of the Indemnified Party shall not be required if such judgment, settlement, compromise or discharge (A) does not involve any non-monetary penalties (other than customary and reasonable confidentiality obligations relating to such claim, judgment, settlement, compromise or discharge), (B) results in the complete and unconditional release of the Indemnified Party from all liabilities arising out of, relating to or in connection with such Third Party Claim and (C) does not involve a finding or admission of any fault, culpability, failure to act, violation of any law, rule, regulation or judgment, or the rights of any Person, and has no effect on any other claims that may be made against the Indemnified Party.</w:t>
      </w:r>
    </w:p>
    <w:p>
      <w:pPr>
        <w:spacing w:after="0" w:line="161" w:lineRule="exact"/>
        <w:rPr>
          <w:sz w:val="20"/>
          <w:szCs w:val="20"/>
          <w:color w:val="auto"/>
        </w:rPr>
      </w:pPr>
    </w:p>
    <w:p>
      <w:pPr>
        <w:jc w:val="both"/>
        <w:ind w:firstLine="1512"/>
        <w:spacing w:after="0" w:line="235" w:lineRule="auto"/>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Procedures Relating to Indemnification for Other Claims</w:t>
      </w:r>
      <w:r>
        <w:rPr>
          <w:rFonts w:ascii="Arial" w:cs="Arial" w:eastAsia="Arial" w:hAnsi="Arial"/>
          <w:sz w:val="22"/>
          <w:szCs w:val="22"/>
          <w:color w:val="auto"/>
        </w:rPr>
        <w:t xml:space="preserve">. In order for an Indemnified Party to be entitled to any indemnification under this ARTICLE VIII in respect of Losses that do not arise out of or involve a Third Party Claim, the Indemnified Party must notify the Indemnifying Party promptly in writing (including in such notice a brief description of the claim for indemnification and the Loss, including damages sought or estimated, to the extent actually known or reasonably capable of estimation by the Indemnified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failure to promptly provide such notice shall not affect the indemnification provided under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4" w:name="page85"/>
    <w:bookmarkEnd w:id="84"/>
    <w:p>
      <w:pPr>
        <w:spacing w:after="0"/>
        <w:rPr>
          <w:sz w:val="20"/>
          <w:szCs w:val="20"/>
          <w:color w:val="auto"/>
        </w:rPr>
      </w:pPr>
      <w:r>
        <w:rPr>
          <w:rFonts w:ascii="Arial" w:cs="Arial" w:eastAsia="Arial" w:hAnsi="Arial"/>
          <w:sz w:val="19"/>
          <w:szCs w:val="19"/>
          <w:color w:val="auto"/>
        </w:rPr>
        <w:t>this ARTICLE VIII except to the extent that the Indemnifying Party has been actually prejudiced as a result of such failure.</w:t>
      </w:r>
    </w:p>
    <w:p>
      <w:pPr>
        <w:spacing w:after="0" w:line="241" w:lineRule="exact"/>
        <w:rPr>
          <w:sz w:val="20"/>
          <w:szCs w:val="20"/>
          <w:color w:val="auto"/>
        </w:rPr>
      </w:pPr>
    </w:p>
    <w:p>
      <w:pPr>
        <w:jc w:val="both"/>
        <w:ind w:firstLine="1512"/>
        <w:spacing w:after="0" w:line="248" w:lineRule="auto"/>
        <w:rPr>
          <w:sz w:val="20"/>
          <w:szCs w:val="20"/>
          <w:color w:val="auto"/>
        </w:rPr>
      </w:pPr>
      <w:r>
        <w:rPr>
          <w:rFonts w:ascii="Arial" w:cs="Arial" w:eastAsia="Arial" w:hAnsi="Arial"/>
          <w:sz w:val="21"/>
          <w:szCs w:val="21"/>
          <w:color w:val="auto"/>
        </w:rPr>
        <w:t xml:space="preserve">Section 8.4 </w:t>
      </w:r>
      <w:r>
        <w:rPr>
          <w:rFonts w:ascii="Arial" w:cs="Arial" w:eastAsia="Arial" w:hAnsi="Arial"/>
          <w:sz w:val="21"/>
          <w:szCs w:val="21"/>
          <w:u w:val="single" w:color="auto"/>
          <w:color w:val="auto"/>
        </w:rPr>
        <w:t>Limitations on Indemnification</w:t>
      </w:r>
      <w:r>
        <w:rPr>
          <w:rFonts w:ascii="Arial" w:cs="Arial" w:eastAsia="Arial" w:hAnsi="Arial"/>
          <w:sz w:val="21"/>
          <w:szCs w:val="21"/>
          <w:color w:val="auto"/>
        </w:rPr>
        <w:t xml:space="preserve">. Notwithstanding anything in this Agreement to the contrary, the aggregate amount of all Losses for which Seller or Buyer shall be liable hereunder pursuant to Section 8.1(a)(i) or Section 8.1(b)(i), respectively, shall not exceed an amount equal to the sum of: (a) 190% of the Purchase Price, minus the Royalty Payments actually received by Buyer, and (b) fees and expenses incurred by Buyer in enforcing its rights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limitations set forth in this Section 8.4 shall not apply to breaches of any Fundamental Representations or Losses arising out of any fraud, intentional misrepresentation or willful misconduct.</w:t>
      </w:r>
    </w:p>
    <w:p>
      <w:pPr>
        <w:spacing w:after="0" w:line="177" w:lineRule="exact"/>
        <w:rPr>
          <w:sz w:val="20"/>
          <w:szCs w:val="20"/>
          <w:color w:val="auto"/>
        </w:rPr>
      </w:pPr>
    </w:p>
    <w:p>
      <w:pPr>
        <w:jc w:val="both"/>
        <w:ind w:firstLine="1512"/>
        <w:spacing w:after="0" w:line="245" w:lineRule="auto"/>
        <w:rPr>
          <w:sz w:val="20"/>
          <w:szCs w:val="20"/>
          <w:color w:val="auto"/>
        </w:rPr>
      </w:pPr>
      <w:r>
        <w:rPr>
          <w:rFonts w:ascii="Arial" w:cs="Arial" w:eastAsia="Arial" w:hAnsi="Arial"/>
          <w:sz w:val="21"/>
          <w:szCs w:val="21"/>
          <w:color w:val="auto"/>
        </w:rPr>
        <w:t xml:space="preserve">Section 8.5 </w:t>
      </w:r>
      <w:r>
        <w:rPr>
          <w:rFonts w:ascii="Arial" w:cs="Arial" w:eastAsia="Arial" w:hAnsi="Arial"/>
          <w:sz w:val="21"/>
          <w:szCs w:val="21"/>
          <w:u w:val="single" w:color="auto"/>
          <w:color w:val="auto"/>
        </w:rPr>
        <w:t>Survival of Representations and Warranties</w:t>
      </w:r>
      <w:r>
        <w:rPr>
          <w:rFonts w:ascii="Arial" w:cs="Arial" w:eastAsia="Arial" w:hAnsi="Arial"/>
          <w:sz w:val="21"/>
          <w:szCs w:val="21"/>
          <w:color w:val="auto"/>
        </w:rPr>
        <w:t xml:space="preserve">. The representations and warranties contained in this Agreement shall survive the Closing solely for purposes of Section 8.1 and shall terminate on the date that is the third anniversary of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the representations and warranties in Sections 4.1, 4.2, 4.3, 4.4, 4.8, 4.11, 4.12, 5.1, 5.2, 5.3, 5.4, 5.7 and 5.9 (the “</w:t>
      </w:r>
      <w:r>
        <w:rPr>
          <w:rFonts w:ascii="Arial" w:cs="Arial" w:eastAsia="Arial" w:hAnsi="Arial"/>
          <w:sz w:val="21"/>
          <w:szCs w:val="21"/>
          <w:u w:val="single" w:color="auto"/>
          <w:color w:val="auto"/>
        </w:rPr>
        <w:t>Fundamental Representations</w:t>
      </w:r>
      <w:r>
        <w:rPr>
          <w:rFonts w:ascii="Arial" w:cs="Arial" w:eastAsia="Arial" w:hAnsi="Arial"/>
          <w:sz w:val="21"/>
          <w:szCs w:val="21"/>
          <w:color w:val="auto"/>
        </w:rPr>
        <w:t>”) shall survive until ninety (90) days following the expiration of all applicable statutes of limitations (giving effect to any waiver, mitigation or extension thereof). No party hereto shall have any liability or obligation of any nature with respect to any representation or warranty after the termination thereof, unless the other party hereto shall have delivered a notice to such party, pursuant to Section 8.2(a) or Section 8.3, claiming such a liability or obligation under Section 8.1, prior to such third anniversary or prior to the expiration of such ninety (90)-day period, as applicable.</w:t>
      </w:r>
    </w:p>
    <w:p>
      <w:pPr>
        <w:spacing w:after="0" w:line="184" w:lineRule="exact"/>
        <w:rPr>
          <w:sz w:val="20"/>
          <w:szCs w:val="20"/>
          <w:color w:val="auto"/>
        </w:rPr>
      </w:pPr>
    </w:p>
    <w:p>
      <w:pPr>
        <w:jc w:val="both"/>
        <w:ind w:firstLine="1512"/>
        <w:spacing w:after="0" w:line="271" w:lineRule="auto"/>
        <w:rPr>
          <w:sz w:val="20"/>
          <w:szCs w:val="20"/>
          <w:color w:val="auto"/>
        </w:rPr>
      </w:pPr>
      <w:r>
        <w:rPr>
          <w:rFonts w:ascii="Arial" w:cs="Arial" w:eastAsia="Arial" w:hAnsi="Arial"/>
          <w:sz w:val="19"/>
          <w:szCs w:val="19"/>
          <w:color w:val="auto"/>
        </w:rPr>
        <w:t xml:space="preserve">Section 8.6 </w:t>
      </w:r>
      <w:r>
        <w:rPr>
          <w:rFonts w:ascii="Arial" w:cs="Arial" w:eastAsia="Arial" w:hAnsi="Arial"/>
          <w:sz w:val="19"/>
          <w:szCs w:val="19"/>
          <w:u w:val="single" w:color="auto"/>
          <w:color w:val="auto"/>
        </w:rPr>
        <w:t>No Implied Representations and Warranties</w:t>
      </w:r>
      <w:r>
        <w:rPr>
          <w:rFonts w:ascii="Arial" w:cs="Arial" w:eastAsia="Arial" w:hAnsi="Arial"/>
          <w:sz w:val="19"/>
          <w:szCs w:val="19"/>
          <w:color w:val="auto"/>
        </w:rPr>
        <w:t>. Buyer acknowledges and agrees that, other than the representations and warranties of Seller specifically contained in ARTICLE IV, there are no representations or warranties of Seller or any other Person either expressed or implied with respect to the Royalty Payments, the Purchased Assets or the License Agreement or the transactions contemplated by the Transaction Documents or the License Agreement and that it does not rely on, and shall have no remedies in respect of, any representation or warranty not specifically set forth in ARTICLE IV, except in the case of fraud, intentional misrepresentation or willful misconduct. Except in the case of fraud, intentional misrepresentation or willful misconduct, Buyer acknowledges and agrees that (a) Buyer, together with its Affiliates and Representatives, have made their own investigation of the Royalty Payments, the Purchased Assets, the License Agreement and the transactions contemplated by the Transaction Documents and the License Agreement and are not relying on, and shall have no remedies in respect of, any implied warranties or upon any representation or warranty whatsoever as to the future amount or potential amount of the Royalty Payments and the Purchased Assets, or as to the creditworthiness of Pfizer (or any of its Affiliates) and (b) except as expressly set forth in any representation or warranty in ARTICLE IV, Buyer shall have no claim or right regarding losses or damages pursuant to this ARTICLE VIII (or otherwise) with respect to any information, documents or materials (including the LEK data and report) furnished or made available to Buyer or any of its Affiliates or its or its Affiliates’ Representatives in any data room, presentation, interview or in any other form or manner relating to the transactions contemplated by the Transaction Documents or the License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5" w:name="page86"/>
    <w:bookmarkEnd w:id="85"/>
    <w:p>
      <w:pPr>
        <w:jc w:val="both"/>
        <w:ind w:firstLine="1512"/>
        <w:spacing w:after="0" w:line="236" w:lineRule="auto"/>
        <w:rPr>
          <w:sz w:val="20"/>
          <w:szCs w:val="20"/>
          <w:color w:val="auto"/>
        </w:rPr>
      </w:pPr>
      <w:r>
        <w:rPr>
          <w:rFonts w:ascii="Arial" w:cs="Arial" w:eastAsia="Arial" w:hAnsi="Arial"/>
          <w:sz w:val="22"/>
          <w:szCs w:val="22"/>
          <w:color w:val="auto"/>
        </w:rPr>
        <w:t xml:space="preserve">Section 8.7 </w:t>
      </w:r>
      <w:r>
        <w:rPr>
          <w:rFonts w:ascii="Arial" w:cs="Arial" w:eastAsia="Arial" w:hAnsi="Arial"/>
          <w:sz w:val="22"/>
          <w:szCs w:val="22"/>
          <w:u w:val="single" w:color="auto"/>
          <w:color w:val="auto"/>
        </w:rPr>
        <w:t>Exclusive Remedy</w:t>
      </w:r>
      <w:r>
        <w:rPr>
          <w:rFonts w:ascii="Arial" w:cs="Arial" w:eastAsia="Arial" w:hAnsi="Arial"/>
          <w:sz w:val="22"/>
          <w:szCs w:val="22"/>
          <w:color w:val="auto"/>
        </w:rPr>
        <w:t>. Other than for breaches of any covenants or agreements set forth in Section 6.1, the parties hereto acknowledge and agree that, from and after the Closing, this ARTICLE VIII shall provide such parties’ sole and exclusive remedy with respect to any breached representation or warranty set forth in the Transaction Documents, except that any such claim or matter based upon bad faith, gross negligence or willful misconduct shall not be subject to or limited by this ARTICLE VIII.</w:t>
      </w:r>
    </w:p>
    <w:p>
      <w:pPr>
        <w:spacing w:after="0" w:line="187" w:lineRule="exact"/>
        <w:rPr>
          <w:sz w:val="20"/>
          <w:szCs w:val="20"/>
          <w:color w:val="auto"/>
        </w:rPr>
      </w:pPr>
    </w:p>
    <w:p>
      <w:pPr>
        <w:jc w:val="both"/>
        <w:ind w:firstLine="1512"/>
        <w:spacing w:after="0" w:line="271" w:lineRule="auto"/>
        <w:rPr>
          <w:sz w:val="20"/>
          <w:szCs w:val="20"/>
          <w:color w:val="auto"/>
        </w:rPr>
      </w:pPr>
      <w:r>
        <w:rPr>
          <w:rFonts w:ascii="Arial" w:cs="Arial" w:eastAsia="Arial" w:hAnsi="Arial"/>
          <w:sz w:val="19"/>
          <w:szCs w:val="19"/>
          <w:color w:val="auto"/>
        </w:rPr>
        <w:t xml:space="preserve">Section 8.8 </w:t>
      </w:r>
      <w:r>
        <w:rPr>
          <w:rFonts w:ascii="Arial" w:cs="Arial" w:eastAsia="Arial" w:hAnsi="Arial"/>
          <w:sz w:val="19"/>
          <w:szCs w:val="19"/>
          <w:u w:val="single" w:color="auto"/>
          <w:color w:val="auto"/>
        </w:rPr>
        <w:t>Limitations on Damages</w:t>
      </w:r>
      <w:r>
        <w:rPr>
          <w:rFonts w:ascii="Arial" w:cs="Arial" w:eastAsia="Arial" w:hAnsi="Arial"/>
          <w:sz w:val="19"/>
          <w:szCs w:val="19"/>
          <w:color w:val="auto"/>
        </w:rPr>
        <w:t>. Notwithstanding anything to the contrary in this Agreement or any other Transaction Document, in no event shall either party hereto be liable (including, without limitation, under Section 8.1) for any (a) special, indirect, incidental, exemplary, punitive, multiple or consequential damages or (b) loss of use, business interruption, loss of any contract or other business opportunity or good will, in each case, of the other party hereto (other than any such damages or losses for the net present value of all expected payments to Buyer hereunder or occasioned by any breach of the covenants or agreements set forth in Section 6.1), whether or not caused by or resulting from the actions of such party or the breach of its covenants, agreements, representations or warranties under any of the Transaction Documents (except as aforesaid) and whether in contract, tort or breach of statutory duty or otherwise, even if such party has been advised of the possibility of such damages. In connection with the foregoing, the parties hereto acknowledge and agree that (i) Buyer’s damages, if any, for any such action or claim will include Losses for Royalty Payments that Buyer was entitled to receive or would have received absent such breach, in each case in respect of its ownership of the Royalty Payments, as well as expenses incurred in connection with enforcement of this Agreement, and (ii) Buyer shall be entitled to make claims for all such missing, delayed or diminished Royalty Payments as Losses hereunder, and such missing, delayed or diminished payments shall not be deemed (A) special, indirect, incidental, exemplary, punitive, multiple or consequential damages or (B) loss of use, business interruption, loss of any contract or other business opportunity or good will.</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6" w:name="page87"/>
    <w:bookmarkEnd w:id="86"/>
    <w:p>
      <w:pPr>
        <w:ind w:left="4700"/>
        <w:spacing w:after="0"/>
        <w:rPr>
          <w:sz w:val="20"/>
          <w:szCs w:val="20"/>
          <w:color w:val="auto"/>
        </w:rPr>
      </w:pPr>
      <w:r>
        <w:rPr>
          <w:rFonts w:ascii="Arial" w:cs="Arial" w:eastAsia="Arial" w:hAnsi="Arial"/>
          <w:sz w:val="22"/>
          <w:szCs w:val="22"/>
          <w:u w:val="single" w:color="auto"/>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jc w:val="both"/>
        <w:ind w:firstLine="1512"/>
        <w:spacing w:after="0" w:line="274" w:lineRule="auto"/>
        <w:rPr>
          <w:sz w:val="20"/>
          <w:szCs w:val="20"/>
          <w:color w:val="auto"/>
        </w:rPr>
      </w:pPr>
      <w:r>
        <w:rPr>
          <w:rFonts w:ascii="Arial" w:cs="Arial" w:eastAsia="Arial" w:hAnsi="Arial"/>
          <w:sz w:val="21"/>
          <w:szCs w:val="21"/>
          <w:color w:val="auto"/>
        </w:rPr>
        <w:t xml:space="preserve">Section 9.1 </w:t>
      </w:r>
      <w:r>
        <w:rPr>
          <w:rFonts w:ascii="Arial" w:cs="Arial" w:eastAsia="Arial" w:hAnsi="Arial"/>
          <w:sz w:val="21"/>
          <w:szCs w:val="21"/>
          <w:u w:val="single" w:color="auto"/>
          <w:color w:val="auto"/>
        </w:rPr>
        <w:t>Headings</w:t>
      </w:r>
      <w:r>
        <w:rPr>
          <w:rFonts w:ascii="Arial" w:cs="Arial" w:eastAsia="Arial" w:hAnsi="Arial"/>
          <w:sz w:val="21"/>
          <w:szCs w:val="21"/>
          <w:color w:val="auto"/>
        </w:rPr>
        <w:t>. The captions to the Articles, Sections and subsections hereof are not a part of this Agreement but are for convenience only and shall not be deemed to limit or otherwise affect the construction thereof.</w:t>
      </w:r>
    </w:p>
    <w:p>
      <w:pPr>
        <w:spacing w:after="0" w:line="151" w:lineRule="exact"/>
        <w:rPr>
          <w:sz w:val="20"/>
          <w:szCs w:val="20"/>
          <w:color w:val="auto"/>
        </w:rPr>
      </w:pPr>
    </w:p>
    <w:p>
      <w:pPr>
        <w:jc w:val="both"/>
        <w:ind w:right="20" w:firstLine="1512"/>
        <w:spacing w:after="0"/>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Agreement shall be in writing and shall be sent by email with PDF attachment, courier or personal delivery to the following addresses, or to such other addresses as shall be designated from time to time by a party hereto in accordance with this Section 9.2.</w:t>
      </w:r>
    </w:p>
    <w:p>
      <w:pPr>
        <w:spacing w:after="0" w:line="213" w:lineRule="exact"/>
        <w:rPr>
          <w:sz w:val="20"/>
          <w:szCs w:val="20"/>
          <w:color w:val="auto"/>
        </w:rPr>
      </w:pPr>
    </w:p>
    <w:tbl>
      <w:tblPr>
        <w:tblLayout w:type="fixed"/>
        <w:tblInd w:w="700" w:type="dxa"/>
        <w:tblCellMar>
          <w:top w:w="0" w:type="dxa"/>
          <w:left w:w="0" w:type="dxa"/>
          <w:bottom w:w="0" w:type="dxa"/>
          <w:right w:w="0" w:type="dxa"/>
        </w:tblCellMar>
      </w:tblPr>
      <w:tr>
        <w:trPr>
          <w:trHeight w:val="264"/>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If to:</w:t>
            </w:r>
          </w:p>
        </w:tc>
        <w:tc>
          <w:tcPr>
            <w:tcW w:w="8420" w:type="dxa"/>
            <w:vAlign w:val="bottom"/>
            <w:tcBorders>
              <w:bottom w:val="single" w:sz="8" w:color="auto"/>
            </w:tcBorders>
          </w:tcPr>
          <w:p>
            <w:pPr>
              <w:ind w:left="2320"/>
              <w:spacing w:after="0"/>
              <w:rPr>
                <w:sz w:val="20"/>
                <w:szCs w:val="20"/>
                <w:color w:val="auto"/>
              </w:rPr>
            </w:pPr>
            <w:r>
              <w:rPr>
                <w:rFonts w:ascii="Arial" w:cs="Arial" w:eastAsia="Arial" w:hAnsi="Arial"/>
                <w:sz w:val="22"/>
                <w:szCs w:val="22"/>
                <w:color w:val="auto"/>
              </w:rPr>
              <w:t>Address:</w:t>
            </w:r>
          </w:p>
        </w:tc>
        <w:tc>
          <w:tcPr>
            <w:tcW w:w="700" w:type="dxa"/>
            <w:vAlign w:val="bottom"/>
          </w:tcPr>
          <w:p>
            <w:pPr>
              <w:spacing w:after="0"/>
              <w:rPr>
                <w:sz w:val="22"/>
                <w:szCs w:val="22"/>
                <w:color w:val="auto"/>
              </w:rPr>
            </w:pPr>
          </w:p>
        </w:tc>
      </w:tr>
      <w:tr>
        <w:trPr>
          <w:trHeight w:val="431"/>
        </w:trPr>
        <w:tc>
          <w:tcPr>
            <w:tcW w:w="1420" w:type="dxa"/>
            <w:vAlign w:val="bottom"/>
          </w:tcPr>
          <w:p>
            <w:pPr>
              <w:ind w:left="20"/>
              <w:spacing w:after="0"/>
              <w:rPr>
                <w:sz w:val="20"/>
                <w:szCs w:val="20"/>
                <w:color w:val="auto"/>
              </w:rPr>
            </w:pPr>
            <w:r>
              <w:rPr>
                <w:rFonts w:ascii="Arial" w:cs="Arial" w:eastAsia="Arial" w:hAnsi="Arial"/>
                <w:sz w:val="22"/>
                <w:szCs w:val="22"/>
                <w:color w:val="auto"/>
              </w:rPr>
              <w:t>Seller</w:t>
            </w:r>
          </w:p>
        </w:tc>
        <w:tc>
          <w:tcPr>
            <w:tcW w:w="9120" w:type="dxa"/>
            <w:vAlign w:val="bottom"/>
            <w:gridSpan w:val="2"/>
          </w:tcPr>
          <w:p>
            <w:pPr>
              <w:ind w:left="2320"/>
              <w:spacing w:after="0"/>
              <w:rPr>
                <w:sz w:val="20"/>
                <w:szCs w:val="20"/>
                <w:color w:val="auto"/>
              </w:rPr>
            </w:pPr>
            <w:r>
              <w:rPr>
                <w:rFonts w:ascii="Arial" w:cs="Arial" w:eastAsia="Arial" w:hAnsi="Arial"/>
                <w:sz w:val="22"/>
                <w:szCs w:val="22"/>
                <w:color w:val="auto"/>
              </w:rPr>
              <w:t>Aptevo Therapeutics Inc.</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color w:val="auto"/>
              </w:rPr>
              <w:t>2401 4th Avenue, Suite 1050</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color w:val="auto"/>
              </w:rPr>
              <w:t>Seattle, WA 98121</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i w:val="1"/>
                <w:iCs w:val="1"/>
                <w:color w:val="auto"/>
              </w:rPr>
              <w:t xml:space="preserve">Attention: </w:t>
            </w:r>
            <w:r>
              <w:rPr>
                <w:rFonts w:ascii="Arial" w:cs="Arial" w:eastAsia="Arial" w:hAnsi="Arial"/>
                <w:sz w:val="22"/>
                <w:szCs w:val="22"/>
                <w:color w:val="auto"/>
              </w:rPr>
              <w:t>General Counsel</w:t>
            </w:r>
          </w:p>
        </w:tc>
      </w:tr>
      <w:tr>
        <w:trPr>
          <w:trHeight w:val="274"/>
        </w:trPr>
        <w:tc>
          <w:tcPr>
            <w:tcW w:w="1420" w:type="dxa"/>
            <w:vAlign w:val="bottom"/>
          </w:tcPr>
          <w:p>
            <w:pPr>
              <w:spacing w:after="0"/>
              <w:rPr>
                <w:sz w:val="23"/>
                <w:szCs w:val="23"/>
                <w:color w:val="auto"/>
              </w:rPr>
            </w:pPr>
          </w:p>
        </w:tc>
        <w:tc>
          <w:tcPr>
            <w:tcW w:w="9120" w:type="dxa"/>
            <w:vAlign w:val="bottom"/>
            <w:gridSpan w:val="2"/>
          </w:tcPr>
          <w:p>
            <w:pPr>
              <w:ind w:left="2320"/>
              <w:spacing w:after="0"/>
              <w:rPr>
                <w:sz w:val="20"/>
                <w:szCs w:val="20"/>
                <w:color w:val="auto"/>
              </w:rPr>
            </w:pPr>
            <w:r>
              <w:rPr>
                <w:rFonts w:ascii="Arial" w:cs="Arial" w:eastAsia="Arial" w:hAnsi="Arial"/>
                <w:sz w:val="22"/>
                <w:szCs w:val="22"/>
                <w:color w:val="auto"/>
              </w:rPr>
              <w:t>Email: boussiosh@apvo.com</w:t>
            </w:r>
          </w:p>
        </w:tc>
      </w:tr>
      <w:tr>
        <w:trPr>
          <w:trHeight w:val="455"/>
        </w:trPr>
        <w:tc>
          <w:tcPr>
            <w:tcW w:w="1420" w:type="dxa"/>
            <w:vAlign w:val="bottom"/>
          </w:tcPr>
          <w:p>
            <w:pPr>
              <w:ind w:left="20"/>
              <w:spacing w:after="0"/>
              <w:rPr>
                <w:sz w:val="20"/>
                <w:szCs w:val="20"/>
                <w:color w:val="auto"/>
              </w:rPr>
            </w:pPr>
            <w:r>
              <w:rPr>
                <w:rFonts w:ascii="Arial" w:cs="Arial" w:eastAsia="Arial" w:hAnsi="Arial"/>
                <w:sz w:val="22"/>
                <w:szCs w:val="22"/>
                <w:color w:val="auto"/>
                <w:w w:val="98"/>
              </w:rPr>
              <w:t>with a copy to:</w:t>
            </w:r>
          </w:p>
        </w:tc>
        <w:tc>
          <w:tcPr>
            <w:tcW w:w="9120" w:type="dxa"/>
            <w:vAlign w:val="bottom"/>
            <w:gridSpan w:val="2"/>
          </w:tcPr>
          <w:p>
            <w:pPr>
              <w:ind w:left="2320"/>
              <w:spacing w:after="0"/>
              <w:rPr>
                <w:sz w:val="20"/>
                <w:szCs w:val="20"/>
                <w:color w:val="auto"/>
              </w:rPr>
            </w:pPr>
            <w:r>
              <w:rPr>
                <w:rFonts w:ascii="Arial" w:cs="Arial" w:eastAsia="Arial" w:hAnsi="Arial"/>
                <w:sz w:val="22"/>
                <w:szCs w:val="22"/>
                <w:color w:val="auto"/>
              </w:rPr>
              <w:t>Morgan, Lewis &amp; Bockius, LLP</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color w:val="auto"/>
              </w:rPr>
              <w:t>One Federal Street</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color w:val="auto"/>
              </w:rPr>
              <w:t>Boston, MA 02110</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i w:val="1"/>
                <w:iCs w:val="1"/>
                <w:color w:val="auto"/>
              </w:rPr>
              <w:t xml:space="preserve">Attention: </w:t>
            </w:r>
            <w:r>
              <w:rPr>
                <w:rFonts w:ascii="Arial" w:cs="Arial" w:eastAsia="Arial" w:hAnsi="Arial"/>
                <w:sz w:val="22"/>
                <w:szCs w:val="22"/>
                <w:color w:val="auto"/>
              </w:rPr>
              <w:t>Carl Valenstein</w:t>
            </w:r>
          </w:p>
        </w:tc>
      </w:tr>
      <w:tr>
        <w:trPr>
          <w:trHeight w:val="274"/>
        </w:trPr>
        <w:tc>
          <w:tcPr>
            <w:tcW w:w="1420" w:type="dxa"/>
            <w:vAlign w:val="bottom"/>
          </w:tcPr>
          <w:p>
            <w:pPr>
              <w:spacing w:after="0"/>
              <w:rPr>
                <w:sz w:val="23"/>
                <w:szCs w:val="23"/>
                <w:color w:val="auto"/>
              </w:rPr>
            </w:pPr>
          </w:p>
        </w:tc>
        <w:tc>
          <w:tcPr>
            <w:tcW w:w="9120" w:type="dxa"/>
            <w:vAlign w:val="bottom"/>
            <w:gridSpan w:val="2"/>
          </w:tcPr>
          <w:p>
            <w:pPr>
              <w:ind w:left="2320"/>
              <w:spacing w:after="0"/>
              <w:rPr>
                <w:sz w:val="20"/>
                <w:szCs w:val="20"/>
                <w:color w:val="auto"/>
              </w:rPr>
            </w:pPr>
            <w:r>
              <w:rPr>
                <w:rFonts w:ascii="Arial" w:cs="Arial" w:eastAsia="Arial" w:hAnsi="Arial"/>
                <w:sz w:val="22"/>
                <w:szCs w:val="22"/>
                <w:color w:val="auto"/>
              </w:rPr>
              <w:t>Email:carl.valenstein@morganlewis.com</w:t>
            </w:r>
          </w:p>
        </w:tc>
      </w:tr>
      <w:tr>
        <w:trPr>
          <w:trHeight w:val="428"/>
        </w:trPr>
        <w:tc>
          <w:tcPr>
            <w:tcW w:w="1420" w:type="dxa"/>
            <w:vAlign w:val="bottom"/>
          </w:tcPr>
          <w:p>
            <w:pPr>
              <w:ind w:left="20"/>
              <w:spacing w:after="0"/>
              <w:rPr>
                <w:sz w:val="20"/>
                <w:szCs w:val="20"/>
                <w:color w:val="auto"/>
              </w:rPr>
            </w:pPr>
            <w:r>
              <w:rPr>
                <w:rFonts w:ascii="Arial" w:cs="Arial" w:eastAsia="Arial" w:hAnsi="Arial"/>
                <w:sz w:val="22"/>
                <w:szCs w:val="22"/>
                <w:color w:val="auto"/>
              </w:rPr>
              <w:t>Buyer</w:t>
            </w:r>
          </w:p>
        </w:tc>
        <w:tc>
          <w:tcPr>
            <w:tcW w:w="9120" w:type="dxa"/>
            <w:vAlign w:val="bottom"/>
            <w:gridSpan w:val="2"/>
          </w:tcPr>
          <w:p>
            <w:pPr>
              <w:ind w:left="2320"/>
              <w:spacing w:after="0"/>
              <w:rPr>
                <w:sz w:val="20"/>
                <w:szCs w:val="20"/>
                <w:color w:val="auto"/>
              </w:rPr>
            </w:pPr>
            <w:r>
              <w:rPr>
                <w:rFonts w:ascii="Arial" w:cs="Arial" w:eastAsia="Arial" w:hAnsi="Arial"/>
                <w:sz w:val="22"/>
                <w:szCs w:val="22"/>
                <w:color w:val="auto"/>
              </w:rPr>
              <w:t>HealthCare Royalty Partners IV, L.P.</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color w:val="auto"/>
              </w:rPr>
              <w:t>300 Atlantic Street, Suite 600</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color w:val="auto"/>
              </w:rPr>
              <w:t>Stamford, CT 06901</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i w:val="1"/>
                <w:iCs w:val="1"/>
                <w:color w:val="auto"/>
              </w:rPr>
              <w:t xml:space="preserve">Attention: </w:t>
            </w:r>
            <w:r>
              <w:rPr>
                <w:rFonts w:ascii="Arial" w:cs="Arial" w:eastAsia="Arial" w:hAnsi="Arial"/>
                <w:sz w:val="22"/>
                <w:szCs w:val="22"/>
                <w:color w:val="auto"/>
              </w:rPr>
              <w:t>Clarke B. Futch and Matthew Bullard</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color w:val="auto"/>
              </w:rPr>
              <w:t>Email: Clarke.Futch@hcroyalty.com</w:t>
            </w:r>
          </w:p>
        </w:tc>
      </w:tr>
      <w:tr>
        <w:trPr>
          <w:trHeight w:val="274"/>
        </w:trPr>
        <w:tc>
          <w:tcPr>
            <w:tcW w:w="1420" w:type="dxa"/>
            <w:vAlign w:val="bottom"/>
          </w:tcPr>
          <w:p>
            <w:pPr>
              <w:spacing w:after="0"/>
              <w:rPr>
                <w:sz w:val="23"/>
                <w:szCs w:val="23"/>
                <w:color w:val="auto"/>
              </w:rPr>
            </w:pPr>
          </w:p>
        </w:tc>
        <w:tc>
          <w:tcPr>
            <w:tcW w:w="9120" w:type="dxa"/>
            <w:vAlign w:val="bottom"/>
            <w:gridSpan w:val="2"/>
          </w:tcPr>
          <w:p>
            <w:pPr>
              <w:ind w:left="2320"/>
              <w:spacing w:after="0"/>
              <w:rPr>
                <w:sz w:val="20"/>
                <w:szCs w:val="20"/>
                <w:color w:val="auto"/>
              </w:rPr>
            </w:pPr>
            <w:r>
              <w:rPr>
                <w:rFonts w:ascii="Arial" w:cs="Arial" w:eastAsia="Arial" w:hAnsi="Arial"/>
                <w:sz w:val="22"/>
                <w:szCs w:val="22"/>
                <w:color w:val="auto"/>
              </w:rPr>
              <w:t>Matthew.Bullard@hcroyalty.com</w:t>
            </w:r>
          </w:p>
        </w:tc>
      </w:tr>
      <w:tr>
        <w:trPr>
          <w:trHeight w:val="428"/>
        </w:trPr>
        <w:tc>
          <w:tcPr>
            <w:tcW w:w="1420" w:type="dxa"/>
            <w:vAlign w:val="bottom"/>
          </w:tcPr>
          <w:p>
            <w:pPr>
              <w:ind w:left="20"/>
              <w:spacing w:after="0"/>
              <w:rPr>
                <w:sz w:val="20"/>
                <w:szCs w:val="20"/>
                <w:color w:val="auto"/>
              </w:rPr>
            </w:pPr>
            <w:r>
              <w:rPr>
                <w:rFonts w:ascii="Arial" w:cs="Arial" w:eastAsia="Arial" w:hAnsi="Arial"/>
                <w:sz w:val="22"/>
                <w:szCs w:val="22"/>
                <w:color w:val="auto"/>
                <w:w w:val="98"/>
              </w:rPr>
              <w:t>with a copy to:</w:t>
            </w:r>
          </w:p>
        </w:tc>
        <w:tc>
          <w:tcPr>
            <w:tcW w:w="9120" w:type="dxa"/>
            <w:vAlign w:val="bottom"/>
            <w:gridSpan w:val="2"/>
          </w:tcPr>
          <w:p>
            <w:pPr>
              <w:ind w:left="2320"/>
              <w:spacing w:after="0"/>
              <w:rPr>
                <w:sz w:val="20"/>
                <w:szCs w:val="20"/>
                <w:color w:val="auto"/>
              </w:rPr>
            </w:pPr>
            <w:r>
              <w:rPr>
                <w:rFonts w:ascii="Arial" w:cs="Arial" w:eastAsia="Arial" w:hAnsi="Arial"/>
                <w:sz w:val="22"/>
                <w:szCs w:val="22"/>
                <w:color w:val="auto"/>
              </w:rPr>
              <w:t>HealthCare Royalty Partners IV, L.P.</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color w:val="auto"/>
              </w:rPr>
              <w:t>300 Atlantic Street, Suite 600</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color w:val="auto"/>
              </w:rPr>
              <w:t>Stamford, CT 06901</w:t>
            </w:r>
          </w:p>
        </w:tc>
      </w:tr>
      <w:tr>
        <w:trPr>
          <w:trHeight w:val="243"/>
        </w:trPr>
        <w:tc>
          <w:tcPr>
            <w:tcW w:w="1420" w:type="dxa"/>
            <w:vAlign w:val="bottom"/>
          </w:tcPr>
          <w:p>
            <w:pPr>
              <w:spacing w:after="0"/>
              <w:rPr>
                <w:sz w:val="21"/>
                <w:szCs w:val="21"/>
                <w:color w:val="auto"/>
              </w:rPr>
            </w:pPr>
          </w:p>
        </w:tc>
        <w:tc>
          <w:tcPr>
            <w:tcW w:w="9120" w:type="dxa"/>
            <w:vAlign w:val="bottom"/>
            <w:gridSpan w:val="2"/>
          </w:tcPr>
          <w:p>
            <w:pPr>
              <w:ind w:left="2320"/>
              <w:spacing w:after="0" w:line="243" w:lineRule="exact"/>
              <w:rPr>
                <w:sz w:val="20"/>
                <w:szCs w:val="20"/>
                <w:color w:val="auto"/>
              </w:rPr>
            </w:pPr>
            <w:r>
              <w:rPr>
                <w:rFonts w:ascii="Arial" w:cs="Arial" w:eastAsia="Arial" w:hAnsi="Arial"/>
                <w:sz w:val="22"/>
                <w:szCs w:val="22"/>
                <w:i w:val="1"/>
                <w:iCs w:val="1"/>
                <w:color w:val="auto"/>
              </w:rPr>
              <w:t xml:space="preserve">Attention: </w:t>
            </w:r>
            <w:r>
              <w:rPr>
                <w:rFonts w:ascii="Arial" w:cs="Arial" w:eastAsia="Arial" w:hAnsi="Arial"/>
                <w:sz w:val="22"/>
                <w:szCs w:val="22"/>
                <w:color w:val="auto"/>
              </w:rPr>
              <w:t>Chief Legal Officer</w:t>
            </w:r>
          </w:p>
        </w:tc>
      </w:tr>
      <w:tr>
        <w:trPr>
          <w:trHeight w:val="264"/>
        </w:trPr>
        <w:tc>
          <w:tcPr>
            <w:tcW w:w="1420" w:type="dxa"/>
            <w:vAlign w:val="bottom"/>
            <w:tcBorders>
              <w:bottom w:val="single" w:sz="8" w:color="auto"/>
            </w:tcBorders>
          </w:tcPr>
          <w:p>
            <w:pPr>
              <w:spacing w:after="0"/>
              <w:rPr>
                <w:sz w:val="22"/>
                <w:szCs w:val="22"/>
                <w:color w:val="auto"/>
              </w:rPr>
            </w:pPr>
          </w:p>
        </w:tc>
        <w:tc>
          <w:tcPr>
            <w:tcW w:w="8420" w:type="dxa"/>
            <w:vAlign w:val="bottom"/>
            <w:tcBorders>
              <w:bottom w:val="single" w:sz="8" w:color="auto"/>
            </w:tcBorders>
          </w:tcPr>
          <w:p>
            <w:pPr>
              <w:ind w:left="2320"/>
              <w:spacing w:after="0"/>
              <w:rPr>
                <w:sz w:val="20"/>
                <w:szCs w:val="20"/>
                <w:color w:val="auto"/>
              </w:rPr>
            </w:pPr>
            <w:r>
              <w:rPr>
                <w:rFonts w:ascii="Arial" w:cs="Arial" w:eastAsia="Arial" w:hAnsi="Arial"/>
                <w:sz w:val="22"/>
                <w:szCs w:val="22"/>
                <w:color w:val="auto"/>
              </w:rPr>
              <w:t>Email: Royalty-legal@hcroyalty.com</w:t>
            </w:r>
          </w:p>
        </w:tc>
        <w:tc>
          <w:tcPr>
            <w:tcW w:w="700" w:type="dxa"/>
            <w:vAlign w:val="bottom"/>
          </w:tcPr>
          <w:p>
            <w:pPr>
              <w:spacing w:after="0"/>
              <w:rPr>
                <w:sz w:val="22"/>
                <w:szCs w:val="22"/>
                <w:color w:val="auto"/>
              </w:rPr>
            </w:pPr>
          </w:p>
        </w:tc>
      </w:tr>
      <w:tr>
        <w:trPr>
          <w:trHeight w:val="476"/>
        </w:trPr>
        <w:tc>
          <w:tcPr>
            <w:tcW w:w="1420" w:type="dxa"/>
            <w:vAlign w:val="bottom"/>
          </w:tcPr>
          <w:p>
            <w:pPr>
              <w:ind w:left="180"/>
              <w:spacing w:after="0"/>
              <w:rPr>
                <w:sz w:val="20"/>
                <w:szCs w:val="20"/>
                <w:color w:val="auto"/>
              </w:rPr>
            </w:pPr>
            <w:r>
              <w:rPr>
                <w:rFonts w:ascii="Arial" w:cs="Arial" w:eastAsia="Arial" w:hAnsi="Arial"/>
                <w:sz w:val="22"/>
                <w:szCs w:val="22"/>
                <w:color w:val="auto"/>
              </w:rPr>
              <w:t>All  notices</w:t>
            </w:r>
          </w:p>
        </w:tc>
        <w:tc>
          <w:tcPr>
            <w:tcW w:w="9120" w:type="dxa"/>
            <w:vAlign w:val="bottom"/>
            <w:gridSpan w:val="2"/>
          </w:tcPr>
          <w:p>
            <w:pPr>
              <w:ind w:left="120"/>
              <w:spacing w:after="0"/>
              <w:rPr>
                <w:sz w:val="20"/>
                <w:szCs w:val="20"/>
                <w:color w:val="auto"/>
              </w:rPr>
            </w:pPr>
            <w:r>
              <w:rPr>
                <w:rFonts w:ascii="Arial" w:cs="Arial" w:eastAsia="Arial" w:hAnsi="Arial"/>
                <w:sz w:val="22"/>
                <w:szCs w:val="22"/>
                <w:color w:val="auto"/>
              </w:rPr>
              <w:t>and  communications  under  this  Agreement  shall  be  effective  upon  receipt  by  the</w:t>
            </w:r>
          </w:p>
        </w:tc>
      </w:tr>
    </w:tbl>
    <w:p>
      <w:pPr>
        <w:jc w:val="both"/>
        <w:ind w:right="20"/>
        <w:spacing w:after="0" w:line="236" w:lineRule="auto"/>
        <w:rPr>
          <w:sz w:val="20"/>
          <w:szCs w:val="20"/>
          <w:color w:val="auto"/>
        </w:rPr>
      </w:pPr>
      <w:r>
        <w:rPr>
          <w:rFonts w:ascii="Arial" w:cs="Arial" w:eastAsia="Arial" w:hAnsi="Arial"/>
          <w:sz w:val="22"/>
          <w:szCs w:val="22"/>
          <w:color w:val="auto"/>
        </w:rPr>
        <w:t>addressee. Notwithstanding anything to the contrary in this Section 9.2, all notices and communications under Section 8.2(a) and Section 8.3 and all service of legal process shall be sent by courier or personal delivery.</w:t>
      </w:r>
    </w:p>
    <w:p>
      <w:pPr>
        <w:spacing w:after="0" w:line="187"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u w:val="single" w:color="auto"/>
          <w:color w:val="auto"/>
        </w:rPr>
        <w:t>No Personal Liability</w:t>
      </w:r>
      <w:r>
        <w:rPr>
          <w:rFonts w:ascii="Arial" w:cs="Arial" w:eastAsia="Arial" w:hAnsi="Arial"/>
          <w:sz w:val="19"/>
          <w:szCs w:val="19"/>
          <w:color w:val="auto"/>
        </w:rPr>
        <w:t>. It is expressly understood and agreed by Seller and Buyer that: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7" w:name="page88"/>
    <w:bookmarkEnd w:id="87"/>
    <w:p>
      <w:pPr>
        <w:jc w:val="both"/>
        <w:ind w:firstLine="1735"/>
        <w:spacing w:after="0" w:line="238" w:lineRule="auto"/>
        <w:tabs>
          <w:tab w:leader="none" w:pos="2615" w:val="left"/>
        </w:tabs>
        <w:numPr>
          <w:ilvl w:val="0"/>
          <w:numId w:val="54"/>
        </w:numPr>
        <w:rPr>
          <w:rFonts w:ascii="Arial" w:cs="Arial" w:eastAsia="Arial" w:hAnsi="Arial"/>
          <w:sz w:val="22"/>
          <w:szCs w:val="22"/>
          <w:color w:val="auto"/>
        </w:rPr>
      </w:pPr>
      <w:r>
        <w:rPr>
          <w:rFonts w:ascii="Arial" w:cs="Arial" w:eastAsia="Arial" w:hAnsi="Arial"/>
          <w:sz w:val="22"/>
          <w:szCs w:val="22"/>
          <w:color w:val="auto"/>
        </w:rPr>
        <w:t>each of the representations, warranties, covenants and agreements in the Transaction Documents made on the part of Seller is made by Seller and is not intended to be nor is a personal representation, warranty, covenant or agreement of any other Person, including those Persons named in the definition of “Knowledge of Seller” and any other Representative of Seller or Seller’s Affiliates (the “</w:t>
      </w:r>
      <w:r>
        <w:rPr>
          <w:rFonts w:ascii="Arial" w:cs="Arial" w:eastAsia="Arial" w:hAnsi="Arial"/>
          <w:sz w:val="22"/>
          <w:szCs w:val="22"/>
          <w:u w:val="single" w:color="auto"/>
          <w:color w:val="auto"/>
        </w:rPr>
        <w:t>Non-Warranting Parties</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54"/>
        </w:numPr>
        <w:rPr>
          <w:rFonts w:ascii="Arial" w:cs="Arial" w:eastAsia="Arial" w:hAnsi="Arial"/>
          <w:sz w:val="22"/>
          <w:szCs w:val="22"/>
          <w:color w:val="auto"/>
        </w:rPr>
      </w:pPr>
      <w:r>
        <w:rPr>
          <w:rFonts w:ascii="Arial" w:cs="Arial" w:eastAsia="Arial" w:hAnsi="Arial"/>
          <w:sz w:val="22"/>
          <w:szCs w:val="22"/>
          <w:color w:val="auto"/>
        </w:rPr>
        <w:t>other than Seller, no Person, including the Non-Warranting Parties, shall have any liability whatsoever for breach of any representation, warranty, covenant or agreement made in the Transaction Documents on the part of Seller or in respect of any claim or matter arising out of, relating to or in connection with the Transaction Documents or the transactions contemplated thereby; and</w:t>
      </w:r>
    </w:p>
    <w:p>
      <w:pPr>
        <w:spacing w:after="0" w:line="184" w:lineRule="exact"/>
        <w:rPr>
          <w:rFonts w:ascii="Arial" w:cs="Arial" w:eastAsia="Arial" w:hAnsi="Arial"/>
          <w:sz w:val="22"/>
          <w:szCs w:val="22"/>
          <w:color w:val="auto"/>
        </w:rPr>
      </w:pPr>
    </w:p>
    <w:p>
      <w:pPr>
        <w:ind w:right="20" w:firstLine="1735"/>
        <w:spacing w:after="0" w:line="328" w:lineRule="auto"/>
        <w:tabs>
          <w:tab w:leader="none" w:pos="2615"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provisions of this Section 9.3 are intended to benefit each and every one of the Non-Warranting Parties and shall be enforceable by each and every one of them to the fullest extent permitted by Applicable Law.</w:t>
      </w:r>
    </w:p>
    <w:p>
      <w:pPr>
        <w:spacing w:after="0" w:line="105" w:lineRule="exact"/>
        <w:rPr>
          <w:sz w:val="20"/>
          <w:szCs w:val="20"/>
          <w:color w:val="auto"/>
        </w:rPr>
      </w:pPr>
    </w:p>
    <w:p>
      <w:pPr>
        <w:jc w:val="both"/>
        <w:ind w:firstLine="1512"/>
        <w:spacing w:after="0" w:line="287"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Expenses</w:t>
      </w:r>
      <w:r>
        <w:rPr>
          <w:rFonts w:ascii="Arial" w:cs="Arial" w:eastAsia="Arial" w:hAnsi="Arial"/>
          <w:sz w:val="19"/>
          <w:szCs w:val="19"/>
          <w:color w:val="auto"/>
        </w:rPr>
        <w:t>. Except as otherwise expressly provided in this Agreement or any Transaction Document, each of Seller and Buyer shall bear its own fees and expenses with respect to this Agreement and the Transaction Documents and the transactions contemplated by this Agreement and the Transaction documents, provided, however, that the Seller shall reimburse the Buyer for fees and expenses relating to this Agreement not to exceed $100,000.</w:t>
      </w:r>
    </w:p>
    <w:p>
      <w:pPr>
        <w:spacing w:after="0" w:line="143" w:lineRule="exact"/>
        <w:rPr>
          <w:sz w:val="20"/>
          <w:szCs w:val="20"/>
          <w:color w:val="auto"/>
        </w:rPr>
      </w:pPr>
    </w:p>
    <w:p>
      <w:pPr>
        <w:jc w:val="both"/>
        <w:ind w:firstLine="1512"/>
        <w:spacing w:after="0" w:line="245" w:lineRule="auto"/>
        <w:rPr>
          <w:sz w:val="20"/>
          <w:szCs w:val="20"/>
          <w:color w:val="auto"/>
        </w:rPr>
      </w:pPr>
      <w:r>
        <w:rPr>
          <w:rFonts w:ascii="Arial" w:cs="Arial" w:eastAsia="Arial" w:hAnsi="Arial"/>
          <w:sz w:val="21"/>
          <w:szCs w:val="21"/>
          <w:color w:val="auto"/>
        </w:rPr>
        <w:t xml:space="preserve">Section 9.5 </w:t>
      </w:r>
      <w:r>
        <w:rPr>
          <w:rFonts w:ascii="Arial" w:cs="Arial" w:eastAsia="Arial" w:hAnsi="Arial"/>
          <w:sz w:val="21"/>
          <w:szCs w:val="21"/>
          <w:u w:val="single" w:color="auto"/>
          <w:color w:val="auto"/>
        </w:rPr>
        <w:t>Assignment</w:t>
      </w:r>
      <w:r>
        <w:rPr>
          <w:rFonts w:ascii="Arial" w:cs="Arial" w:eastAsia="Arial" w:hAnsi="Arial"/>
          <w:sz w:val="21"/>
          <w:szCs w:val="21"/>
          <w:color w:val="auto"/>
        </w:rPr>
        <w:t>. The provisions of this Agreement shall be binding upon and inure to the benefit of the parties hereto and their respective successors and permitted assigns. Seller shall not be entitled to assign any of its obligations and rights under this Agreement to any non-Affiliate of Seller without: (a) the prior written consent of Buyer, such consent not to be unreasonably withheld, and (b) requiring any such non-Affiliate to agree in writing to be bound by the terms of this Agreement. Buyer may assign this Agreement and all of Buyer’s rights, interests and obligations hereunder, in whole or in part, provided that the Buyer promptly thereafter notifies the Seller and any such assignee agrees in writing to be bound by the terms of this Agreement. Any purported assignment in violation of this Section 9.5 shall be null and void. For the avoidance of doubt, no assignment by Buyer will operate to expand the obligations of Seller under this Agreement, including with respect to Indemnified Taxes.</w:t>
      </w:r>
    </w:p>
    <w:p>
      <w:pPr>
        <w:spacing w:after="0" w:line="184" w:lineRule="exact"/>
        <w:rPr>
          <w:sz w:val="20"/>
          <w:szCs w:val="20"/>
          <w:color w:val="auto"/>
        </w:rPr>
      </w:pPr>
    </w:p>
    <w:p>
      <w:pPr>
        <w:ind w:left="1520"/>
        <w:spacing w:after="0"/>
        <w:tabs>
          <w:tab w:leader="none" w:pos="312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u w:val="single" w:color="auto"/>
          <w:color w:val="auto"/>
        </w:rPr>
        <w:t>Amendment and Waiver</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tabs>
          <w:tab w:leader="none" w:pos="2615"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This Agreement may be amended, modified or supplemented only in a writing signed by all of the parties hereto. Any provision of this Agreement may be waived only in a writing, which writing may be signed only by the party granting such waiver.</w:t>
      </w:r>
    </w:p>
    <w:p>
      <w:pPr>
        <w:spacing w:after="0" w:line="186" w:lineRule="exact"/>
        <w:rPr>
          <w:rFonts w:ascii="Arial" w:cs="Arial" w:eastAsia="Arial" w:hAnsi="Arial"/>
          <w:sz w:val="22"/>
          <w:szCs w:val="22"/>
          <w:color w:val="auto"/>
        </w:rPr>
      </w:pPr>
    </w:p>
    <w:p>
      <w:pPr>
        <w:jc w:val="both"/>
        <w:ind w:firstLine="1735"/>
        <w:spacing w:after="0" w:line="252" w:lineRule="auto"/>
        <w:tabs>
          <w:tab w:leader="none" w:pos="2627"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8" w:name="page89"/>
    <w:bookmarkEnd w:id="88"/>
    <w:p>
      <w:pPr>
        <w:jc w:val="both"/>
        <w:ind w:firstLine="1512"/>
        <w:spacing w:after="0" w:line="287" w:lineRule="auto"/>
        <w:rPr>
          <w:sz w:val="20"/>
          <w:szCs w:val="20"/>
          <w:color w:val="auto"/>
        </w:rPr>
      </w:pPr>
      <w:r>
        <w:rPr>
          <w:rFonts w:ascii="Arial" w:cs="Arial" w:eastAsia="Arial" w:hAnsi="Arial"/>
          <w:sz w:val="19"/>
          <w:szCs w:val="19"/>
          <w:color w:val="auto"/>
        </w:rPr>
        <w:t xml:space="preserve">Section 9.7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the Exhibits and Schedules attached to this Agreement, sets forth the entire agreement and understanding between the parties hereto as to the subject matter hereof. All express or implied agreements, promises, assurances, arrangements, representations, warranties and understandings as to the subject matter hereof, whether oral or written, heretofore made are superseded by this Agreement.</w:t>
      </w:r>
    </w:p>
    <w:p>
      <w:pPr>
        <w:spacing w:after="0" w:line="143" w:lineRule="exact"/>
        <w:rPr>
          <w:sz w:val="20"/>
          <w:szCs w:val="20"/>
          <w:color w:val="auto"/>
        </w:rPr>
      </w:pPr>
    </w:p>
    <w:p>
      <w:pPr>
        <w:jc w:val="both"/>
        <w:ind w:firstLine="1512"/>
        <w:spacing w:after="0" w:line="250" w:lineRule="auto"/>
        <w:rPr>
          <w:sz w:val="20"/>
          <w:szCs w:val="20"/>
          <w:color w:val="auto"/>
        </w:rPr>
      </w:pPr>
      <w:r>
        <w:rPr>
          <w:rFonts w:ascii="Arial" w:cs="Arial" w:eastAsia="Arial" w:hAnsi="Arial"/>
          <w:sz w:val="22"/>
          <w:szCs w:val="22"/>
          <w:color w:val="auto"/>
        </w:rPr>
        <w:t xml:space="preserve">Section 9.8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The parties hereto recognize and agree that each is operating as an independent contractor and not as an agent, partner or fiduciary of any other.</w:t>
      </w:r>
    </w:p>
    <w:p>
      <w:pPr>
        <w:spacing w:after="0" w:line="175" w:lineRule="exact"/>
        <w:rPr>
          <w:sz w:val="20"/>
          <w:szCs w:val="20"/>
          <w:color w:val="auto"/>
        </w:rPr>
      </w:pPr>
    </w:p>
    <w:p>
      <w:pPr>
        <w:jc w:val="both"/>
        <w:ind w:firstLine="1512"/>
        <w:spacing w:after="0" w:line="235" w:lineRule="auto"/>
        <w:rPr>
          <w:sz w:val="20"/>
          <w:szCs w:val="20"/>
          <w:color w:val="auto"/>
        </w:rPr>
      </w:pPr>
      <w:r>
        <w:rPr>
          <w:rFonts w:ascii="Arial" w:cs="Arial" w:eastAsia="Arial" w:hAnsi="Arial"/>
          <w:sz w:val="22"/>
          <w:szCs w:val="22"/>
          <w:color w:val="auto"/>
        </w:rPr>
        <w:t xml:space="preserve">Section 9.9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Except to the extent otherwise contemplated by Section 9.3, this Agreement is for the sole benefit of Seller and Buyer and their respective permitted successors and assigns, and nothing herein expressed or implied shall give or be construed to give to any Person, other than the parties hereto and such successors and assigns, any legal or equitable rights hereunder. For the avoidance of doubt, indemnification under ARTICLE VIII in respect of Losses incurred by a Buyer Indemnified Party or a Seller Indemnified Party may only be enforced by Buyer or Seller, respectively, and not by any other Person.</w:t>
      </w:r>
    </w:p>
    <w:p>
      <w:pPr>
        <w:spacing w:after="0" w:line="188" w:lineRule="exact"/>
        <w:rPr>
          <w:sz w:val="20"/>
          <w:szCs w:val="20"/>
          <w:color w:val="auto"/>
        </w:rPr>
      </w:pPr>
    </w:p>
    <w:p>
      <w:pPr>
        <w:jc w:val="both"/>
        <w:ind w:firstLine="1512"/>
        <w:spacing w:after="0"/>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exclusively by the laws of the State of New York, United States of America, without regard to any conflict of law provisions that would dictate the application of the law of another jurisdiction.</w:t>
      </w:r>
    </w:p>
    <w:p>
      <w:pPr>
        <w:spacing w:after="0" w:line="186" w:lineRule="exact"/>
        <w:rPr>
          <w:sz w:val="20"/>
          <w:szCs w:val="20"/>
          <w:color w:val="auto"/>
        </w:rPr>
      </w:pPr>
    </w:p>
    <w:p>
      <w:pPr>
        <w:jc w:val="both"/>
        <w:ind w:firstLine="1512"/>
        <w:spacing w:after="0" w:line="270"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Jurisdiction; Venue; Service Of Process</w:t>
      </w:r>
      <w:r>
        <w:rPr>
          <w:rFonts w:ascii="Arial" w:cs="Arial" w:eastAsia="Arial" w:hAnsi="Arial"/>
          <w:sz w:val="19"/>
          <w:szCs w:val="19"/>
          <w:color w:val="auto"/>
        </w:rPr>
        <w:t>. Each party hereto irrevocably submits to the exclusive jurisdiction of (a) the Civil Branch of the Supreme Court of the State of New York, New York County and (b) the United States District Court for the Southern District of New York for the purposes of any action, suit or other proceeding arising out of, relating to or in connection with this Agreement or any transaction contemplated hereby. Each party hereto agrees to commence any action, suit or other proceeding arising out of, relating to or in connection with this Agreement or any transaction contemplated hereby in the Civil Branch of the Supreme Court of the State of New York, New York County, or, if such action, suit or other proceeding may not be brought in such court for jurisdictional reasons, in the United States District Court for the Southern District of New York. Each party hereto further agrees that service of any process, summons, notice or document by courier or personal delivery in accordance with Section 9.2 shall be effective service of process for any action, suit or other proceeding in New York with respect to any matters to which it has submitted to jurisdiction in this Section 9.11. Each party hereto irrevocably and unconditionally waives any objection to the laying of venue of any action, suit or other proceeding arising out of, relating to or in connection with this Agreement or any transaction contemplated hereby in (i) the Civil Branch of the Supreme Court of the State of New York, New York County or (ii) the United States District Court for the Southern District of New York, and hereby further irrevocably and unconditionally waives, and shall not assert by way of motion, defense, or otherwise, in any such action, suit or other proceeding, any claim that it is not subject personally to the jurisdiction of the above-named courts, that its property is exempt or immune from attachment or execution, that such action, suit or other proceeding is brought in an inconvenient forum, that the venue of such action, suit or other proceeding is improper, or that this Agreement or the transactions contemplated hereby may not be enforced in or by any of the above-named courts.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9" w:name="page90"/>
    <w:bookmarkEnd w:id="89"/>
    <w:p>
      <w:pPr>
        <w:jc w:val="both"/>
        <w:ind w:firstLine="1512"/>
        <w:spacing w:after="0" w:line="234"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provision of this Agreement is held to be invalid, illegal or unenforceable by a court or other Governmental Authority of competent jurisdiction, such invalidity, illegality or unenforceability shall not affect any other term or provision of this Agreement, which shall remain in full force and effect, and the parties hereto shall replace such term or provision with a new term or provision permitted by Applicable Law and having an economic effect as close as possible to the invalid, illegal or unenforceable term or provision. The holding of a term or provision to be invalid, illegal or unenforceable in a jurisdiction shall not have any effect on the application of the term or provision in any other jurisdiction.</w:t>
      </w:r>
    </w:p>
    <w:p>
      <w:pPr>
        <w:spacing w:after="0" w:line="191" w:lineRule="exact"/>
        <w:rPr>
          <w:sz w:val="20"/>
          <w:szCs w:val="20"/>
          <w:color w:val="auto"/>
        </w:rPr>
      </w:pPr>
    </w:p>
    <w:p>
      <w:pPr>
        <w:jc w:val="both"/>
        <w:ind w:firstLine="1512"/>
        <w:spacing w:after="0" w:line="238" w:lineRule="auto"/>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email with PDF attachment shall be considered original executed counterparts.</w:t>
      </w:r>
    </w:p>
    <w:p>
      <w:pPr>
        <w:spacing w:after="0" w:line="185" w:lineRule="exact"/>
        <w:rPr>
          <w:sz w:val="20"/>
          <w:szCs w:val="20"/>
          <w:color w:val="auto"/>
        </w:rPr>
      </w:pPr>
    </w:p>
    <w:p>
      <w:pPr>
        <w:ind w:left="1520"/>
        <w:spacing w:after="0"/>
        <w:tabs>
          <w:tab w:leader="none" w:pos="3220" w:val="left"/>
        </w:tabs>
        <w:rPr>
          <w:sz w:val="20"/>
          <w:szCs w:val="20"/>
          <w:color w:val="auto"/>
        </w:rPr>
      </w:pPr>
      <w:r>
        <w:rPr>
          <w:rFonts w:ascii="Arial" w:cs="Arial" w:eastAsia="Arial" w:hAnsi="Arial"/>
          <w:sz w:val="22"/>
          <w:szCs w:val="22"/>
          <w:color w:val="auto"/>
        </w:rPr>
        <w:t>Section 9.14</w:t>
      </w:r>
      <w:r>
        <w:rPr>
          <w:sz w:val="20"/>
          <w:szCs w:val="20"/>
          <w:color w:val="auto"/>
        </w:rPr>
        <w:tab/>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8" w:lineRule="auto"/>
        <w:tabs>
          <w:tab w:leader="none" w:pos="2615" w:val="left"/>
        </w:tabs>
        <w:numPr>
          <w:ilvl w:val="0"/>
          <w:numId w:val="56"/>
        </w:numPr>
        <w:rPr>
          <w:rFonts w:ascii="Arial" w:cs="Arial" w:eastAsia="Arial" w:hAnsi="Arial"/>
          <w:sz w:val="22"/>
          <w:szCs w:val="22"/>
          <w:color w:val="auto"/>
        </w:rPr>
      </w:pPr>
      <w:r>
        <w:rPr>
          <w:rFonts w:ascii="Arial" w:cs="Arial" w:eastAsia="Arial" w:hAnsi="Arial"/>
          <w:sz w:val="22"/>
          <w:szCs w:val="22"/>
          <w:color w:val="auto"/>
        </w:rPr>
        <w:t>Subject to Section 9.14(b), this Agreement shall continue in full force and effect until 120 days after the date that the CD20 Biosimilar Royalty Period ends pursuant to the terms of the License Agreement, at which point this Agreement shall terminate, save for any rights, obligations or claims of any party hereto which have accrued prior to such termination (along with any corresponding limitations of liability in respect thereof).</w:t>
      </w:r>
    </w:p>
    <w:p>
      <w:pPr>
        <w:spacing w:after="0" w:line="184"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following provisions shall survive any termination of this Agreement pursuant to this Section 9.14: Section 6.1 (Confidentiality), Section 6.2 (Public Announcements; Use of Names), Section 7.2 (Misdirected Royalty Payments), Section 7.3 (Reports; Notices; Correspondence), ARTICLE VIII (Indemnification) and ARTICLE IX (Miscellaneous).</w:t>
      </w:r>
    </w:p>
    <w:p>
      <w:pPr>
        <w:spacing w:after="0" w:line="184" w:lineRule="exact"/>
        <w:rPr>
          <w:rFonts w:ascii="Arial" w:cs="Arial" w:eastAsia="Arial" w:hAnsi="Arial"/>
          <w:sz w:val="22"/>
          <w:szCs w:val="22"/>
          <w:color w:val="auto"/>
        </w:rPr>
      </w:pPr>
    </w:p>
    <w:p>
      <w:pPr>
        <w:jc w:val="both"/>
        <w:ind w:firstLine="1735"/>
        <w:spacing w:after="0"/>
        <w:tabs>
          <w:tab w:leader="none" w:pos="2615"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upon the termination of this Agreement, any Royalty Payments or other amounts are payable to Buyer hereunder, this Agreement shall remain in full force and effect until any and all such payments have been made in full, and (except as provided in this Section 9.14) solely for that purpose.</w:t>
      </w:r>
    </w:p>
    <w:p>
      <w:pPr>
        <w:spacing w:after="0" w:line="186" w:lineRule="exact"/>
        <w:rPr>
          <w:rFonts w:ascii="Arial" w:cs="Arial" w:eastAsia="Arial" w:hAnsi="Arial"/>
          <w:sz w:val="22"/>
          <w:szCs w:val="22"/>
          <w:color w:val="auto"/>
        </w:rPr>
      </w:pPr>
    </w:p>
    <w:p>
      <w:pPr>
        <w:ind w:firstLine="1735"/>
        <w:spacing w:after="0" w:line="250" w:lineRule="auto"/>
        <w:tabs>
          <w:tab w:leader="none" w:pos="2627"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Nothing contained in this Section 9.14 shall relieve either party from liability for any breach of this Agreement that occurs prior to termination.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0" w:name="page91"/>
    <w:bookmarkEnd w:id="90"/>
    <w:p>
      <w:pPr>
        <w:ind w:right="20" w:firstLine="864"/>
        <w:spacing w:after="0" w:line="250" w:lineRule="auto"/>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w:t>
      </w:r>
      <w:r>
        <w:rPr>
          <w:rFonts w:ascii="Arial" w:cs="Arial" w:eastAsia="Arial" w:hAnsi="Arial"/>
          <w:sz w:val="22"/>
          <w:szCs w:val="22"/>
          <w:color w:val="auto"/>
        </w:rPr>
        <w:t xml:space="preserve"> W</w:t>
      </w:r>
      <w:r>
        <w:rPr>
          <w:rFonts w:ascii="Arial" w:cs="Arial" w:eastAsia="Arial" w:hAnsi="Arial"/>
          <w:sz w:val="14"/>
          <w:szCs w:val="14"/>
          <w:color w:val="auto"/>
        </w:rPr>
        <w:t>ITNESS</w:t>
      </w:r>
      <w:r>
        <w:rPr>
          <w:rFonts w:ascii="Arial" w:cs="Arial" w:eastAsia="Arial" w:hAnsi="Arial"/>
          <w:sz w:val="22"/>
          <w:szCs w:val="22"/>
          <w:color w:val="auto"/>
        </w:rPr>
        <w:t xml:space="preserve"> W</w:t>
      </w:r>
      <w:r>
        <w:rPr>
          <w:rFonts w:ascii="Arial" w:cs="Arial" w:eastAsia="Arial" w:hAnsi="Arial"/>
          <w:sz w:val="14"/>
          <w:szCs w:val="14"/>
          <w:color w:val="auto"/>
        </w:rPr>
        <w:t>HEREOF</w:t>
      </w:r>
      <w:r>
        <w:rPr>
          <w:rFonts w:ascii="Arial" w:cs="Arial" w:eastAsia="Arial" w:hAnsi="Arial"/>
          <w:sz w:val="22"/>
          <w:szCs w:val="22"/>
          <w:color w:val="auto"/>
        </w:rPr>
        <w:t>, the parties hereto have caused this Agreement to be executed by their respective representatives thereunto duly authorized as of the date first above written.</w:t>
      </w:r>
    </w:p>
    <w:p>
      <w:pPr>
        <w:spacing w:after="0" w:line="200" w:lineRule="exact"/>
        <w:rPr>
          <w:sz w:val="20"/>
          <w:szCs w:val="20"/>
          <w:color w:val="auto"/>
        </w:rPr>
      </w:pPr>
    </w:p>
    <w:p>
      <w:pPr>
        <w:spacing w:after="0" w:line="212"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APTEVO THERAPEUTICS INC.</w:t>
      </w:r>
    </w:p>
    <w:p>
      <w:pPr>
        <w:spacing w:after="0" w:line="206" w:lineRule="exact"/>
        <w:rPr>
          <w:sz w:val="20"/>
          <w:szCs w:val="20"/>
          <w:color w:val="auto"/>
        </w:rPr>
      </w:pPr>
    </w:p>
    <w:tbl>
      <w:tblPr>
        <w:tblLayout w:type="fixed"/>
        <w:tblInd w:w="5620" w:type="dxa"/>
        <w:tblCellMar>
          <w:top w:w="0" w:type="dxa"/>
          <w:left w:w="0" w:type="dxa"/>
          <w:bottom w:w="0" w:type="dxa"/>
          <w:right w:w="0" w:type="dxa"/>
        </w:tblCellMar>
      </w:tblPr>
      <w:tr>
        <w:trPr>
          <w:trHeight w:val="264"/>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Marvin White</w:t>
            </w:r>
          </w:p>
        </w:tc>
      </w:tr>
      <w:tr>
        <w:trPr>
          <w:trHeight w:val="215"/>
        </w:trPr>
        <w:tc>
          <w:tcPr>
            <w:tcW w:w="820" w:type="dxa"/>
            <w:vAlign w:val="bottom"/>
          </w:tcPr>
          <w:p>
            <w:pPr>
              <w:spacing w:after="0"/>
              <w:rPr>
                <w:sz w:val="18"/>
                <w:szCs w:val="18"/>
                <w:color w:val="auto"/>
              </w:rPr>
            </w:pPr>
          </w:p>
        </w:tc>
        <w:tc>
          <w:tcPr>
            <w:tcW w:w="7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100" w:type="dxa"/>
            <w:vAlign w:val="bottom"/>
          </w:tcPr>
          <w:p>
            <w:pPr>
              <w:ind w:left="140"/>
              <w:spacing w:after="0"/>
              <w:rPr>
                <w:sz w:val="20"/>
                <w:szCs w:val="20"/>
                <w:color w:val="auto"/>
              </w:rPr>
            </w:pPr>
            <w:r>
              <w:rPr>
                <w:rFonts w:ascii="Arial" w:cs="Arial" w:eastAsia="Arial" w:hAnsi="Arial"/>
                <w:sz w:val="18"/>
                <w:szCs w:val="18"/>
                <w:color w:val="auto"/>
              </w:rPr>
              <w:t>Marvin White</w:t>
            </w:r>
          </w:p>
        </w:tc>
      </w:tr>
      <w:tr>
        <w:trPr>
          <w:trHeight w:val="274"/>
        </w:trPr>
        <w:tc>
          <w:tcPr>
            <w:tcW w:w="82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4100" w:type="dxa"/>
            <w:vAlign w:val="bottom"/>
          </w:tcPr>
          <w:p>
            <w:pPr>
              <w:ind w:left="140"/>
              <w:spacing w:after="0"/>
              <w:rPr>
                <w:sz w:val="20"/>
                <w:szCs w:val="20"/>
                <w:color w:val="auto"/>
              </w:rPr>
            </w:pPr>
            <w:r>
              <w:rPr>
                <w:rFonts w:ascii="Arial" w:cs="Arial" w:eastAsia="Arial" w:hAnsi="Arial"/>
                <w:sz w:val="18"/>
                <w:szCs w:val="18"/>
                <w:color w:val="auto"/>
              </w:rPr>
              <w:t>President &amp; CEO</w:t>
            </w:r>
          </w:p>
        </w:tc>
      </w:tr>
    </w:tbl>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HEALTHCARE ROYALTY PARTNERS IV, L.P.</w:t>
      </w:r>
    </w:p>
    <w:p>
      <w:pPr>
        <w:spacing w:after="0" w:line="188" w:lineRule="exact"/>
        <w:rPr>
          <w:sz w:val="20"/>
          <w:szCs w:val="20"/>
          <w:color w:val="auto"/>
        </w:rPr>
      </w:pPr>
    </w:p>
    <w:tbl>
      <w:tblPr>
        <w:tblLayout w:type="fixed"/>
        <w:tblInd w:w="5620" w:type="dxa"/>
        <w:tblCellMar>
          <w:top w:w="0" w:type="dxa"/>
          <w:left w:w="0" w:type="dxa"/>
          <w:bottom w:w="0" w:type="dxa"/>
          <w:right w:w="0" w:type="dxa"/>
        </w:tblCellMar>
      </w:tblP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w w:val="95"/>
              </w:rPr>
              <w:t>HealthCare Royalty GP IV, LLC, its general partner</w:t>
            </w:r>
          </w:p>
        </w:tc>
      </w:tr>
      <w:tr>
        <w:trPr>
          <w:trHeight w:val="449"/>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Clarke B. Futch</w:t>
            </w: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Clarke B. Futch</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Royalty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TO </w:t>
      </w:r>
      <w:r>
        <w:rPr>
          <w:rFonts w:ascii="Arial" w:cs="Arial" w:eastAsia="Arial" w:hAnsi="Arial"/>
          <w:sz w:val="21"/>
          <w:szCs w:val="21"/>
          <w:color w:val="auto"/>
        </w:rPr>
        <w:t>R</w:t>
      </w:r>
      <w:r>
        <w:rPr>
          <w:rFonts w:ascii="Arial" w:cs="Arial" w:eastAsia="Arial" w:hAnsi="Arial"/>
          <w:sz w:val="15"/>
          <w:szCs w:val="15"/>
          <w:color w:val="auto"/>
        </w:rPr>
        <w:t xml:space="preserve">OYALTY </w:t>
      </w:r>
      <w:r>
        <w:rPr>
          <w:rFonts w:ascii="Arial" w:cs="Arial" w:eastAsia="Arial" w:hAnsi="Arial"/>
          <w:sz w:val="21"/>
          <w:szCs w:val="21"/>
          <w:color w:val="auto"/>
        </w:rPr>
        <w:t>P</w:t>
      </w:r>
      <w:r>
        <w:rPr>
          <w:rFonts w:ascii="Arial" w:cs="Arial" w:eastAsia="Arial" w:hAnsi="Arial"/>
          <w:sz w:val="15"/>
          <w:szCs w:val="15"/>
          <w:color w:val="auto"/>
        </w:rPr>
        <w:t xml:space="preserve">URCHASE </w:t>
      </w:r>
      <w:r>
        <w:rPr>
          <w:rFonts w:ascii="Arial" w:cs="Arial" w:eastAsia="Arial" w:hAnsi="Arial"/>
          <w:sz w:val="21"/>
          <w:szCs w:val="21"/>
          <w:color w:val="auto"/>
        </w:rPr>
        <w:t>A</w:t>
      </w:r>
      <w:r>
        <w:rPr>
          <w:rFonts w:ascii="Arial" w:cs="Arial" w:eastAsia="Arial" w:hAnsi="Arial"/>
          <w:sz w:val="15"/>
          <w:szCs w:val="15"/>
          <w:color w:val="auto"/>
        </w:rPr>
        <w:t>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BILL OF SALE AND ASSIGNMENT</w:t>
      </w:r>
    </w:p>
    <w:p>
      <w:pPr>
        <w:spacing w:after="0" w:line="206" w:lineRule="exact"/>
        <w:rPr>
          <w:sz w:val="20"/>
          <w:szCs w:val="20"/>
          <w:color w:val="auto"/>
        </w:rPr>
      </w:pPr>
    </w:p>
    <w:p>
      <w:pPr>
        <w:jc w:val="both"/>
        <w:ind w:left="1740" w:right="1740"/>
        <w:spacing w:after="0" w:line="238" w:lineRule="auto"/>
        <w:rPr>
          <w:sz w:val="20"/>
          <w:szCs w:val="20"/>
          <w:color w:val="auto"/>
        </w:rPr>
      </w:pPr>
      <w:r>
        <w:rPr>
          <w:rFonts w:ascii="Arial" w:cs="Arial" w:eastAsia="Arial" w:hAnsi="Arial"/>
          <w:sz w:val="22"/>
          <w:szCs w:val="22"/>
          <w:color w:val="auto"/>
        </w:rPr>
        <w:t>BILL OF SALE AND ASSIGNMENT made as of March 30, 2021, by and between APTEVO THERAPEUTICS INC., a Delaware corporation (“</w:t>
      </w:r>
      <w:r>
        <w:rPr>
          <w:rFonts w:ascii="Arial" w:cs="Arial" w:eastAsia="Arial" w:hAnsi="Arial"/>
          <w:sz w:val="22"/>
          <w:szCs w:val="22"/>
          <w:u w:val="single" w:color="auto"/>
          <w:color w:val="auto"/>
        </w:rPr>
        <w:t>Seller</w:t>
      </w:r>
      <w:r>
        <w:rPr>
          <w:rFonts w:ascii="Arial" w:cs="Arial" w:eastAsia="Arial" w:hAnsi="Arial"/>
          <w:sz w:val="22"/>
          <w:szCs w:val="22"/>
          <w:color w:val="auto"/>
        </w:rPr>
        <w:t>”), and HEALTHCARE ROYALTY PARTNERS IV, L.P., a Delaware limited partnership (“</w:t>
      </w:r>
      <w:r>
        <w:rPr>
          <w:rFonts w:ascii="Arial" w:cs="Arial" w:eastAsia="Arial" w:hAnsi="Arial"/>
          <w:sz w:val="22"/>
          <w:szCs w:val="22"/>
          <w:u w:val="single" w:color="auto"/>
          <w:color w:val="auto"/>
        </w:rPr>
        <w:t>Buyer</w:t>
      </w:r>
      <w:r>
        <w:rPr>
          <w:rFonts w:ascii="Arial" w:cs="Arial" w:eastAsia="Arial" w:hAnsi="Arial"/>
          <w:sz w:val="22"/>
          <w:szCs w:val="22"/>
          <w:color w:val="auto"/>
        </w:rPr>
        <w:t>”)</w:t>
      </w:r>
    </w:p>
    <w:p>
      <w:pPr>
        <w:spacing w:after="0" w:line="185"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WHEREAS, Seller and Buyer have entered into that certain Royalty Purchase Agreement, dated as of March 30, 2021 (the “</w:t>
      </w:r>
      <w:r>
        <w:rPr>
          <w:rFonts w:ascii="Arial" w:cs="Arial" w:eastAsia="Arial" w:hAnsi="Arial"/>
          <w:sz w:val="21"/>
          <w:szCs w:val="21"/>
          <w:u w:val="single" w:color="auto"/>
          <w:color w:val="auto"/>
        </w:rPr>
        <w:t>Purchase Agreement</w:t>
      </w:r>
      <w:r>
        <w:rPr>
          <w:rFonts w:ascii="Arial" w:cs="Arial" w:eastAsia="Arial" w:hAnsi="Arial"/>
          <w:sz w:val="21"/>
          <w:szCs w:val="21"/>
          <w:color w:val="auto"/>
        </w:rPr>
        <w:t>”), pursuant to which, among other things, Seller has agreed to sell, transfer, assign and convey to Buyer all of Seller’s right, title and interest in and to the Purchased Assets. Capitalized terms used and not otherwise defined herein shall have the meanings ascribed to such terms in the Purchase Agreement.</w:t>
      </w:r>
    </w:p>
    <w:p>
      <w:pPr>
        <w:spacing w:after="0" w:line="17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in consideration of the mutual covenants and obligations set forth herein and in the Purchase Agreement and for good and valuable consideration, the receipt and sufficiency of which are hereby acknowledged, the parties hereto hereby agree as set forth below.</w:t>
      </w:r>
    </w:p>
    <w:p>
      <w:pPr>
        <w:spacing w:after="0" w:line="18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Sale and Assignment of Assets</w:t>
      </w:r>
      <w:r>
        <w:rPr>
          <w:rFonts w:ascii="Arial" w:cs="Arial" w:eastAsia="Arial" w:hAnsi="Arial"/>
          <w:sz w:val="22"/>
          <w:szCs w:val="22"/>
          <w:color w:val="auto"/>
        </w:rPr>
        <w:t>. Upon the terms of and subject to the conditions of the Purchase Agreement and the License Agreement, Seller hereby sells, transfers, assigns and conveys to Buyer all of its right, title and interest in and to the Purchased Assets.</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Acceptance</w:t>
      </w:r>
      <w:r>
        <w:rPr>
          <w:rFonts w:ascii="Arial" w:cs="Arial" w:eastAsia="Arial" w:hAnsi="Arial"/>
          <w:sz w:val="22"/>
          <w:szCs w:val="22"/>
          <w:color w:val="auto"/>
        </w:rPr>
        <w:t>. Buyer hereby purchases, acquires and accepts such right, title and interest in and to the Purchased Assets.</w:t>
      </w:r>
    </w:p>
    <w:p>
      <w:pPr>
        <w:spacing w:after="0" w:line="175"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Excluded Assets</w:t>
      </w:r>
      <w:r>
        <w:rPr>
          <w:rFonts w:ascii="Arial" w:cs="Arial" w:eastAsia="Arial" w:hAnsi="Arial"/>
          <w:sz w:val="21"/>
          <w:szCs w:val="21"/>
          <w:color w:val="auto"/>
        </w:rPr>
        <w:t>. The parties hereto hereby agree that none of the Excluded Assets or the Excluded Liabilities and Obligations are sold, transferred, assigned or conveyed hereby, all of which are retained by Seller.</w:t>
      </w:r>
    </w:p>
    <w:p>
      <w:pPr>
        <w:spacing w:after="0" w:line="15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Other</w:t>
      </w:r>
      <w:r>
        <w:rPr>
          <w:rFonts w:ascii="Arial" w:cs="Arial" w:eastAsia="Arial" w:hAnsi="Arial"/>
          <w:sz w:val="22"/>
          <w:szCs w:val="22"/>
          <w:color w:val="auto"/>
        </w:rPr>
        <w:t>. This Bill of Sale and Assignment (i) is made pursuant to, and is subject to the terms of, the Purchase Agreement and (ii) shall be binding upon, inure to the benefit of and be enforceable by, the parties hereto and their respective permitted successors and assigns in accordance with the terms of the Purchase Agreement. This Bill of Sale and Assignment is for the sole benefit of the parties hereto and their respective permitted successors and assigns and not for the benefit of any third party.</w:t>
      </w:r>
    </w:p>
    <w:p>
      <w:pPr>
        <w:spacing w:after="0" w:line="18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Bill of Sale and Assignment shall be governed exclusively by the laws of the State of New York, without regard to any conflict of law provisions that would dictate the application of the laws of another jurisdiction.</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Counterparts</w:t>
      </w:r>
      <w:r>
        <w:rPr>
          <w:rFonts w:ascii="Arial" w:cs="Arial" w:eastAsia="Arial" w:hAnsi="Arial"/>
          <w:sz w:val="22"/>
          <w:szCs w:val="22"/>
          <w:color w:val="auto"/>
        </w:rPr>
        <w:t>. This Bill of Sale and Assignment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email with PDF attachment shall be considered original executed counterparts.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ectPr>
          <w:pgSz w:w="11900" w:h="16838" w:orient="portrait"/>
          <w:cols w:equalWidth="0" w:num="1">
            <w:col w:w="9019"/>
          </w:cols>
          <w:pgMar w:left="1440" w:top="3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type w:val="continuous"/>
        </w:sectPr>
      </w:pPr>
    </w:p>
    <w:bookmarkStart w:id="93" w:name="page94"/>
    <w:bookmarkEnd w:id="93"/>
    <w:p>
      <w:pPr>
        <w:ind w:right="20" w:firstLine="864"/>
        <w:spacing w:after="0" w:line="250" w:lineRule="auto"/>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w:t>
      </w:r>
      <w:r>
        <w:rPr>
          <w:rFonts w:ascii="Arial" w:cs="Arial" w:eastAsia="Arial" w:hAnsi="Arial"/>
          <w:sz w:val="22"/>
          <w:szCs w:val="22"/>
          <w:color w:val="auto"/>
        </w:rPr>
        <w:t xml:space="preserve"> W</w:t>
      </w:r>
      <w:r>
        <w:rPr>
          <w:rFonts w:ascii="Arial" w:cs="Arial" w:eastAsia="Arial" w:hAnsi="Arial"/>
          <w:sz w:val="14"/>
          <w:szCs w:val="14"/>
          <w:color w:val="auto"/>
        </w:rPr>
        <w:t>ITNESS</w:t>
      </w:r>
      <w:r>
        <w:rPr>
          <w:rFonts w:ascii="Arial" w:cs="Arial" w:eastAsia="Arial" w:hAnsi="Arial"/>
          <w:sz w:val="22"/>
          <w:szCs w:val="22"/>
          <w:color w:val="auto"/>
        </w:rPr>
        <w:t xml:space="preserve"> W</w:t>
      </w:r>
      <w:r>
        <w:rPr>
          <w:rFonts w:ascii="Arial" w:cs="Arial" w:eastAsia="Arial" w:hAnsi="Arial"/>
          <w:sz w:val="14"/>
          <w:szCs w:val="14"/>
          <w:color w:val="auto"/>
        </w:rPr>
        <w:t>HEREOF</w:t>
      </w:r>
      <w:r>
        <w:rPr>
          <w:rFonts w:ascii="Arial" w:cs="Arial" w:eastAsia="Arial" w:hAnsi="Arial"/>
          <w:sz w:val="22"/>
          <w:szCs w:val="22"/>
          <w:color w:val="auto"/>
        </w:rPr>
        <w:t>, the undersigned have caused this Bill of Sale and Assignment to be executed by their respective representatives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APTEVO THERAPEUTICS INC.</w:t>
      </w:r>
    </w:p>
    <w:p>
      <w:pPr>
        <w:spacing w:after="0" w:line="206" w:lineRule="exact"/>
        <w:rPr>
          <w:sz w:val="20"/>
          <w:szCs w:val="20"/>
          <w:color w:val="auto"/>
        </w:rPr>
      </w:pPr>
    </w:p>
    <w:tbl>
      <w:tblPr>
        <w:tblLayout w:type="fixed"/>
        <w:tblInd w:w="5620" w:type="dxa"/>
        <w:tblCellMar>
          <w:top w:w="0" w:type="dxa"/>
          <w:left w:w="0" w:type="dxa"/>
          <w:bottom w:w="0" w:type="dxa"/>
          <w:right w:w="0" w:type="dxa"/>
        </w:tblCellMar>
      </w:tblPr>
      <w:tr>
        <w:trPr>
          <w:trHeight w:val="264"/>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Marvin White</w:t>
            </w:r>
          </w:p>
        </w:tc>
      </w:tr>
      <w:tr>
        <w:trPr>
          <w:trHeight w:val="215"/>
        </w:trPr>
        <w:tc>
          <w:tcPr>
            <w:tcW w:w="840" w:type="dxa"/>
            <w:vAlign w:val="bottom"/>
          </w:tcPr>
          <w:p>
            <w:pPr>
              <w:spacing w:after="0"/>
              <w:rPr>
                <w:sz w:val="18"/>
                <w:szCs w:val="18"/>
                <w:color w:val="auto"/>
              </w:rPr>
            </w:pPr>
          </w:p>
        </w:tc>
        <w:tc>
          <w:tcPr>
            <w:tcW w:w="7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060" w:type="dxa"/>
            <w:vAlign w:val="bottom"/>
          </w:tcPr>
          <w:p>
            <w:pPr>
              <w:ind w:left="140"/>
              <w:spacing w:after="0"/>
              <w:rPr>
                <w:sz w:val="20"/>
                <w:szCs w:val="20"/>
                <w:color w:val="auto"/>
              </w:rPr>
            </w:pPr>
            <w:r>
              <w:rPr>
                <w:rFonts w:ascii="Arial" w:cs="Arial" w:eastAsia="Arial" w:hAnsi="Arial"/>
                <w:sz w:val="18"/>
                <w:szCs w:val="18"/>
                <w:color w:val="auto"/>
              </w:rPr>
              <w:t>Marvin White</w:t>
            </w:r>
          </w:p>
        </w:tc>
      </w:tr>
      <w:tr>
        <w:trPr>
          <w:trHeight w:val="274"/>
        </w:trPr>
        <w:tc>
          <w:tcPr>
            <w:tcW w:w="840" w:type="dxa"/>
            <w:vAlign w:val="bottom"/>
          </w:tcPr>
          <w:p>
            <w:pPr>
              <w:spacing w:after="0"/>
              <w:rPr>
                <w:sz w:val="23"/>
                <w:szCs w:val="23"/>
                <w:color w:val="auto"/>
              </w:rPr>
            </w:pPr>
          </w:p>
        </w:tc>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060" w:type="dxa"/>
            <w:vAlign w:val="bottom"/>
          </w:tcPr>
          <w:p>
            <w:pPr>
              <w:ind w:left="140"/>
              <w:spacing w:after="0"/>
              <w:rPr>
                <w:sz w:val="20"/>
                <w:szCs w:val="20"/>
                <w:color w:val="auto"/>
              </w:rPr>
            </w:pPr>
            <w:r>
              <w:rPr>
                <w:rFonts w:ascii="Arial" w:cs="Arial" w:eastAsia="Arial" w:hAnsi="Arial"/>
                <w:sz w:val="18"/>
                <w:szCs w:val="18"/>
                <w:color w:val="auto"/>
              </w:rPr>
              <w:t>President &amp; CEO</w:t>
            </w:r>
          </w:p>
        </w:tc>
      </w:tr>
    </w:tbl>
    <w:p>
      <w:pPr>
        <w:spacing w:after="0" w:line="200" w:lineRule="exact"/>
        <w:rPr>
          <w:sz w:val="20"/>
          <w:szCs w:val="20"/>
          <w:color w:val="auto"/>
        </w:rPr>
      </w:pPr>
    </w:p>
    <w:p>
      <w:pPr>
        <w:spacing w:after="0" w:line="24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HEALTHCARE ROYALTY PARTNERS IV, L.P.</w:t>
      </w:r>
    </w:p>
    <w:p>
      <w:pPr>
        <w:spacing w:after="0" w:line="188" w:lineRule="exact"/>
        <w:rPr>
          <w:sz w:val="20"/>
          <w:szCs w:val="20"/>
          <w:color w:val="auto"/>
        </w:rPr>
      </w:pPr>
    </w:p>
    <w:tbl>
      <w:tblPr>
        <w:tblLayout w:type="fixed"/>
        <w:tblInd w:w="5620" w:type="dxa"/>
        <w:tblCellMar>
          <w:top w:w="0" w:type="dxa"/>
          <w:left w:w="0" w:type="dxa"/>
          <w:bottom w:w="0" w:type="dxa"/>
          <w:right w:w="0" w:type="dxa"/>
        </w:tblCellMar>
      </w:tblP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Pr>
          <w:p>
            <w:pPr>
              <w:spacing w:after="0"/>
              <w:rPr>
                <w:sz w:val="20"/>
                <w:szCs w:val="20"/>
                <w:color w:val="auto"/>
              </w:rPr>
            </w:pPr>
            <w:r>
              <w:rPr>
                <w:rFonts w:ascii="Arial" w:cs="Arial" w:eastAsia="Arial" w:hAnsi="Arial"/>
                <w:sz w:val="22"/>
                <w:szCs w:val="22"/>
                <w:color w:val="auto"/>
                <w:w w:val="95"/>
              </w:rPr>
              <w:t>HealthCare Royalty GP IV, LLC, its general partner</w:t>
            </w:r>
          </w:p>
        </w:tc>
      </w:tr>
      <w:tr>
        <w:trPr>
          <w:trHeight w:val="449"/>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Clarke B. Futch</w:t>
            </w: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Clarke B. Futch</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Bill of Sale and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B</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TO </w:t>
      </w:r>
      <w:r>
        <w:rPr>
          <w:rFonts w:ascii="Arial" w:cs="Arial" w:eastAsia="Arial" w:hAnsi="Arial"/>
          <w:sz w:val="21"/>
          <w:szCs w:val="21"/>
          <w:color w:val="auto"/>
        </w:rPr>
        <w:t>R</w:t>
      </w:r>
      <w:r>
        <w:rPr>
          <w:rFonts w:ascii="Arial" w:cs="Arial" w:eastAsia="Arial" w:hAnsi="Arial"/>
          <w:sz w:val="15"/>
          <w:szCs w:val="15"/>
          <w:color w:val="auto"/>
        </w:rPr>
        <w:t xml:space="preserve">OYALTY </w:t>
      </w:r>
      <w:r>
        <w:rPr>
          <w:rFonts w:ascii="Arial" w:cs="Arial" w:eastAsia="Arial" w:hAnsi="Arial"/>
          <w:sz w:val="21"/>
          <w:szCs w:val="21"/>
          <w:color w:val="auto"/>
        </w:rPr>
        <w:t>P</w:t>
      </w:r>
      <w:r>
        <w:rPr>
          <w:rFonts w:ascii="Arial" w:cs="Arial" w:eastAsia="Arial" w:hAnsi="Arial"/>
          <w:sz w:val="15"/>
          <w:szCs w:val="15"/>
          <w:color w:val="auto"/>
        </w:rPr>
        <w:t xml:space="preserve">URCHASE </w:t>
      </w:r>
      <w:r>
        <w:rPr>
          <w:rFonts w:ascii="Arial" w:cs="Arial" w:eastAsia="Arial" w:hAnsi="Arial"/>
          <w:sz w:val="21"/>
          <w:szCs w:val="21"/>
          <w:color w:val="auto"/>
        </w:rPr>
        <w:t>A</w:t>
      </w:r>
      <w:r>
        <w:rPr>
          <w:rFonts w:ascii="Arial" w:cs="Arial" w:eastAsia="Arial" w:hAnsi="Arial"/>
          <w:sz w:val="15"/>
          <w:szCs w:val="15"/>
          <w:color w:val="auto"/>
        </w:rPr>
        <w:t>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DISCLOSURE SCHEDULES</w:t>
      </w:r>
    </w:p>
    <w:p>
      <w:pPr>
        <w:spacing w:after="0" w:line="206"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These Disclosure Schedules to the representations and warranties of Seller have been prepared in connection with the Royalty Purchase Agreement, dated as of March 30, 2021 (the “</w:t>
      </w:r>
      <w:r>
        <w:rPr>
          <w:rFonts w:ascii="Arial" w:cs="Arial" w:eastAsia="Arial" w:hAnsi="Arial"/>
          <w:sz w:val="19"/>
          <w:szCs w:val="19"/>
          <w:u w:val="single" w:color="auto"/>
          <w:color w:val="auto"/>
        </w:rPr>
        <w:t>Agreement</w:t>
      </w:r>
      <w:r>
        <w:rPr>
          <w:rFonts w:ascii="Arial" w:cs="Arial" w:eastAsia="Arial" w:hAnsi="Arial"/>
          <w:sz w:val="19"/>
          <w:szCs w:val="19"/>
          <w:color w:val="auto"/>
        </w:rPr>
        <w:t>”), between APTEVO THERAPEUTICS INC., a Delaware corporation (“</w:t>
      </w:r>
      <w:r>
        <w:rPr>
          <w:rFonts w:ascii="Arial" w:cs="Arial" w:eastAsia="Arial" w:hAnsi="Arial"/>
          <w:sz w:val="19"/>
          <w:szCs w:val="19"/>
          <w:u w:val="single" w:color="auto"/>
          <w:color w:val="auto"/>
        </w:rPr>
        <w:t>Seller</w:t>
      </w:r>
      <w:r>
        <w:rPr>
          <w:rFonts w:ascii="Arial" w:cs="Arial" w:eastAsia="Arial" w:hAnsi="Arial"/>
          <w:sz w:val="19"/>
          <w:szCs w:val="19"/>
          <w:color w:val="auto"/>
        </w:rPr>
        <w:t>” or “</w:t>
      </w:r>
      <w:r>
        <w:rPr>
          <w:rFonts w:ascii="Arial" w:cs="Arial" w:eastAsia="Arial" w:hAnsi="Arial"/>
          <w:sz w:val="19"/>
          <w:szCs w:val="19"/>
          <w:u w:val="single" w:color="auto"/>
          <w:color w:val="auto"/>
        </w:rPr>
        <w:t>Aptevo</w:t>
      </w:r>
      <w:r>
        <w:rPr>
          <w:rFonts w:ascii="Arial" w:cs="Arial" w:eastAsia="Arial" w:hAnsi="Arial"/>
          <w:sz w:val="19"/>
          <w:szCs w:val="19"/>
          <w:color w:val="auto"/>
        </w:rPr>
        <w:t>”), and HEALTHCARE ROYALTY PARTNERS IV, L.P. (“</w:t>
      </w:r>
      <w:r>
        <w:rPr>
          <w:rFonts w:ascii="Arial" w:cs="Arial" w:eastAsia="Arial" w:hAnsi="Arial"/>
          <w:sz w:val="19"/>
          <w:szCs w:val="19"/>
          <w:u w:val="single" w:color="auto"/>
          <w:color w:val="auto"/>
        </w:rPr>
        <w:t>Buyer</w:t>
      </w:r>
      <w:r>
        <w:rPr>
          <w:rFonts w:ascii="Arial" w:cs="Arial" w:eastAsia="Arial" w:hAnsi="Arial"/>
          <w:sz w:val="19"/>
          <w:szCs w:val="19"/>
          <w:color w:val="auto"/>
        </w:rPr>
        <w:t>”).</w:t>
      </w:r>
    </w:p>
    <w:p>
      <w:pPr>
        <w:spacing w:after="0" w:line="134" w:lineRule="exact"/>
        <w:rPr>
          <w:sz w:val="20"/>
          <w:szCs w:val="20"/>
          <w:color w:val="auto"/>
        </w:rPr>
      </w:pPr>
    </w:p>
    <w:p>
      <w:pPr>
        <w:ind w:left="1680" w:hanging="808"/>
        <w:spacing w:after="0"/>
        <w:tabs>
          <w:tab w:leader="none" w:pos="16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Definitions; Interpretation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1735"/>
        <w:spacing w:after="0" w:line="250" w:lineRule="auto"/>
        <w:tabs>
          <w:tab w:leader="none" w:pos="2615" w:val="left"/>
        </w:tabs>
        <w:numPr>
          <w:ilvl w:val="1"/>
          <w:numId w:val="57"/>
        </w:numPr>
        <w:rPr>
          <w:rFonts w:ascii="Arial" w:cs="Arial" w:eastAsia="Arial" w:hAnsi="Arial"/>
          <w:sz w:val="22"/>
          <w:szCs w:val="22"/>
          <w:color w:val="auto"/>
        </w:rPr>
      </w:pPr>
      <w:r>
        <w:rPr>
          <w:rFonts w:ascii="Arial" w:cs="Arial" w:eastAsia="Arial" w:hAnsi="Arial"/>
          <w:sz w:val="22"/>
          <w:szCs w:val="22"/>
          <w:color w:val="auto"/>
        </w:rPr>
        <w:t>Unless otherwise defined in these Disclosure Schedules, terms defined in the Agreement shall have the same meanings when used herein.</w:t>
      </w:r>
    </w:p>
    <w:p>
      <w:pPr>
        <w:spacing w:after="0" w:line="174" w:lineRule="exact"/>
        <w:rPr>
          <w:rFonts w:ascii="Arial" w:cs="Arial" w:eastAsia="Arial" w:hAnsi="Arial"/>
          <w:sz w:val="22"/>
          <w:szCs w:val="22"/>
          <w:color w:val="auto"/>
        </w:rPr>
      </w:pPr>
    </w:p>
    <w:p>
      <w:pPr>
        <w:jc w:val="both"/>
        <w:ind w:firstLine="1735"/>
        <w:spacing w:after="0" w:line="279" w:lineRule="auto"/>
        <w:tabs>
          <w:tab w:leader="none" w:pos="2627" w:val="left"/>
        </w:tabs>
        <w:numPr>
          <w:ilvl w:val="1"/>
          <w:numId w:val="57"/>
        </w:numPr>
        <w:rPr>
          <w:rFonts w:ascii="Arial" w:cs="Arial" w:eastAsia="Arial" w:hAnsi="Arial"/>
          <w:sz w:val="19"/>
          <w:szCs w:val="19"/>
          <w:color w:val="auto"/>
        </w:rPr>
      </w:pPr>
      <w:r>
        <w:rPr>
          <w:rFonts w:ascii="Arial" w:cs="Arial" w:eastAsia="Arial" w:hAnsi="Arial"/>
          <w:sz w:val="19"/>
          <w:szCs w:val="19"/>
          <w:color w:val="auto"/>
        </w:rPr>
        <w:t>Certain matters set forth in these Disclosure Schedules are included for informational purposes only, notwithstanding the fact that, because they do not rise above applicable materiality thresholds or otherwise, they would not be required to be set forth herein by the terms of the Agreement. Identification of such matters shall not be taken as an admission by Seller that such disclosure is required to be made under the terms of any provision of the Agreement, and in no event shall the disclosure of such matters be deemed or interpreted to broaden or otherwise amend the representations, warranties or covenants contained in the Agreement or the scope of Seller’s disclosure obligations under the Agreement.</w:t>
      </w:r>
    </w:p>
    <w:p>
      <w:pPr>
        <w:spacing w:after="0" w:line="150" w:lineRule="exact"/>
        <w:rPr>
          <w:rFonts w:ascii="Arial" w:cs="Arial" w:eastAsia="Arial" w:hAnsi="Arial"/>
          <w:sz w:val="19"/>
          <w:szCs w:val="19"/>
          <w:color w:val="auto"/>
        </w:rPr>
      </w:pPr>
    </w:p>
    <w:p>
      <w:pPr>
        <w:jc w:val="both"/>
        <w:ind w:firstLine="1735"/>
        <w:spacing w:after="0" w:line="235" w:lineRule="auto"/>
        <w:tabs>
          <w:tab w:leader="none" w:pos="2615" w:val="left"/>
        </w:tabs>
        <w:numPr>
          <w:ilvl w:val="1"/>
          <w:numId w:val="57"/>
        </w:numPr>
        <w:rPr>
          <w:rFonts w:ascii="Arial" w:cs="Arial" w:eastAsia="Arial" w:hAnsi="Arial"/>
          <w:sz w:val="22"/>
          <w:szCs w:val="22"/>
          <w:color w:val="auto"/>
        </w:rPr>
      </w:pPr>
      <w:r>
        <w:rPr>
          <w:rFonts w:ascii="Arial" w:cs="Arial" w:eastAsia="Arial" w:hAnsi="Arial"/>
          <w:sz w:val="22"/>
          <w:szCs w:val="22"/>
          <w:color w:val="auto"/>
        </w:rPr>
        <w:t xml:space="preserve">The Disclosure Schedules have been arranged and numbered in sections and subsections corresponding to each Section or subsection of this Article IV as to which Seller is limiting or otherwise qualifying its representations and warranties (without any need for reference of any kind in Article IV hereof to such Section or subsection of the Disclosure Schedules);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information disclosed in the Disclosure Schedules under any such Section or subsection shall qualify only the specifically identified sections or subsections of the Disclosure Schedules and shall not qualify any other provision.</w:t>
      </w:r>
    </w:p>
    <w:p>
      <w:pPr>
        <w:spacing w:after="0" w:line="187" w:lineRule="exact"/>
        <w:rPr>
          <w:rFonts w:ascii="Arial" w:cs="Arial" w:eastAsia="Arial" w:hAnsi="Arial"/>
          <w:sz w:val="22"/>
          <w:szCs w:val="22"/>
          <w:color w:val="auto"/>
        </w:rPr>
      </w:pPr>
    </w:p>
    <w:p>
      <w:pPr>
        <w:ind w:left="1680" w:hanging="808"/>
        <w:spacing w:after="0"/>
        <w:tabs>
          <w:tab w:leader="none" w:pos="16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Exceptions</w:t>
      </w:r>
      <w:r>
        <w:rPr>
          <w:rFonts w:ascii="Arial" w:cs="Arial" w:eastAsia="Arial" w:hAnsi="Arial"/>
          <w:sz w:val="22"/>
          <w:szCs w:val="22"/>
          <w:color w:val="auto"/>
        </w:rPr>
        <w:t>.</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4.9(a). </w:t>
      </w:r>
      <w:r>
        <w:rPr>
          <w:rFonts w:ascii="Arial" w:cs="Arial" w:eastAsia="Arial" w:hAnsi="Arial"/>
          <w:sz w:val="22"/>
          <w:szCs w:val="22"/>
          <w:color w:val="auto"/>
        </w:rPr>
        <w:t>Seller does not have a copy of the original Amendment No. 1 to the License Agreement. Buyer has been</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with the version of Amendment No. 1 available on Edgar.</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4.9(n). </w:t>
      </w:r>
      <w:r>
        <w:rPr>
          <w:rFonts w:ascii="Arial" w:cs="Arial" w:eastAsia="Arial" w:hAnsi="Arial"/>
          <w:sz w:val="22"/>
          <w:szCs w:val="22"/>
          <w:color w:val="auto"/>
        </w:rPr>
        <w:t>Seller is only aware of RUXIENCE, including RUXIENCE products subject to customary rebranding for ex-US</w:t>
      </w:r>
      <w:r>
        <w:rPr>
          <w:rFonts w:ascii="Arial" w:cs="Arial" w:eastAsia="Arial" w:hAnsi="Arial"/>
          <w:sz w:val="22"/>
          <w:szCs w:val="22"/>
          <w:b w:val="1"/>
          <w:bCs w:val="1"/>
          <w:color w:val="auto"/>
        </w:rPr>
        <w:t xml:space="preserve"> </w:t>
      </w:r>
      <w:r>
        <w:rPr>
          <w:rFonts w:ascii="Arial" w:cs="Arial" w:eastAsia="Arial" w:hAnsi="Arial"/>
          <w:sz w:val="22"/>
          <w:szCs w:val="22"/>
          <w:color w:val="auto"/>
        </w:rPr>
        <w:t>territories. For avoidance of doubt, Seller is not aware of any CD20 Biosimilar Products being developed or commercialized by Pfizer that would compete with RUXIENCE.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C</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TO </w:t>
      </w:r>
      <w:r>
        <w:rPr>
          <w:rFonts w:ascii="Arial" w:cs="Arial" w:eastAsia="Arial" w:hAnsi="Arial"/>
          <w:sz w:val="21"/>
          <w:szCs w:val="21"/>
          <w:color w:val="auto"/>
        </w:rPr>
        <w:t>R</w:t>
      </w:r>
      <w:r>
        <w:rPr>
          <w:rFonts w:ascii="Arial" w:cs="Arial" w:eastAsia="Arial" w:hAnsi="Arial"/>
          <w:sz w:val="15"/>
          <w:szCs w:val="15"/>
          <w:color w:val="auto"/>
        </w:rPr>
        <w:t xml:space="preserve">OYALTY </w:t>
      </w:r>
      <w:r>
        <w:rPr>
          <w:rFonts w:ascii="Arial" w:cs="Arial" w:eastAsia="Arial" w:hAnsi="Arial"/>
          <w:sz w:val="21"/>
          <w:szCs w:val="21"/>
          <w:color w:val="auto"/>
        </w:rPr>
        <w:t>P</w:t>
      </w:r>
      <w:r>
        <w:rPr>
          <w:rFonts w:ascii="Arial" w:cs="Arial" w:eastAsia="Arial" w:hAnsi="Arial"/>
          <w:sz w:val="15"/>
          <w:szCs w:val="15"/>
          <w:color w:val="auto"/>
        </w:rPr>
        <w:t xml:space="preserve">URCHASE </w:t>
      </w:r>
      <w:r>
        <w:rPr>
          <w:rFonts w:ascii="Arial" w:cs="Arial" w:eastAsia="Arial" w:hAnsi="Arial"/>
          <w:sz w:val="21"/>
          <w:szCs w:val="21"/>
          <w:color w:val="auto"/>
        </w:rPr>
        <w:t>A</w:t>
      </w:r>
      <w:r>
        <w:rPr>
          <w:rFonts w:ascii="Arial" w:cs="Arial" w:eastAsia="Arial" w:hAnsi="Arial"/>
          <w:sz w:val="15"/>
          <w:szCs w:val="15"/>
          <w:color w:val="auto"/>
        </w:rPr>
        <w:t>GREEMENT</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March 30, 2021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PFIZER INSTRUCTION LETTER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VIA E-MAIL AND FAX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Pfizer Inc.</w:t>
      </w:r>
    </w:p>
    <w:p>
      <w:pPr>
        <w:spacing w:after="0" w:line="238" w:lineRule="auto"/>
        <w:rPr>
          <w:sz w:val="20"/>
          <w:szCs w:val="20"/>
          <w:color w:val="auto"/>
        </w:rPr>
      </w:pPr>
      <w:r>
        <w:rPr>
          <w:rFonts w:ascii="Arial" w:cs="Arial" w:eastAsia="Arial" w:hAnsi="Arial"/>
          <w:sz w:val="22"/>
          <w:szCs w:val="22"/>
          <w:color w:val="auto"/>
        </w:rPr>
        <w:t>235 East 42nd Street</w:t>
      </w:r>
    </w:p>
    <w:p>
      <w:pPr>
        <w:spacing w:after="0" w:line="230" w:lineRule="auto"/>
        <w:rPr>
          <w:sz w:val="20"/>
          <w:szCs w:val="20"/>
          <w:color w:val="auto"/>
        </w:rPr>
      </w:pPr>
      <w:r>
        <w:rPr>
          <w:rFonts w:ascii="Arial" w:cs="Arial" w:eastAsia="Arial" w:hAnsi="Arial"/>
          <w:sz w:val="22"/>
          <w:szCs w:val="22"/>
          <w:color w:val="auto"/>
        </w:rPr>
        <w:t>New York, NY 10017</w:t>
      </w:r>
    </w:p>
    <w:p>
      <w:pPr>
        <w:spacing w:after="0" w:line="231" w:lineRule="auto"/>
        <w:rPr>
          <w:sz w:val="20"/>
          <w:szCs w:val="20"/>
          <w:color w:val="auto"/>
        </w:rPr>
      </w:pPr>
      <w:r>
        <w:rPr>
          <w:rFonts w:ascii="Arial" w:cs="Arial" w:eastAsia="Arial" w:hAnsi="Arial"/>
          <w:sz w:val="22"/>
          <w:szCs w:val="22"/>
          <w:color w:val="auto"/>
        </w:rPr>
        <w:t>Attention: Kathy Yang, Assistant General Counsel</w:t>
      </w:r>
    </w:p>
    <w:p>
      <w:pPr>
        <w:spacing w:after="0"/>
        <w:rPr>
          <w:sz w:val="20"/>
          <w:szCs w:val="20"/>
          <w:color w:val="auto"/>
        </w:rPr>
      </w:pPr>
      <w:r>
        <w:rPr>
          <w:rFonts w:ascii="Arial" w:cs="Arial" w:eastAsia="Arial" w:hAnsi="Arial"/>
          <w:sz w:val="22"/>
          <w:szCs w:val="22"/>
          <w:color w:val="auto"/>
        </w:rPr>
        <w:t>Email: katherine.lee.yang@pfizer.com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872"/>
        <w:spacing w:after="0" w:line="238" w:lineRule="auto"/>
        <w:tabs>
          <w:tab w:leader="none" w:pos="1674" w:val="left"/>
        </w:tabs>
        <w:numPr>
          <w:ilvl w:val="0"/>
          <w:numId w:val="58"/>
        </w:numPr>
        <w:rPr>
          <w:rFonts w:ascii="Arial" w:cs="Arial" w:eastAsia="Arial" w:hAnsi="Arial"/>
          <w:sz w:val="22"/>
          <w:szCs w:val="22"/>
          <w:color w:val="auto"/>
        </w:rPr>
      </w:pPr>
      <w:r>
        <w:rPr>
          <w:rFonts w:ascii="Arial" w:cs="Arial" w:eastAsia="Arial" w:hAnsi="Arial"/>
          <w:sz w:val="22"/>
          <w:szCs w:val="22"/>
          <w:color w:val="auto"/>
        </w:rPr>
        <w:t>Reference is hereby made to that certain Collaboration and License Agreement dated as of December 19, 2005 (as amended, amended and restated, supplemented or otherwise modified from time to time, including by the notice of termination dated as of June 22, 2012 (the “</w:t>
      </w:r>
      <w:r>
        <w:rPr>
          <w:rFonts w:ascii="Arial" w:cs="Arial" w:eastAsia="Arial" w:hAnsi="Arial"/>
          <w:sz w:val="22"/>
          <w:szCs w:val="22"/>
          <w:u w:val="single" w:color="auto"/>
          <w:color w:val="auto"/>
        </w:rPr>
        <w:t>License Agreement</w:t>
      </w:r>
      <w:r>
        <w:rPr>
          <w:rFonts w:ascii="Arial" w:cs="Arial" w:eastAsia="Arial" w:hAnsi="Arial"/>
          <w:sz w:val="22"/>
          <w:szCs w:val="22"/>
          <w:color w:val="auto"/>
        </w:rPr>
        <w:t>”), by and between Aptevo Therapeutics Inc. (“</w:t>
      </w:r>
      <w:r>
        <w:rPr>
          <w:rFonts w:ascii="Arial" w:cs="Arial" w:eastAsia="Arial" w:hAnsi="Arial"/>
          <w:sz w:val="22"/>
          <w:szCs w:val="22"/>
          <w:u w:val="single" w:color="auto"/>
          <w:color w:val="auto"/>
        </w:rPr>
        <w:t>Aptevo</w:t>
      </w:r>
      <w:r>
        <w:rPr>
          <w:rFonts w:ascii="Arial" w:cs="Arial" w:eastAsia="Arial" w:hAnsi="Arial"/>
          <w:sz w:val="22"/>
          <w:szCs w:val="22"/>
          <w:color w:val="auto"/>
        </w:rPr>
        <w:t>”) and Pfizer Inc. (“</w:t>
      </w:r>
      <w:r>
        <w:rPr>
          <w:rFonts w:ascii="Arial" w:cs="Arial" w:eastAsia="Arial" w:hAnsi="Arial"/>
          <w:sz w:val="22"/>
          <w:szCs w:val="22"/>
          <w:u w:val="single" w:color="auto"/>
          <w:color w:val="auto"/>
        </w:rPr>
        <w:t>Pfizer</w:t>
      </w:r>
      <w:r>
        <w:rPr>
          <w:rFonts w:ascii="Arial" w:cs="Arial" w:eastAsia="Arial" w:hAnsi="Arial"/>
          <w:sz w:val="22"/>
          <w:szCs w:val="22"/>
          <w:color w:val="auto"/>
        </w:rPr>
        <w:t>”, “</w:t>
      </w:r>
      <w:r>
        <w:rPr>
          <w:rFonts w:ascii="Arial" w:cs="Arial" w:eastAsia="Arial" w:hAnsi="Arial"/>
          <w:sz w:val="22"/>
          <w:szCs w:val="22"/>
          <w:u w:val="single" w:color="auto"/>
          <w:color w:val="auto"/>
        </w:rPr>
        <w:t>you</w:t>
      </w:r>
      <w:r>
        <w:rPr>
          <w:rFonts w:ascii="Arial" w:cs="Arial" w:eastAsia="Arial" w:hAnsi="Arial"/>
          <w:sz w:val="22"/>
          <w:szCs w:val="22"/>
          <w:color w:val="auto"/>
        </w:rPr>
        <w:t>” or “</w:t>
      </w:r>
      <w:r>
        <w:rPr>
          <w:rFonts w:ascii="Arial" w:cs="Arial" w:eastAsia="Arial" w:hAnsi="Arial"/>
          <w:sz w:val="22"/>
          <w:szCs w:val="22"/>
          <w:u w:val="single" w:color="auto"/>
          <w:color w:val="auto"/>
        </w:rPr>
        <w:t>your</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firstLine="872"/>
        <w:spacing w:after="0" w:line="328" w:lineRule="auto"/>
        <w:tabs>
          <w:tab w:leader="none" w:pos="1674" w:val="left"/>
        </w:tabs>
        <w:numPr>
          <w:ilvl w:val="0"/>
          <w:numId w:val="58"/>
        </w:numPr>
        <w:rPr>
          <w:rFonts w:ascii="Arial" w:cs="Arial" w:eastAsia="Arial" w:hAnsi="Arial"/>
          <w:sz w:val="19"/>
          <w:szCs w:val="19"/>
          <w:color w:val="auto"/>
        </w:rPr>
      </w:pPr>
      <w:r>
        <w:rPr>
          <w:rFonts w:ascii="Arial" w:cs="Arial" w:eastAsia="Arial" w:hAnsi="Arial"/>
          <w:sz w:val="19"/>
          <w:szCs w:val="19"/>
          <w:color w:val="auto"/>
        </w:rPr>
        <w:t>Effective as of the date hereof, Aptevo has sold, transferred, assigned and conveyed to HealthCare Royalty Partners IV, LP (“</w:t>
      </w:r>
      <w:r>
        <w:rPr>
          <w:rFonts w:ascii="Arial" w:cs="Arial" w:eastAsia="Arial" w:hAnsi="Arial"/>
          <w:sz w:val="19"/>
          <w:szCs w:val="19"/>
          <w:u w:val="single" w:color="auto"/>
          <w:color w:val="auto"/>
        </w:rPr>
        <w:t>Buyer</w:t>
      </w:r>
      <w:r>
        <w:rPr>
          <w:rFonts w:ascii="Arial" w:cs="Arial" w:eastAsia="Arial" w:hAnsi="Arial"/>
          <w:sz w:val="19"/>
          <w:szCs w:val="19"/>
          <w:color w:val="auto"/>
        </w:rPr>
        <w:t>”) all of Aptevo’s right, title and interest in and to the surviving provisions under the License Agreement.</w:t>
      </w:r>
    </w:p>
    <w:p>
      <w:pPr>
        <w:spacing w:after="0" w:line="104" w:lineRule="exact"/>
        <w:rPr>
          <w:rFonts w:ascii="Arial" w:cs="Arial" w:eastAsia="Arial" w:hAnsi="Arial"/>
          <w:sz w:val="19"/>
          <w:szCs w:val="19"/>
          <w:color w:val="auto"/>
        </w:rPr>
      </w:pPr>
    </w:p>
    <w:p>
      <w:pPr>
        <w:ind w:firstLine="872"/>
        <w:spacing w:after="0" w:line="250" w:lineRule="auto"/>
        <w:tabs>
          <w:tab w:leader="none" w:pos="1674" w:val="left"/>
        </w:tabs>
        <w:numPr>
          <w:ilvl w:val="0"/>
          <w:numId w:val="58"/>
        </w:numPr>
        <w:rPr>
          <w:rFonts w:ascii="Arial" w:cs="Arial" w:eastAsia="Arial" w:hAnsi="Arial"/>
          <w:sz w:val="22"/>
          <w:szCs w:val="22"/>
          <w:color w:val="auto"/>
        </w:rPr>
      </w:pPr>
      <w:r>
        <w:rPr>
          <w:rFonts w:ascii="Arial" w:cs="Arial" w:eastAsia="Arial" w:hAnsi="Arial"/>
          <w:sz w:val="22"/>
          <w:szCs w:val="22"/>
          <w:color w:val="auto"/>
        </w:rPr>
        <w:t>Accordingly, you are hereby directed to pay 100% of all payments due to Aptevo under the License Agreement to Citizens Bank, N.A., as escrow agent.</w:t>
      </w:r>
    </w:p>
    <w:p>
      <w:pPr>
        <w:spacing w:after="0" w:line="174" w:lineRule="exact"/>
        <w:rPr>
          <w:rFonts w:ascii="Arial" w:cs="Arial" w:eastAsia="Arial" w:hAnsi="Arial"/>
          <w:sz w:val="22"/>
          <w:szCs w:val="22"/>
          <w:color w:val="auto"/>
        </w:rPr>
      </w:pPr>
    </w:p>
    <w:p>
      <w:pPr>
        <w:ind w:left="1680" w:hanging="808"/>
        <w:spacing w:after="0"/>
        <w:tabs>
          <w:tab w:leader="none" w:pos="16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All payments to Buyer should be made by wire transfer of United States dollars to the account set forth</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below.</w:t>
      </w:r>
    </w:p>
    <w:p>
      <w:pPr>
        <w:spacing w:after="0" w:line="186" w:lineRule="exact"/>
        <w:rPr>
          <w:sz w:val="20"/>
          <w:szCs w:val="20"/>
          <w:color w:val="auto"/>
        </w:rPr>
      </w:pPr>
    </w:p>
    <w:tbl>
      <w:tblPr>
        <w:tblLayout w:type="fixed"/>
        <w:tblInd w:w="1700" w:type="dxa"/>
        <w:tblCellMar>
          <w:top w:w="0" w:type="dxa"/>
          <w:left w:w="0" w:type="dxa"/>
          <w:bottom w:w="0" w:type="dxa"/>
          <w:right w:w="0" w:type="dxa"/>
        </w:tblCellMar>
      </w:tblPr>
      <w:tr>
        <w:trPr>
          <w:trHeight w:val="253"/>
        </w:trPr>
        <w:tc>
          <w:tcPr>
            <w:tcW w:w="1820" w:type="dxa"/>
            <w:vAlign w:val="bottom"/>
            <w:gridSpan w:val="2"/>
          </w:tcPr>
          <w:p>
            <w:pPr>
              <w:spacing w:after="0"/>
              <w:rPr>
                <w:sz w:val="20"/>
                <w:szCs w:val="20"/>
                <w:color w:val="auto"/>
              </w:rPr>
            </w:pPr>
            <w:r>
              <w:rPr>
                <w:rFonts w:ascii="Arial" w:cs="Arial" w:eastAsia="Arial" w:hAnsi="Arial"/>
                <w:sz w:val="22"/>
                <w:szCs w:val="22"/>
                <w:color w:val="auto"/>
              </w:rPr>
              <w:t>Buyer Account</w:t>
            </w:r>
          </w:p>
        </w:tc>
        <w:tc>
          <w:tcPr>
            <w:tcW w:w="5360" w:type="dxa"/>
            <w:vAlign w:val="bottom"/>
            <w:vMerge w:val="restart"/>
          </w:tcPr>
          <w:p>
            <w:pPr>
              <w:ind w:left="320"/>
              <w:spacing w:after="0"/>
              <w:rPr>
                <w:sz w:val="20"/>
                <w:szCs w:val="20"/>
                <w:color w:val="auto"/>
              </w:rPr>
            </w:pPr>
            <w:r>
              <w:rPr>
                <w:rFonts w:ascii="Arial" w:cs="Arial" w:eastAsia="Arial" w:hAnsi="Arial"/>
                <w:sz w:val="22"/>
                <w:szCs w:val="22"/>
                <w:color w:val="auto"/>
              </w:rPr>
              <w:t>: Citizens Bank, N.A.</w:t>
            </w:r>
          </w:p>
        </w:tc>
        <w:tc>
          <w:tcPr>
            <w:tcW w:w="0" w:type="dxa"/>
            <w:vAlign w:val="bottom"/>
          </w:tcPr>
          <w:p>
            <w:pPr>
              <w:spacing w:after="0"/>
              <w:rPr>
                <w:sz w:val="1"/>
                <w:szCs w:val="1"/>
                <w:color w:val="auto"/>
              </w:rPr>
            </w:pPr>
          </w:p>
        </w:tc>
      </w:tr>
      <w:tr>
        <w:trPr>
          <w:trHeight w:val="242"/>
        </w:trPr>
        <w:tc>
          <w:tcPr>
            <w:tcW w:w="130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rPr>
              <w:t>Bank Name</w:t>
            </w:r>
          </w:p>
        </w:tc>
        <w:tc>
          <w:tcPr>
            <w:tcW w:w="520" w:type="dxa"/>
            <w:vAlign w:val="bottom"/>
          </w:tcPr>
          <w:p>
            <w:pPr>
              <w:spacing w:after="0"/>
              <w:rPr>
                <w:sz w:val="21"/>
                <w:szCs w:val="21"/>
                <w:color w:val="auto"/>
              </w:rPr>
            </w:pPr>
          </w:p>
        </w:tc>
        <w:tc>
          <w:tcPr>
            <w:tcW w:w="5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spacing w:after="0" w:line="243" w:lineRule="exact"/>
              <w:rPr>
                <w:sz w:val="20"/>
                <w:szCs w:val="20"/>
                <w:color w:val="auto"/>
              </w:rPr>
            </w:pPr>
            <w:r>
              <w:rPr>
                <w:rFonts w:ascii="Arial" w:cs="Arial" w:eastAsia="Arial" w:hAnsi="Arial"/>
                <w:sz w:val="22"/>
                <w:szCs w:val="22"/>
                <w:color w:val="auto"/>
              </w:rPr>
              <w:t>Bank Address</w:t>
            </w:r>
          </w:p>
        </w:tc>
        <w:tc>
          <w:tcPr>
            <w:tcW w:w="5360" w:type="dxa"/>
            <w:vAlign w:val="bottom"/>
          </w:tcPr>
          <w:p>
            <w:pPr>
              <w:ind w:left="320"/>
              <w:spacing w:after="0" w:line="243" w:lineRule="exact"/>
              <w:rPr>
                <w:sz w:val="20"/>
                <w:szCs w:val="20"/>
                <w:color w:val="auto"/>
              </w:rPr>
            </w:pPr>
            <w:r>
              <w:rPr>
                <w:rFonts w:ascii="Arial" w:cs="Arial" w:eastAsia="Arial" w:hAnsi="Arial"/>
                <w:sz w:val="22"/>
                <w:szCs w:val="22"/>
                <w:color w:val="auto"/>
              </w:rPr>
              <w:t>: 1 Citizens Drive ROP 140, Riverside, RI 02915</w:t>
            </w:r>
          </w:p>
        </w:tc>
        <w:tc>
          <w:tcPr>
            <w:tcW w:w="0" w:type="dxa"/>
            <w:vAlign w:val="bottom"/>
          </w:tcPr>
          <w:p>
            <w:pPr>
              <w:spacing w:after="0"/>
              <w:rPr>
                <w:sz w:val="1"/>
                <w:szCs w:val="1"/>
                <w:color w:val="auto"/>
              </w:rPr>
            </w:pPr>
          </w:p>
        </w:tc>
      </w:tr>
      <w:tr>
        <w:trPr>
          <w:trHeight w:val="243"/>
        </w:trPr>
        <w:tc>
          <w:tcPr>
            <w:tcW w:w="1820" w:type="dxa"/>
            <w:vAlign w:val="bottom"/>
            <w:gridSpan w:val="2"/>
          </w:tcPr>
          <w:p>
            <w:pPr>
              <w:spacing w:after="0" w:line="243" w:lineRule="exact"/>
              <w:rPr>
                <w:sz w:val="20"/>
                <w:szCs w:val="20"/>
                <w:color w:val="auto"/>
              </w:rPr>
            </w:pPr>
            <w:r>
              <w:rPr>
                <w:rFonts w:ascii="Arial" w:cs="Arial" w:eastAsia="Arial" w:hAnsi="Arial"/>
                <w:sz w:val="22"/>
                <w:szCs w:val="22"/>
                <w:color w:val="auto"/>
              </w:rPr>
              <w:t>ABA Number</w:t>
            </w:r>
          </w:p>
        </w:tc>
        <w:tc>
          <w:tcPr>
            <w:tcW w:w="5360" w:type="dxa"/>
            <w:vAlign w:val="bottom"/>
          </w:tcPr>
          <w:p>
            <w:pPr>
              <w:ind w:left="320"/>
              <w:spacing w:after="0" w:line="243" w:lineRule="exact"/>
              <w:rPr>
                <w:sz w:val="20"/>
                <w:szCs w:val="20"/>
                <w:color w:val="auto"/>
              </w:rPr>
            </w:pPr>
            <w:r>
              <w:rPr>
                <w:rFonts w:ascii="Arial" w:cs="Arial" w:eastAsia="Arial" w:hAnsi="Arial"/>
                <w:sz w:val="22"/>
                <w:szCs w:val="22"/>
                <w:color w:val="auto"/>
              </w:rPr>
              <w:t>: 021313103</w:t>
            </w:r>
          </w:p>
        </w:tc>
        <w:tc>
          <w:tcPr>
            <w:tcW w:w="0" w:type="dxa"/>
            <w:vAlign w:val="bottom"/>
          </w:tcPr>
          <w:p>
            <w:pPr>
              <w:spacing w:after="0"/>
              <w:rPr>
                <w:sz w:val="1"/>
                <w:szCs w:val="1"/>
                <w:color w:val="auto"/>
              </w:rPr>
            </w:pPr>
          </w:p>
        </w:tc>
      </w:tr>
      <w:tr>
        <w:trPr>
          <w:trHeight w:val="243"/>
        </w:trPr>
        <w:tc>
          <w:tcPr>
            <w:tcW w:w="1820" w:type="dxa"/>
            <w:vAlign w:val="bottom"/>
            <w:gridSpan w:val="2"/>
          </w:tcPr>
          <w:p>
            <w:pPr>
              <w:spacing w:after="0" w:line="243" w:lineRule="exact"/>
              <w:rPr>
                <w:sz w:val="20"/>
                <w:szCs w:val="20"/>
                <w:color w:val="auto"/>
              </w:rPr>
            </w:pPr>
            <w:r>
              <w:rPr>
                <w:rFonts w:ascii="Arial" w:cs="Arial" w:eastAsia="Arial" w:hAnsi="Arial"/>
                <w:sz w:val="22"/>
                <w:szCs w:val="22"/>
                <w:color w:val="auto"/>
              </w:rPr>
              <w:t>Account Name</w:t>
            </w:r>
          </w:p>
        </w:tc>
        <w:tc>
          <w:tcPr>
            <w:tcW w:w="5360" w:type="dxa"/>
            <w:vAlign w:val="bottom"/>
          </w:tcPr>
          <w:p>
            <w:pPr>
              <w:ind w:left="320"/>
              <w:spacing w:after="0" w:line="243" w:lineRule="exact"/>
              <w:rPr>
                <w:sz w:val="20"/>
                <w:szCs w:val="20"/>
                <w:color w:val="auto"/>
              </w:rPr>
            </w:pPr>
            <w:r>
              <w:rPr>
                <w:rFonts w:ascii="Arial" w:cs="Arial" w:eastAsia="Arial" w:hAnsi="Arial"/>
                <w:sz w:val="22"/>
                <w:szCs w:val="22"/>
                <w:color w:val="auto"/>
              </w:rPr>
              <w:t>: CITIZENS BANK NA</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360" w:type="dxa"/>
            <w:vAlign w:val="bottom"/>
          </w:tcPr>
          <w:p>
            <w:pPr>
              <w:ind w:left="320"/>
              <w:spacing w:after="0" w:line="243" w:lineRule="exact"/>
              <w:rPr>
                <w:sz w:val="20"/>
                <w:szCs w:val="20"/>
                <w:color w:val="auto"/>
              </w:rPr>
            </w:pPr>
            <w:r>
              <w:rPr>
                <w:rFonts w:ascii="Arial" w:cs="Arial" w:eastAsia="Arial" w:hAnsi="Arial"/>
                <w:sz w:val="22"/>
                <w:szCs w:val="22"/>
                <w:color w:val="auto"/>
                <w:w w:val="95"/>
              </w:rPr>
              <w:t>: AGT FOR HCR COLLATERAL MANAGEMENT LLC</w:t>
            </w:r>
          </w:p>
        </w:tc>
        <w:tc>
          <w:tcPr>
            <w:tcW w:w="0" w:type="dxa"/>
            <w:vAlign w:val="bottom"/>
          </w:tcPr>
          <w:p>
            <w:pPr>
              <w:spacing w:after="0"/>
              <w:rPr>
                <w:sz w:val="1"/>
                <w:szCs w:val="1"/>
                <w:color w:val="auto"/>
              </w:rPr>
            </w:pPr>
          </w:p>
        </w:tc>
      </w:tr>
      <w:tr>
        <w:trPr>
          <w:trHeight w:val="243"/>
        </w:trPr>
        <w:tc>
          <w:tcPr>
            <w:tcW w:w="1820" w:type="dxa"/>
            <w:vAlign w:val="bottom"/>
            <w:gridSpan w:val="2"/>
          </w:tcPr>
          <w:p>
            <w:pPr>
              <w:spacing w:after="0" w:line="243" w:lineRule="exact"/>
              <w:rPr>
                <w:sz w:val="20"/>
                <w:szCs w:val="20"/>
                <w:color w:val="auto"/>
              </w:rPr>
            </w:pPr>
            <w:r>
              <w:rPr>
                <w:rFonts w:ascii="Arial" w:cs="Arial" w:eastAsia="Arial" w:hAnsi="Arial"/>
                <w:sz w:val="22"/>
                <w:szCs w:val="22"/>
                <w:color w:val="auto"/>
              </w:rPr>
              <w:t>Account Number</w:t>
            </w:r>
          </w:p>
        </w:tc>
        <w:tc>
          <w:tcPr>
            <w:tcW w:w="5360" w:type="dxa"/>
            <w:vAlign w:val="bottom"/>
          </w:tcPr>
          <w:p>
            <w:pPr>
              <w:ind w:left="320"/>
              <w:spacing w:after="0" w:line="243" w:lineRule="exact"/>
              <w:rPr>
                <w:sz w:val="20"/>
                <w:szCs w:val="20"/>
                <w:color w:val="auto"/>
              </w:rPr>
            </w:pPr>
            <w:r>
              <w:rPr>
                <w:rFonts w:ascii="Arial" w:cs="Arial" w:eastAsia="Arial" w:hAnsi="Arial"/>
                <w:sz w:val="22"/>
                <w:szCs w:val="22"/>
                <w:color w:val="auto"/>
              </w:rPr>
              <w:t>: 4021277322</w:t>
            </w:r>
          </w:p>
        </w:tc>
        <w:tc>
          <w:tcPr>
            <w:tcW w:w="0" w:type="dxa"/>
            <w:vAlign w:val="bottom"/>
          </w:tcPr>
          <w:p>
            <w:pPr>
              <w:spacing w:after="0"/>
              <w:rPr>
                <w:sz w:val="1"/>
                <w:szCs w:val="1"/>
                <w:color w:val="auto"/>
              </w:rPr>
            </w:pPr>
          </w:p>
        </w:tc>
      </w:tr>
      <w:tr>
        <w:trPr>
          <w:trHeight w:val="274"/>
        </w:trPr>
        <w:tc>
          <w:tcPr>
            <w:tcW w:w="1820" w:type="dxa"/>
            <w:vAlign w:val="bottom"/>
            <w:gridSpan w:val="2"/>
          </w:tcPr>
          <w:p>
            <w:pPr>
              <w:spacing w:after="0"/>
              <w:rPr>
                <w:sz w:val="20"/>
                <w:szCs w:val="20"/>
                <w:color w:val="auto"/>
              </w:rPr>
            </w:pPr>
            <w:r>
              <w:rPr>
                <w:rFonts w:ascii="Arial" w:cs="Arial" w:eastAsia="Arial" w:hAnsi="Arial"/>
                <w:sz w:val="22"/>
                <w:szCs w:val="22"/>
                <w:color w:val="auto"/>
              </w:rPr>
              <w:t>Ref</w:t>
            </w:r>
          </w:p>
        </w:tc>
        <w:tc>
          <w:tcPr>
            <w:tcW w:w="5360" w:type="dxa"/>
            <w:vAlign w:val="bottom"/>
          </w:tcPr>
          <w:p>
            <w:pPr>
              <w:ind w:left="320"/>
              <w:spacing w:after="0"/>
              <w:rPr>
                <w:sz w:val="20"/>
                <w:szCs w:val="20"/>
                <w:color w:val="auto"/>
              </w:rPr>
            </w:pPr>
            <w:r>
              <w:rPr>
                <w:rFonts w:ascii="Arial" w:cs="Arial" w:eastAsia="Arial" w:hAnsi="Arial"/>
                <w:sz w:val="22"/>
                <w:szCs w:val="22"/>
                <w:color w:val="auto"/>
              </w:rPr>
              <w:t>: Aptevo Therapeutics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872"/>
        <w:spacing w:after="0"/>
        <w:tabs>
          <w:tab w:leader="none" w:pos="1674"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addition, you are hereby directed, beginning with the royalty report for the calendar quarter ending March 31, 2021, to send a copy of each Royalty Report to be furnished pursuant to Section 5.5.2 of the License Agreement to Buyer by e-mail at the following addresses: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6" w:name="page97"/>
    <w:bookmarkEnd w:id="96"/>
    <w:p>
      <w:pPr>
        <w:ind w:left="1740"/>
        <w:spacing w:after="0"/>
        <w:rPr>
          <w:sz w:val="20"/>
          <w:szCs w:val="20"/>
          <w:color w:val="auto"/>
        </w:rPr>
      </w:pPr>
      <w:r>
        <w:rPr>
          <w:rFonts w:ascii="Arial" w:cs="Arial" w:eastAsia="Arial" w:hAnsi="Arial"/>
          <w:sz w:val="22"/>
          <w:szCs w:val="22"/>
          <w:u w:val="single" w:color="auto"/>
          <w:color w:val="auto"/>
        </w:rPr>
        <w:t>Clarke.Futch@hcroyalty.com</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auto"/>
        </w:rPr>
        <w:t>Matthew.Bullard@hcroyalty.com</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For clarity, you will continue to send each Royalty Report to be furnished pursuant to Section 5.5.2 of the License Agreement to Aptevo in addition to Buyer.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w:t>
      </w:r>
      <w:r>
        <w:rPr>
          <w:rFonts w:ascii="Arial" w:cs="Arial" w:eastAsia="Arial" w:hAnsi="Arial"/>
          <w:sz w:val="14"/>
          <w:szCs w:val="14"/>
          <w:i w:val="1"/>
          <w:iCs w:val="1"/>
          <w:color w:val="auto"/>
        </w:rPr>
        <w:t>IGNATURE</w:t>
      </w:r>
      <w:r>
        <w:rPr>
          <w:rFonts w:ascii="Arial" w:cs="Arial" w:eastAsia="Arial" w:hAnsi="Arial"/>
          <w:sz w:val="22"/>
          <w:szCs w:val="22"/>
          <w:color w:val="auto"/>
        </w:rPr>
        <w:t xml:space="preserve"> </w:t>
      </w:r>
      <w:r>
        <w:rPr>
          <w:rFonts w:ascii="Arial" w:cs="Arial" w:eastAsia="Arial" w:hAnsi="Arial"/>
          <w:sz w:val="22"/>
          <w:szCs w:val="22"/>
          <w:i w:val="1"/>
          <w:iCs w:val="1"/>
          <w:color w:val="auto"/>
        </w:rPr>
        <w:t>P</w:t>
      </w:r>
      <w:r>
        <w:rPr>
          <w:rFonts w:ascii="Arial" w:cs="Arial" w:eastAsia="Arial" w:hAnsi="Arial"/>
          <w:sz w:val="14"/>
          <w:szCs w:val="14"/>
          <w:i w:val="1"/>
          <w:iCs w:val="1"/>
          <w:color w:val="auto"/>
        </w:rPr>
        <w:t>AGE</w:t>
      </w:r>
      <w:r>
        <w:rPr>
          <w:rFonts w:ascii="Arial" w:cs="Arial" w:eastAsia="Arial" w:hAnsi="Arial"/>
          <w:sz w:val="22"/>
          <w:szCs w:val="22"/>
          <w:color w:val="auto"/>
        </w:rPr>
        <w:t xml:space="preserve"> </w:t>
      </w:r>
      <w:r>
        <w:rPr>
          <w:rFonts w:ascii="Arial" w:cs="Arial" w:eastAsia="Arial" w:hAnsi="Arial"/>
          <w:sz w:val="22"/>
          <w:szCs w:val="22"/>
          <w:i w:val="1"/>
          <w:iCs w:val="1"/>
          <w:color w:val="auto"/>
        </w:rPr>
        <w:t>F</w:t>
      </w:r>
      <w:r>
        <w:rPr>
          <w:rFonts w:ascii="Arial" w:cs="Arial" w:eastAsia="Arial" w:hAnsi="Arial"/>
          <w:sz w:val="14"/>
          <w:szCs w:val="14"/>
          <w:i w:val="1"/>
          <w:iCs w:val="1"/>
          <w:color w:val="auto"/>
        </w:rPr>
        <w:t>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Thank you very much for your cooperation regarding this matter.</w:t>
      </w:r>
    </w:p>
    <w:p>
      <w:pPr>
        <w:spacing w:after="0" w:line="233" w:lineRule="exact"/>
        <w:rPr>
          <w:sz w:val="20"/>
          <w:szCs w:val="20"/>
          <w:color w:val="auto"/>
        </w:rPr>
      </w:pPr>
    </w:p>
    <w:p>
      <w:pPr>
        <w:ind w:left="4740"/>
        <w:spacing w:after="0"/>
        <w:tabs>
          <w:tab w:leader="none" w:pos="5900" w:val="left"/>
        </w:tabs>
        <w:rPr>
          <w:sz w:val="20"/>
          <w:szCs w:val="20"/>
          <w:color w:val="auto"/>
        </w:rPr>
      </w:pPr>
      <w:r>
        <w:rPr>
          <w:rFonts w:ascii="Arial" w:cs="Arial" w:eastAsia="Arial" w:hAnsi="Arial"/>
          <w:sz w:val="22"/>
          <w:szCs w:val="22"/>
          <w:color w:val="auto"/>
        </w:rPr>
        <w:t>Signed by</w:t>
      </w:r>
      <w:r>
        <w:rPr>
          <w:sz w:val="20"/>
          <w:szCs w:val="20"/>
          <w:color w:val="auto"/>
        </w:rPr>
        <w:tab/>
      </w:r>
      <w:r>
        <w:rPr>
          <w:rFonts w:ascii="Arial" w:cs="Arial" w:eastAsia="Arial" w:hAnsi="Arial"/>
          <w:sz w:val="17"/>
          <w:szCs w:val="17"/>
          <w:color w:val="auto"/>
        </w:rPr>
        <w:t>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6985</wp:posOffset>
            </wp:positionV>
            <wp:extent cx="28200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2"/>
          <w:szCs w:val="22"/>
          <w:color w:val="auto"/>
        </w:rPr>
        <w:t>for and on behalf of</w:t>
      </w:r>
    </w:p>
    <w:p>
      <w:pPr>
        <w:ind w:left="4740"/>
        <w:spacing w:after="0"/>
        <w:rPr>
          <w:sz w:val="20"/>
          <w:szCs w:val="20"/>
          <w:color w:val="auto"/>
        </w:rPr>
      </w:pPr>
      <w:r>
        <w:rPr>
          <w:rFonts w:ascii="Arial" w:cs="Arial" w:eastAsia="Arial" w:hAnsi="Arial"/>
          <w:sz w:val="19"/>
          <w:szCs w:val="19"/>
          <w:color w:val="auto"/>
        </w:rPr>
        <w:t>APTEVO THERAPEUTICS INC.</w:t>
      </w:r>
    </w:p>
    <w:p>
      <w:pPr>
        <w:spacing w:after="0" w:line="3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4445</wp:posOffset>
            </wp:positionV>
            <wp:extent cx="3566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4740"/>
        <w:spacing w:after="0" w:line="224" w:lineRule="auto"/>
        <w:tabs>
          <w:tab w:leader="none" w:pos="5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Signature Page to Pfizer Instruction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220345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604" w:right="1440"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cc: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Pfizer / Wyeth Pharmaceuticals</w:t>
      </w:r>
    </w:p>
    <w:p>
      <w:pPr>
        <w:spacing w:after="0" w:line="238" w:lineRule="auto"/>
        <w:rPr>
          <w:sz w:val="20"/>
          <w:szCs w:val="20"/>
          <w:color w:val="auto"/>
        </w:rPr>
      </w:pPr>
      <w:r>
        <w:rPr>
          <w:rFonts w:ascii="Arial" w:cs="Arial" w:eastAsia="Arial" w:hAnsi="Arial"/>
          <w:sz w:val="22"/>
          <w:szCs w:val="22"/>
          <w:color w:val="auto"/>
        </w:rPr>
        <w:t>500 Arcola Road</w:t>
      </w:r>
    </w:p>
    <w:p>
      <w:pPr>
        <w:spacing w:after="0" w:line="230" w:lineRule="auto"/>
        <w:rPr>
          <w:sz w:val="20"/>
          <w:szCs w:val="20"/>
          <w:color w:val="auto"/>
        </w:rPr>
      </w:pPr>
      <w:r>
        <w:rPr>
          <w:rFonts w:ascii="Arial" w:cs="Arial" w:eastAsia="Arial" w:hAnsi="Arial"/>
          <w:sz w:val="22"/>
          <w:szCs w:val="22"/>
          <w:color w:val="auto"/>
        </w:rPr>
        <w:t>Collegeville, Pennsylvania 19426</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Attn: Senior Vice President, Corporate Business Development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Fax: 484-865-6476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780415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604"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D</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TO </w:t>
      </w:r>
      <w:r>
        <w:rPr>
          <w:rFonts w:ascii="Arial" w:cs="Arial" w:eastAsia="Arial" w:hAnsi="Arial"/>
          <w:sz w:val="21"/>
          <w:szCs w:val="21"/>
          <w:color w:val="auto"/>
        </w:rPr>
        <w:t>R</w:t>
      </w:r>
      <w:r>
        <w:rPr>
          <w:rFonts w:ascii="Arial" w:cs="Arial" w:eastAsia="Arial" w:hAnsi="Arial"/>
          <w:sz w:val="15"/>
          <w:szCs w:val="15"/>
          <w:color w:val="auto"/>
        </w:rPr>
        <w:t xml:space="preserve">OYALTY </w:t>
      </w:r>
      <w:r>
        <w:rPr>
          <w:rFonts w:ascii="Arial" w:cs="Arial" w:eastAsia="Arial" w:hAnsi="Arial"/>
          <w:sz w:val="21"/>
          <w:szCs w:val="21"/>
          <w:color w:val="auto"/>
        </w:rPr>
        <w:t>P</w:t>
      </w:r>
      <w:r>
        <w:rPr>
          <w:rFonts w:ascii="Arial" w:cs="Arial" w:eastAsia="Arial" w:hAnsi="Arial"/>
          <w:sz w:val="15"/>
          <w:szCs w:val="15"/>
          <w:color w:val="auto"/>
        </w:rPr>
        <w:t xml:space="preserve">URCHASE </w:t>
      </w:r>
      <w:r>
        <w:rPr>
          <w:rFonts w:ascii="Arial" w:cs="Arial" w:eastAsia="Arial" w:hAnsi="Arial"/>
          <w:sz w:val="21"/>
          <w:szCs w:val="21"/>
          <w:color w:val="auto"/>
        </w:rPr>
        <w:t>A</w:t>
      </w:r>
      <w:r>
        <w:rPr>
          <w:rFonts w:ascii="Arial" w:cs="Arial" w:eastAsia="Arial" w:hAnsi="Arial"/>
          <w:sz w:val="15"/>
          <w:szCs w:val="15"/>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21"/>
          <w:szCs w:val="21"/>
          <w:u w:val="single" w:color="auto"/>
          <w:color w:val="auto"/>
        </w:rPr>
        <w:t>LEGAL OPINION</w:t>
      </w:r>
    </w:p>
    <w:p>
      <w:pPr>
        <w:spacing w:after="0" w:line="245"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60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TO </w:t>
      </w:r>
      <w:r>
        <w:rPr>
          <w:rFonts w:ascii="Arial" w:cs="Arial" w:eastAsia="Arial" w:hAnsi="Arial"/>
          <w:sz w:val="21"/>
          <w:szCs w:val="21"/>
          <w:color w:val="auto"/>
        </w:rPr>
        <w:t>R</w:t>
      </w:r>
      <w:r>
        <w:rPr>
          <w:rFonts w:ascii="Arial" w:cs="Arial" w:eastAsia="Arial" w:hAnsi="Arial"/>
          <w:sz w:val="15"/>
          <w:szCs w:val="15"/>
          <w:color w:val="auto"/>
        </w:rPr>
        <w:t xml:space="preserve">OYALTY </w:t>
      </w:r>
      <w:r>
        <w:rPr>
          <w:rFonts w:ascii="Arial" w:cs="Arial" w:eastAsia="Arial" w:hAnsi="Arial"/>
          <w:sz w:val="21"/>
          <w:szCs w:val="21"/>
          <w:color w:val="auto"/>
        </w:rPr>
        <w:t>P</w:t>
      </w:r>
      <w:r>
        <w:rPr>
          <w:rFonts w:ascii="Arial" w:cs="Arial" w:eastAsia="Arial" w:hAnsi="Arial"/>
          <w:sz w:val="15"/>
          <w:szCs w:val="15"/>
          <w:color w:val="auto"/>
        </w:rPr>
        <w:t xml:space="preserve">URCHASE </w:t>
      </w:r>
      <w:r>
        <w:rPr>
          <w:rFonts w:ascii="Arial" w:cs="Arial" w:eastAsia="Arial" w:hAnsi="Arial"/>
          <w:sz w:val="21"/>
          <w:szCs w:val="21"/>
          <w:color w:val="auto"/>
        </w:rPr>
        <w:t>A</w:t>
      </w:r>
      <w:r>
        <w:rPr>
          <w:rFonts w:ascii="Arial" w:cs="Arial" w:eastAsia="Arial" w:hAnsi="Arial"/>
          <w:sz w:val="15"/>
          <w:szCs w:val="15"/>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19"/>
          <w:szCs w:val="19"/>
          <w:u w:val="single" w:color="auto"/>
          <w:color w:val="auto"/>
        </w:rPr>
        <w:t>ESCROW AGREEMENT</w:t>
      </w:r>
    </w:p>
    <w:p>
      <w:pPr>
        <w:spacing w:after="0" w:line="4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84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F</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TO </w:t>
      </w:r>
      <w:r>
        <w:rPr>
          <w:rFonts w:ascii="Arial" w:cs="Arial" w:eastAsia="Arial" w:hAnsi="Arial"/>
          <w:sz w:val="21"/>
          <w:szCs w:val="21"/>
          <w:color w:val="auto"/>
        </w:rPr>
        <w:t>R</w:t>
      </w:r>
      <w:r>
        <w:rPr>
          <w:rFonts w:ascii="Arial" w:cs="Arial" w:eastAsia="Arial" w:hAnsi="Arial"/>
          <w:sz w:val="15"/>
          <w:szCs w:val="15"/>
          <w:color w:val="auto"/>
        </w:rPr>
        <w:t xml:space="preserve">OYALTY </w:t>
      </w:r>
      <w:r>
        <w:rPr>
          <w:rFonts w:ascii="Arial" w:cs="Arial" w:eastAsia="Arial" w:hAnsi="Arial"/>
          <w:sz w:val="21"/>
          <w:szCs w:val="21"/>
          <w:color w:val="auto"/>
        </w:rPr>
        <w:t>P</w:t>
      </w:r>
      <w:r>
        <w:rPr>
          <w:rFonts w:ascii="Arial" w:cs="Arial" w:eastAsia="Arial" w:hAnsi="Arial"/>
          <w:sz w:val="15"/>
          <w:szCs w:val="15"/>
          <w:color w:val="auto"/>
        </w:rPr>
        <w:t xml:space="preserve">URCHASE </w:t>
      </w:r>
      <w:r>
        <w:rPr>
          <w:rFonts w:ascii="Arial" w:cs="Arial" w:eastAsia="Arial" w:hAnsi="Arial"/>
          <w:sz w:val="21"/>
          <w:szCs w:val="21"/>
          <w:color w:val="auto"/>
        </w:rPr>
        <w:t>A</w:t>
      </w:r>
      <w:r>
        <w:rPr>
          <w:rFonts w:ascii="Arial" w:cs="Arial" w:eastAsia="Arial" w:hAnsi="Arial"/>
          <w:sz w:val="15"/>
          <w:szCs w:val="15"/>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19"/>
          <w:szCs w:val="19"/>
          <w:u w:val="single" w:color="auto"/>
          <w:color w:val="auto"/>
        </w:rPr>
        <w:t>LICENSE AGREEMENT</w:t>
      </w:r>
    </w:p>
    <w:p>
      <w:pPr>
        <w:spacing w:after="0" w:line="26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Omitted.</w:t>
      </w:r>
    </w:p>
    <w:p>
      <w:pPr>
        <w:sectPr>
          <w:pgSz w:w="11900" w:h="16838" w:orient="portrait"/>
          <w:cols w:equalWidth="0" w:num="1">
            <w:col w:w="10120"/>
          </w:cols>
          <w:pgMar w:left="1440" w:top="604"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10.2</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CREDIT AND SECURITY AGREEMENT</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This FIRST AMENDMENT TO AMENDED AND RESTATED CREDIT AND SECURITY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made as of March 30, 2021, by and among </w:t>
      </w:r>
      <w:r>
        <w:rPr>
          <w:rFonts w:ascii="Arial" w:cs="Arial" w:eastAsia="Arial" w:hAnsi="Arial"/>
          <w:sz w:val="19"/>
          <w:szCs w:val="19"/>
          <w:b w:val="1"/>
          <w:bCs w:val="1"/>
          <w:color w:val="auto"/>
        </w:rPr>
        <w:t>APTEVO THERAPEUTICS INC.</w:t>
      </w:r>
      <w:r>
        <w:rPr>
          <w:rFonts w:ascii="Arial" w:cs="Arial" w:eastAsia="Arial" w:hAnsi="Arial"/>
          <w:sz w:val="19"/>
          <w:szCs w:val="19"/>
          <w:color w:val="auto"/>
        </w:rPr>
        <w:t>, a Delaware corporation (“</w:t>
      </w:r>
      <w:r>
        <w:rPr>
          <w:rFonts w:ascii="Arial" w:cs="Arial" w:eastAsia="Arial" w:hAnsi="Arial"/>
          <w:sz w:val="19"/>
          <w:szCs w:val="19"/>
          <w:b w:val="1"/>
          <w:bCs w:val="1"/>
          <w:color w:val="auto"/>
        </w:rPr>
        <w:t>Aptevo Therapeutics</w:t>
      </w:r>
      <w:r>
        <w:rPr>
          <w:rFonts w:ascii="Arial" w:cs="Arial" w:eastAsia="Arial" w:hAnsi="Arial"/>
          <w:sz w:val="19"/>
          <w:szCs w:val="19"/>
          <w:color w:val="auto"/>
        </w:rPr>
        <w:t xml:space="preserve">”), and </w:t>
      </w:r>
      <w:r>
        <w:rPr>
          <w:rFonts w:ascii="Arial" w:cs="Arial" w:eastAsia="Arial" w:hAnsi="Arial"/>
          <w:sz w:val="19"/>
          <w:szCs w:val="19"/>
          <w:b w:val="1"/>
          <w:bCs w:val="1"/>
          <w:color w:val="auto"/>
        </w:rPr>
        <w:t>APTEVO RESEARCH AND DEVELOPMENT LLC</w:t>
      </w:r>
      <w:r>
        <w:rPr>
          <w:rFonts w:ascii="Arial" w:cs="Arial" w:eastAsia="Arial" w:hAnsi="Arial"/>
          <w:sz w:val="19"/>
          <w:szCs w:val="19"/>
          <w:color w:val="auto"/>
        </w:rPr>
        <w:t>, a Delaware limited liability company (“</w:t>
      </w:r>
      <w:r>
        <w:rPr>
          <w:rFonts w:ascii="Arial" w:cs="Arial" w:eastAsia="Arial" w:hAnsi="Arial"/>
          <w:sz w:val="19"/>
          <w:szCs w:val="19"/>
          <w:b w:val="1"/>
          <w:bCs w:val="1"/>
          <w:color w:val="auto"/>
        </w:rPr>
        <w:t>Aptevo R&amp;D</w:t>
      </w:r>
      <w:r>
        <w:rPr>
          <w:rFonts w:ascii="Arial" w:cs="Arial" w:eastAsia="Arial" w:hAnsi="Arial"/>
          <w:sz w:val="19"/>
          <w:szCs w:val="19"/>
          <w:color w:val="auto"/>
        </w:rPr>
        <w:t>”, and together with Aptevo</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Therapeutics, each individually, a “</w:t>
      </w:r>
      <w:r>
        <w:rPr>
          <w:rFonts w:ascii="Arial" w:cs="Arial" w:eastAsia="Arial" w:hAnsi="Arial"/>
          <w:sz w:val="19"/>
          <w:szCs w:val="19"/>
          <w:b w:val="1"/>
          <w:bCs w:val="1"/>
          <w:color w:val="auto"/>
        </w:rPr>
        <w:t>Borrower</w:t>
      </w:r>
      <w:r>
        <w:rPr>
          <w:rFonts w:ascii="Arial" w:cs="Arial" w:eastAsia="Arial" w:hAnsi="Arial"/>
          <w:sz w:val="19"/>
          <w:szCs w:val="19"/>
          <w:color w:val="auto"/>
        </w:rPr>
        <w:t>” and collectively, the “</w:t>
      </w:r>
      <w:r>
        <w:rPr>
          <w:rFonts w:ascii="Arial" w:cs="Arial" w:eastAsia="Arial" w:hAnsi="Arial"/>
          <w:sz w:val="19"/>
          <w:szCs w:val="19"/>
          <w:b w:val="1"/>
          <w:bCs w:val="1"/>
          <w:color w:val="auto"/>
        </w:rPr>
        <w:t>Borrowers</w:t>
      </w:r>
      <w:r>
        <w:rPr>
          <w:rFonts w:ascii="Arial" w:cs="Arial" w:eastAsia="Arial" w:hAnsi="Arial"/>
          <w:sz w:val="19"/>
          <w:szCs w:val="19"/>
          <w:color w:val="auto"/>
        </w:rPr>
        <w:t xml:space="preserve">”), </w:t>
      </w:r>
      <w:r>
        <w:rPr>
          <w:rFonts w:ascii="Arial" w:cs="Arial" w:eastAsia="Arial" w:hAnsi="Arial"/>
          <w:sz w:val="19"/>
          <w:szCs w:val="19"/>
          <w:b w:val="1"/>
          <w:bCs w:val="1"/>
          <w:color w:val="auto"/>
        </w:rPr>
        <w:t>MIDCAP FINANCIAL TRUST</w:t>
      </w:r>
      <w:r>
        <w:rPr>
          <w:rFonts w:ascii="Arial" w:cs="Arial" w:eastAsia="Arial" w:hAnsi="Arial"/>
          <w:sz w:val="19"/>
          <w:szCs w:val="19"/>
          <w:color w:val="auto"/>
        </w:rPr>
        <w:t>, a Delaware statutory trust, as Agent (in such capacity, together with its successors and assigns, “</w:t>
      </w:r>
      <w:r>
        <w:rPr>
          <w:rFonts w:ascii="Arial" w:cs="Arial" w:eastAsia="Arial" w:hAnsi="Arial"/>
          <w:sz w:val="19"/>
          <w:szCs w:val="19"/>
          <w:b w:val="1"/>
          <w:bCs w:val="1"/>
          <w:color w:val="auto"/>
        </w:rPr>
        <w:t>Agent</w:t>
      </w:r>
      <w:r>
        <w:rPr>
          <w:rFonts w:ascii="Arial" w:cs="Arial" w:eastAsia="Arial" w:hAnsi="Arial"/>
          <w:sz w:val="19"/>
          <w:szCs w:val="19"/>
          <w:color w:val="auto"/>
        </w:rPr>
        <w:t>”) and the financial institutions or other entities from time to time parties to the Credit Agreement referenced below, each as a Lender.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872"/>
        <w:spacing w:after="0" w:line="244" w:lineRule="auto"/>
        <w:tabs>
          <w:tab w:leader="none" w:pos="1704" w:val="left"/>
        </w:tabs>
        <w:numPr>
          <w:ilvl w:val="0"/>
          <w:numId w:val="60"/>
        </w:numPr>
        <w:rPr>
          <w:rFonts w:ascii="Arial" w:cs="Arial" w:eastAsia="Arial" w:hAnsi="Arial"/>
          <w:sz w:val="20"/>
          <w:szCs w:val="20"/>
          <w:color w:val="auto"/>
        </w:rPr>
      </w:pPr>
      <w:r>
        <w:rPr>
          <w:rFonts w:ascii="Arial" w:cs="Arial" w:eastAsia="Arial" w:hAnsi="Arial"/>
          <w:sz w:val="20"/>
          <w:szCs w:val="20"/>
          <w:color w:val="auto"/>
        </w:rPr>
        <w:t>Agent, Lenders and Borrowers have entered into that certain Credit and Security Agreement, dated as of August 5, 2020 (as amended, modified, supplemented and restated prior to the date hereof, the “</w:t>
      </w:r>
      <w:r>
        <w:rPr>
          <w:rFonts w:ascii="Arial" w:cs="Arial" w:eastAsia="Arial" w:hAnsi="Arial"/>
          <w:sz w:val="20"/>
          <w:szCs w:val="20"/>
          <w:b w:val="1"/>
          <w:bCs w:val="1"/>
          <w:color w:val="auto"/>
        </w:rPr>
        <w:t>Existing Credit Agreement</w:t>
      </w:r>
      <w:r>
        <w:rPr>
          <w:rFonts w:ascii="Arial" w:cs="Arial" w:eastAsia="Arial" w:hAnsi="Arial"/>
          <w:sz w:val="20"/>
          <w:szCs w:val="20"/>
          <w:color w:val="auto"/>
        </w:rPr>
        <w:t>” and as the same is amended hereby and as it may be further amended, modified, supplemented and restated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pursuant to which the Lenders have agreed to make certain advances of money and to extend certain financial accommodations to Borrowers in the amounts and manner set forth in the Credit Agreement.</w:t>
      </w:r>
    </w:p>
    <w:p>
      <w:pPr>
        <w:spacing w:after="0" w:line="194" w:lineRule="exact"/>
        <w:rPr>
          <w:rFonts w:ascii="Arial" w:cs="Arial" w:eastAsia="Arial" w:hAnsi="Arial"/>
          <w:sz w:val="20"/>
          <w:szCs w:val="20"/>
          <w:color w:val="auto"/>
        </w:rPr>
      </w:pPr>
    </w:p>
    <w:p>
      <w:pPr>
        <w:jc w:val="both"/>
        <w:ind w:firstLine="872"/>
        <w:spacing w:after="0" w:line="246" w:lineRule="auto"/>
        <w:tabs>
          <w:tab w:leader="none" w:pos="1693" w:val="left"/>
        </w:tabs>
        <w:numPr>
          <w:ilvl w:val="0"/>
          <w:numId w:val="60"/>
        </w:numPr>
        <w:rPr>
          <w:rFonts w:ascii="Arial" w:cs="Arial" w:eastAsia="Arial" w:hAnsi="Arial"/>
          <w:sz w:val="20"/>
          <w:szCs w:val="20"/>
          <w:color w:val="auto"/>
        </w:rPr>
      </w:pPr>
      <w:r>
        <w:rPr>
          <w:rFonts w:ascii="Arial" w:cs="Arial" w:eastAsia="Arial" w:hAnsi="Arial"/>
          <w:sz w:val="20"/>
          <w:szCs w:val="20"/>
          <w:color w:val="auto"/>
        </w:rPr>
        <w:t>Borrowers have requested, and Agent and Lenders have agreed, to amend certain provisions of the Existing Credit Agreement to (i) modify the amortization schedule set forth therein, (ii) modify certain prepayment provisions relating to the Permitted Royalty Stream Dispositions, and (iii) modify certain other terms and provisions relating to the foregoing, in each case, in accordance with the terms and subject to the conditions set forth 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NOW, THEREFORE, in consideration of the foregoing, the terms and conditions set forth in this Agreement, and other good and valuable consideration, the receipt and sufficiency of which are hereby acknowledged, Agent, Lenders and Borrowers hereby agree as follows:</w:t>
      </w:r>
    </w:p>
    <w:p>
      <w:pPr>
        <w:spacing w:after="0" w:line="180" w:lineRule="exact"/>
        <w:rPr>
          <w:sz w:val="20"/>
          <w:szCs w:val="20"/>
          <w:color w:val="auto"/>
        </w:rPr>
      </w:pPr>
    </w:p>
    <w:p>
      <w:pPr>
        <w:jc w:val="both"/>
        <w:ind w:firstLine="872"/>
        <w:spacing w:after="0" w:line="248" w:lineRule="auto"/>
        <w:tabs>
          <w:tab w:leader="none" w:pos="1660" w:val="left"/>
        </w:tabs>
        <w:numPr>
          <w:ilvl w:val="0"/>
          <w:numId w:val="61"/>
        </w:numPr>
        <w:rPr>
          <w:rFonts w:ascii="Arial" w:cs="Arial" w:eastAsia="Arial" w:hAnsi="Arial"/>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 This Agreement shall constitute a Financing Document and the Recitals and each reference to the Credit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spacing w:after="0" w:line="183" w:lineRule="exact"/>
        <w:rPr>
          <w:rFonts w:ascii="Arial" w:cs="Arial" w:eastAsia="Arial" w:hAnsi="Arial"/>
          <w:sz w:val="20"/>
          <w:szCs w:val="20"/>
          <w:color w:val="auto"/>
        </w:rPr>
      </w:pPr>
    </w:p>
    <w:p>
      <w:pPr>
        <w:ind w:firstLine="872"/>
        <w:spacing w:after="0" w:line="267" w:lineRule="auto"/>
        <w:tabs>
          <w:tab w:leader="none" w:pos="1660" w:val="left"/>
        </w:tabs>
        <w:numPr>
          <w:ilvl w:val="0"/>
          <w:numId w:val="61"/>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 to the Existing Credit Agreement; Consent; Release</w:t>
      </w:r>
      <w:r>
        <w:rPr>
          <w:rFonts w:ascii="Arial" w:cs="Arial" w:eastAsia="Arial" w:hAnsi="Arial"/>
          <w:sz w:val="20"/>
          <w:szCs w:val="20"/>
          <w:color w:val="auto"/>
        </w:rPr>
        <w:t>. Subject to satisfaction or waiver of the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in Section 3 of this Amendment, on the First Amendment Effective Date:</w:t>
      </w:r>
    </w:p>
    <w:p>
      <w:pPr>
        <w:spacing w:after="0" w:line="169" w:lineRule="exact"/>
        <w:rPr>
          <w:rFonts w:ascii="Arial" w:cs="Arial" w:eastAsia="Arial" w:hAnsi="Arial"/>
          <w:sz w:val="20"/>
          <w:szCs w:val="20"/>
          <w:color w:val="auto"/>
        </w:rPr>
      </w:pPr>
    </w:p>
    <w:p>
      <w:pPr>
        <w:jc w:val="both"/>
        <w:ind w:firstLine="1735"/>
        <w:spacing w:after="0" w:line="250" w:lineRule="auto"/>
        <w:tabs>
          <w:tab w:leader="none" w:pos="2595" w:val="left"/>
        </w:tabs>
        <w:numPr>
          <w:ilvl w:val="1"/>
          <w:numId w:val="61"/>
        </w:numPr>
        <w:rPr>
          <w:rFonts w:ascii="Arial" w:cs="Arial" w:eastAsia="Arial" w:hAnsi="Arial"/>
          <w:sz w:val="20"/>
          <w:szCs w:val="20"/>
          <w:color w:val="auto"/>
        </w:rPr>
      </w:pPr>
      <w:r>
        <w:rPr>
          <w:rFonts w:ascii="Arial" w:cs="Arial" w:eastAsia="Arial" w:hAnsi="Arial"/>
          <w:sz w:val="20"/>
          <w:szCs w:val="20"/>
          <w:color w:val="auto"/>
        </w:rPr>
        <w:t xml:space="preserve">the Existing Credit Agreement is hereby amended to delete the stricken text (indicated textually in the same manner as the following example: </w:t>
      </w:r>
      <w:r>
        <w:rPr>
          <w:rFonts w:ascii="Arial" w:cs="Arial" w:eastAsia="Arial" w:hAnsi="Arial"/>
          <w:sz w:val="20"/>
          <w:szCs w:val="20"/>
          <w:color w:val="auto"/>
          <w:strike w:val="1"/>
        </w:rPr>
        <w:t>stricken text</w:t>
      </w:r>
      <w:r>
        <w:rPr>
          <w:rFonts w:ascii="Arial" w:cs="Arial" w:eastAsia="Arial" w:hAnsi="Arial"/>
          <w:sz w:val="20"/>
          <w:szCs w:val="20"/>
          <w:color w:val="auto"/>
        </w:rPr>
        <w:t xml:space="preserve">) and to add the underlined text (indicated textually in the same manner as the following example: </w:t>
      </w:r>
      <w:r>
        <w:rPr>
          <w:rFonts w:ascii="Arial" w:cs="Arial" w:eastAsia="Arial" w:hAnsi="Arial"/>
          <w:sz w:val="20"/>
          <w:szCs w:val="20"/>
          <w:u w:val="single" w:color="auto"/>
          <w:color w:val="auto"/>
        </w:rPr>
        <w:t>underlined text</w:t>
      </w:r>
      <w:r>
        <w:rPr>
          <w:rFonts w:ascii="Arial" w:cs="Arial" w:eastAsia="Arial" w:hAnsi="Arial"/>
          <w:sz w:val="20"/>
          <w:szCs w:val="20"/>
          <w:color w:val="auto"/>
        </w:rPr>
        <w:t>) as set forth in the pages attached hereto as Exhibit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MidCap / Aptevo /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Exhibit A to First Amendment to Credit and Security Agreement</w:t>
      </w:r>
    </w:p>
    <w:p>
      <w:pPr>
        <w:spacing w:after="0" w:line="217" w:lineRule="exact"/>
        <w:rPr>
          <w:sz w:val="20"/>
          <w:szCs w:val="20"/>
          <w:color w:val="auto"/>
        </w:rPr>
      </w:pPr>
    </w:p>
    <w:p>
      <w:pPr>
        <w:ind w:firstLine="1735"/>
        <w:spacing w:after="0" w:line="260" w:lineRule="auto"/>
        <w:tabs>
          <w:tab w:leader="none" w:pos="2606"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Agent and the Required Lenders hereby consent to the Permitted Ruxience Royalty Stream Disposition in accordance with the terms of the Credit Agreement; and</w:t>
      </w:r>
    </w:p>
    <w:p>
      <w:pPr>
        <w:spacing w:after="0" w:line="176" w:lineRule="exact"/>
        <w:rPr>
          <w:rFonts w:ascii="Arial" w:cs="Arial" w:eastAsia="Arial" w:hAnsi="Arial"/>
          <w:sz w:val="20"/>
          <w:szCs w:val="20"/>
          <w:color w:val="auto"/>
        </w:rPr>
      </w:pPr>
    </w:p>
    <w:p>
      <w:pPr>
        <w:ind w:firstLine="1735"/>
        <w:spacing w:after="0" w:line="287" w:lineRule="auto"/>
        <w:tabs>
          <w:tab w:leader="none" w:pos="2595"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Agent and Borrowers shall timely execute and deliver or cause to be delivered to the Borrowers a duly executed lien release (the “</w:t>
      </w:r>
      <w:r>
        <w:rPr>
          <w:rFonts w:ascii="Arial" w:cs="Arial" w:eastAsia="Arial" w:hAnsi="Arial"/>
          <w:sz w:val="19"/>
          <w:szCs w:val="19"/>
          <w:b w:val="1"/>
          <w:bCs w:val="1"/>
          <w:color w:val="auto"/>
        </w:rPr>
        <w:t>Lien Release</w:t>
      </w:r>
      <w:r>
        <w:rPr>
          <w:rFonts w:ascii="Arial" w:cs="Arial" w:eastAsia="Arial" w:hAnsi="Arial"/>
          <w:sz w:val="19"/>
          <w:szCs w:val="19"/>
          <w:color w:val="auto"/>
        </w:rPr>
        <w:t>”) in the form attached hereto as Exhibit B promptly on the date hereof.</w:t>
      </w:r>
    </w:p>
    <w:p>
      <w:pPr>
        <w:spacing w:after="0" w:line="146" w:lineRule="exact"/>
        <w:rPr>
          <w:rFonts w:ascii="Arial" w:cs="Arial" w:eastAsia="Arial" w:hAnsi="Arial"/>
          <w:sz w:val="19"/>
          <w:szCs w:val="19"/>
          <w:color w:val="auto"/>
        </w:rPr>
      </w:pPr>
    </w:p>
    <w:p>
      <w:pPr>
        <w:jc w:val="both"/>
        <w:ind w:firstLine="872"/>
        <w:spacing w:after="0" w:line="274" w:lineRule="auto"/>
        <w:tabs>
          <w:tab w:leader="none" w:pos="166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Borrower hereby confirms that each of the representations and warranties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Credit Agreement is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Each Borrower acknowledges and agrees that the Credit Agreement, the other Financing Documents and this Agreement constitute the legal, valid and binding obligation of such Borrower, and are enforceable against such Borrower in accordance with their terms, except as the enforceability thereof may be limited by bankruptcy, insolvency or other similar laws relating to the enforcement of creditors’ rights generally and by general equitable principles.</w:t>
      </w:r>
    </w:p>
    <w:p>
      <w:pPr>
        <w:spacing w:after="0" w:line="161" w:lineRule="exact"/>
        <w:rPr>
          <w:rFonts w:ascii="Arial" w:cs="Arial" w:eastAsia="Arial" w:hAnsi="Arial"/>
          <w:sz w:val="18"/>
          <w:szCs w:val="18"/>
          <w:color w:val="auto"/>
        </w:rPr>
      </w:pPr>
    </w:p>
    <w:p>
      <w:pPr>
        <w:ind w:right="20" w:firstLine="872"/>
        <w:spacing w:after="0" w:line="267" w:lineRule="auto"/>
        <w:tabs>
          <w:tab w:leader="none" w:pos="1660" w:val="left"/>
        </w:tabs>
        <w:numPr>
          <w:ilvl w:val="0"/>
          <w:numId w:val="63"/>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become effective as of the date on which each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has been satisfied (or waived in writing by the Agent and the Required Lenders):</w:t>
      </w:r>
    </w:p>
    <w:p>
      <w:pPr>
        <w:spacing w:after="0" w:line="169" w:lineRule="exact"/>
        <w:rPr>
          <w:rFonts w:ascii="Arial" w:cs="Arial" w:eastAsia="Arial" w:hAnsi="Arial"/>
          <w:sz w:val="20"/>
          <w:szCs w:val="20"/>
          <w:color w:val="auto"/>
        </w:rPr>
      </w:pPr>
    </w:p>
    <w:p>
      <w:pPr>
        <w:ind w:left="2600" w:hanging="865"/>
        <w:spacing w:after="0"/>
        <w:tabs>
          <w:tab w:leader="none" w:pos="26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Borrowers, Agent and Lenders shall have delivered to Agent this Agreement, executed by an authorized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officer of each such Person;</w:t>
      </w:r>
    </w:p>
    <w:p>
      <w:pPr>
        <w:spacing w:after="0" w:line="199" w:lineRule="exact"/>
        <w:rPr>
          <w:rFonts w:ascii="Arial" w:cs="Arial" w:eastAsia="Arial" w:hAnsi="Arial"/>
          <w:sz w:val="18"/>
          <w:szCs w:val="18"/>
          <w:color w:val="auto"/>
        </w:rPr>
      </w:pPr>
    </w:p>
    <w:p>
      <w:pPr>
        <w:ind w:firstLine="1735"/>
        <w:spacing w:after="0" w:line="316" w:lineRule="auto"/>
        <w:tabs>
          <w:tab w:leader="none" w:pos="2606" w:val="left"/>
        </w:tabs>
        <w:numPr>
          <w:ilvl w:val="1"/>
          <w:numId w:val="63"/>
        </w:numPr>
        <w:rPr>
          <w:rFonts w:ascii="Arial" w:cs="Arial" w:eastAsia="Arial" w:hAnsi="Arial"/>
          <w:sz w:val="18"/>
          <w:szCs w:val="18"/>
          <w:color w:val="auto"/>
        </w:rPr>
      </w:pPr>
      <w:r>
        <w:rPr>
          <w:rFonts w:ascii="Arial" w:cs="Arial" w:eastAsia="Arial" w:hAnsi="Arial"/>
          <w:sz w:val="18"/>
          <w:szCs w:val="18"/>
          <w:color w:val="auto"/>
        </w:rPr>
        <w:t>Agent shall have a received fully executed and effective copies of the Ruxience Sale Agreement and all material agreements, documents and instruments executed in connection therewith, each in form and substance acceptable to Agent;</w:t>
      </w:r>
    </w:p>
    <w:p>
      <w:pPr>
        <w:spacing w:after="0" w:line="129" w:lineRule="exact"/>
        <w:rPr>
          <w:rFonts w:ascii="Arial" w:cs="Arial" w:eastAsia="Arial" w:hAnsi="Arial"/>
          <w:sz w:val="18"/>
          <w:szCs w:val="18"/>
          <w:color w:val="auto"/>
        </w:rPr>
      </w:pPr>
    </w:p>
    <w:p>
      <w:pPr>
        <w:jc w:val="both"/>
        <w:ind w:firstLine="1735"/>
        <w:spacing w:after="0" w:line="250" w:lineRule="auto"/>
        <w:tabs>
          <w:tab w:leader="none" w:pos="2595" w:val="left"/>
        </w:tabs>
        <w:numPr>
          <w:ilvl w:val="1"/>
          <w:numId w:val="63"/>
        </w:numPr>
        <w:rPr>
          <w:rFonts w:ascii="Arial" w:cs="Arial" w:eastAsia="Arial" w:hAnsi="Arial"/>
          <w:sz w:val="20"/>
          <w:szCs w:val="20"/>
          <w:color w:val="auto"/>
        </w:rPr>
      </w:pPr>
      <w:r>
        <w:rPr>
          <w:rFonts w:ascii="Arial" w:cs="Arial" w:eastAsia="Arial" w:hAnsi="Arial"/>
          <w:sz w:val="20"/>
          <w:szCs w:val="20"/>
          <w:color w:val="auto"/>
        </w:rPr>
        <w:t>Agent shall have received a fully executed copy of that certain Amended and Restated Fee Letter, dated as of the date hereof, between Agent and Borrowers and Borrower shall have paid to Agent all fees set forth therein and required to be paid on the First Amendment Effective Date;</w:t>
      </w:r>
    </w:p>
    <w:p>
      <w:pPr>
        <w:spacing w:after="0" w:line="185" w:lineRule="exact"/>
        <w:rPr>
          <w:rFonts w:ascii="Arial" w:cs="Arial" w:eastAsia="Arial" w:hAnsi="Arial"/>
          <w:sz w:val="20"/>
          <w:szCs w:val="20"/>
          <w:color w:val="auto"/>
        </w:rPr>
      </w:pPr>
    </w:p>
    <w:p>
      <w:pPr>
        <w:jc w:val="both"/>
        <w:ind w:firstLine="1735"/>
        <w:spacing w:after="0" w:line="250" w:lineRule="auto"/>
        <w:tabs>
          <w:tab w:leader="none" w:pos="2606" w:val="left"/>
        </w:tabs>
        <w:numPr>
          <w:ilvl w:val="1"/>
          <w:numId w:val="63"/>
        </w:numPr>
        <w:rPr>
          <w:rFonts w:ascii="Arial" w:cs="Arial" w:eastAsia="Arial" w:hAnsi="Arial"/>
          <w:sz w:val="20"/>
          <w:szCs w:val="20"/>
          <w:color w:val="auto"/>
        </w:rPr>
      </w:pPr>
      <w:r>
        <w:rPr>
          <w:rFonts w:ascii="Arial" w:cs="Arial" w:eastAsia="Arial" w:hAnsi="Arial"/>
          <w:sz w:val="20"/>
          <w:szCs w:val="20"/>
          <w:color w:val="auto"/>
        </w:rPr>
        <w:t>Agent shall receive, concurrently with the First Amendment Effective Date, a Term Loan prepayment in the amount set forth in and as otherwise required pursuant to Section 2.1(a)(ii)(B)(v) of the Credit Agreement on the First Amendment Effective Date;</w:t>
      </w:r>
    </w:p>
    <w:p>
      <w:pPr>
        <w:spacing w:after="0" w:line="185" w:lineRule="exact"/>
        <w:rPr>
          <w:rFonts w:ascii="Arial" w:cs="Arial" w:eastAsia="Arial" w:hAnsi="Arial"/>
          <w:sz w:val="20"/>
          <w:szCs w:val="20"/>
          <w:color w:val="auto"/>
        </w:rPr>
      </w:pPr>
    </w:p>
    <w:p>
      <w:pPr>
        <w:jc w:val="both"/>
        <w:ind w:firstLine="1735"/>
        <w:spacing w:after="0" w:line="278" w:lineRule="auto"/>
        <w:tabs>
          <w:tab w:leader="none" w:pos="2595"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representations and warranties of Borrowers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such parties’ delivery of their respective signatures hereto shall be deemed to be its certification thereof); and</w:t>
      </w:r>
    </w:p>
    <w:p>
      <w:pPr>
        <w:spacing w:after="0" w:line="164" w:lineRule="exact"/>
        <w:rPr>
          <w:rFonts w:ascii="Arial" w:cs="Arial" w:eastAsia="Arial" w:hAnsi="Arial"/>
          <w:sz w:val="18"/>
          <w:szCs w:val="18"/>
          <w:color w:val="auto"/>
        </w:rPr>
      </w:pPr>
    </w:p>
    <w:p>
      <w:pPr>
        <w:ind w:firstLine="1735"/>
        <w:spacing w:after="0" w:line="260" w:lineRule="auto"/>
        <w:tabs>
          <w:tab w:leader="none" w:pos="2573" w:val="left"/>
        </w:tabs>
        <w:numPr>
          <w:ilvl w:val="1"/>
          <w:numId w:val="63"/>
        </w:numPr>
        <w:rPr>
          <w:rFonts w:ascii="Arial" w:cs="Arial" w:eastAsia="Arial" w:hAnsi="Arial"/>
          <w:sz w:val="20"/>
          <w:szCs w:val="20"/>
          <w:color w:val="auto"/>
        </w:rPr>
      </w:pPr>
      <w:r>
        <w:rPr>
          <w:rFonts w:ascii="Arial" w:cs="Arial" w:eastAsia="Arial" w:hAnsi="Arial"/>
          <w:sz w:val="20"/>
          <w:szCs w:val="20"/>
          <w:color w:val="auto"/>
        </w:rPr>
        <w:t>prior to and after giving effect to the agreements set forth herein, no Default or Event of Default shall exist under any of the Financing Documents.</w:t>
      </w: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color w:val="auto"/>
        </w:rPr>
        <w:t>\DC - 036639/000031 - 16052337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4" w:name="page105"/>
    <w:bookmarkEnd w:id="104"/>
    <w:p>
      <w:pPr>
        <w:jc w:val="both"/>
        <w:ind w:firstLine="872"/>
        <w:spacing w:after="0" w:line="270" w:lineRule="auto"/>
        <w:tabs>
          <w:tab w:leader="none" w:pos="166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In consideration of the agreements of Agent and Lenders contained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is hereby acknowledged,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Arial" w:cs="Arial" w:eastAsia="Arial" w:hAnsi="Arial"/>
          <w:sz w:val="18"/>
          <w:szCs w:val="18"/>
          <w:b w:val="1"/>
          <w:bCs w:val="1"/>
          <w:color w:val="auto"/>
        </w:rPr>
        <w:t>Releasing Parties</w:t>
      </w:r>
      <w:r>
        <w:rPr>
          <w:rFonts w:ascii="Arial" w:cs="Arial" w:eastAsia="Arial" w:hAnsi="Arial"/>
          <w:sz w:val="18"/>
          <w:szCs w:val="18"/>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(and not, for the avoidance of doubt, arising at any time hereafter). Each Borrower acknowledges that the foregoing release is a material inducement to Agent’s and each Lender’s decision to enter into this Agreement and agree to the modifications contemplated hereunder, and has been relied upon by Agent and Lenders in connection therewith.</w:t>
      </w:r>
    </w:p>
    <w:p>
      <w:pPr>
        <w:spacing w:after="0" w:line="169" w:lineRule="exact"/>
        <w:rPr>
          <w:rFonts w:ascii="Arial" w:cs="Arial" w:eastAsia="Arial" w:hAnsi="Arial"/>
          <w:sz w:val="18"/>
          <w:szCs w:val="18"/>
          <w:color w:val="auto"/>
        </w:rPr>
      </w:pPr>
    </w:p>
    <w:p>
      <w:pPr>
        <w:jc w:val="both"/>
        <w:ind w:firstLine="872"/>
        <w:spacing w:after="0" w:line="244" w:lineRule="auto"/>
        <w:tabs>
          <w:tab w:leader="none" w:pos="1660" w:val="left"/>
        </w:tabs>
        <w:numPr>
          <w:ilvl w:val="0"/>
          <w:numId w:val="64"/>
        </w:numPr>
        <w:rPr>
          <w:rFonts w:ascii="Arial" w:cs="Arial" w:eastAsia="Arial" w:hAnsi="Arial"/>
          <w:sz w:val="20"/>
          <w:szCs w:val="20"/>
          <w:color w:val="auto"/>
        </w:rPr>
      </w:pPr>
      <w:r>
        <w:rPr>
          <w:rFonts w:ascii="Arial" w:cs="Arial" w:eastAsia="Arial" w:hAnsi="Arial"/>
          <w:sz w:val="20"/>
          <w:szCs w:val="20"/>
          <w:b w:val="1"/>
          <w:bCs w:val="1"/>
          <w:u w:val="single" w:color="auto"/>
          <w:color w:val="auto"/>
        </w:rPr>
        <w:t>No Waiver or Novation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execution, delivery and effectiveness of this Agreement shall not, except as expressly</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85" w:lineRule="exact"/>
        <w:rPr>
          <w:rFonts w:ascii="Arial" w:cs="Arial" w:eastAsia="Arial" w:hAnsi="Arial"/>
          <w:sz w:val="20"/>
          <w:szCs w:val="20"/>
          <w:color w:val="auto"/>
        </w:rPr>
      </w:pPr>
    </w:p>
    <w:p>
      <w:pPr>
        <w:jc w:val="both"/>
        <w:ind w:firstLine="872"/>
        <w:spacing w:after="0" w:line="258" w:lineRule="auto"/>
        <w:tabs>
          <w:tab w:leader="none" w:pos="1660" w:val="left"/>
        </w:tabs>
        <w:numPr>
          <w:ilvl w:val="0"/>
          <w:numId w:val="64"/>
        </w:numPr>
        <w:rPr>
          <w:rFonts w:ascii="Arial" w:cs="Arial" w:eastAsia="Arial" w:hAnsi="Arial"/>
          <w:sz w:val="19"/>
          <w:szCs w:val="19"/>
          <w:color w:val="auto"/>
        </w:rPr>
      </w:pPr>
      <w:r>
        <w:rPr>
          <w:rFonts w:ascii="Arial" w:cs="Arial" w:eastAsia="Arial" w:hAnsi="Arial"/>
          <w:sz w:val="19"/>
          <w:szCs w:val="19"/>
          <w:b w:val="1"/>
          <w:bCs w:val="1"/>
          <w:u w:val="single" w:color="auto"/>
          <w:color w:val="auto"/>
        </w:rPr>
        <w:t>Affirmation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amended pursuant to the terms hereof, each Borrower hereby acknowledges and</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that the Credit Agreement and all other Financing Documents (and all covenants, terms, conditions and agreements therein) shall remain in full force and effect, and are hereby ratified and confirmed in all respects by such Borrower. Each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 Each Borrower reaffirms its grant of Liens on the Collateral (other than the Sold Ruxience Assets) to secure the Obligations (as defined in the Security Agreement) pursuant to the Credit Agreement and the other Security Documents.</w:t>
      </w:r>
    </w:p>
    <w:p>
      <w:pPr>
        <w:spacing w:after="0" w:line="173" w:lineRule="exact"/>
        <w:rPr>
          <w:rFonts w:ascii="Arial" w:cs="Arial" w:eastAsia="Arial" w:hAnsi="Arial"/>
          <w:sz w:val="19"/>
          <w:szCs w:val="19"/>
          <w:color w:val="auto"/>
        </w:rPr>
      </w:pPr>
    </w:p>
    <w:p>
      <w:pPr>
        <w:ind w:left="1660" w:hanging="788"/>
        <w:spacing w:after="0"/>
        <w:tabs>
          <w:tab w:leader="none" w:pos="1660" w:val="left"/>
        </w:tabs>
        <w:numPr>
          <w:ilvl w:val="0"/>
          <w:numId w:val="64"/>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735"/>
        <w:spacing w:after="0" w:line="250" w:lineRule="auto"/>
        <w:tabs>
          <w:tab w:leader="none" w:pos="2595"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Reference to the Effect on the Credit Agreement</w:t>
      </w:r>
      <w:r>
        <w:rPr>
          <w:rFonts w:ascii="Arial" w:cs="Arial" w:eastAsia="Arial" w:hAnsi="Arial"/>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w:t>
      </w:r>
    </w:p>
    <w:p>
      <w:pPr>
        <w:spacing w:after="0" w:line="185" w:lineRule="exact"/>
        <w:rPr>
          <w:rFonts w:ascii="Arial" w:cs="Arial" w:eastAsia="Arial" w:hAnsi="Arial"/>
          <w:sz w:val="20"/>
          <w:szCs w:val="20"/>
          <w:color w:val="auto"/>
        </w:rPr>
      </w:pPr>
    </w:p>
    <w:p>
      <w:pPr>
        <w:ind w:firstLine="1735"/>
        <w:spacing w:after="0" w:line="316" w:lineRule="auto"/>
        <w:tabs>
          <w:tab w:leader="none" w:pos="2606"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Incorporation of Credit Agreement Provisions</w:t>
      </w:r>
      <w:r>
        <w:rPr>
          <w:rFonts w:ascii="Arial" w:cs="Arial" w:eastAsia="Arial" w:hAnsi="Arial"/>
          <w:sz w:val="18"/>
          <w:szCs w:val="18"/>
          <w:color w:val="auto"/>
        </w:rPr>
        <w:t xml:space="preserve">. The provisions contained in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(Indemnification) of the Credit Agreement are incorporated herein by reference to the same extent as if reproduced herein in their entirety.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jc w:val="both"/>
        <w:ind w:firstLine="1735"/>
        <w:spacing w:after="0" w:line="246" w:lineRule="auto"/>
        <w:tabs>
          <w:tab w:leader="none" w:pos="2595"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spacing w:after="0" w:line="191" w:lineRule="exact"/>
        <w:rPr>
          <w:rFonts w:ascii="Arial" w:cs="Arial" w:eastAsia="Arial" w:hAnsi="Arial"/>
          <w:sz w:val="20"/>
          <w:szCs w:val="20"/>
          <w:color w:val="auto"/>
        </w:rPr>
      </w:pPr>
    </w:p>
    <w:p>
      <w:pPr>
        <w:jc w:val="both"/>
        <w:ind w:firstLine="1735"/>
        <w:spacing w:after="0" w:line="256" w:lineRule="auto"/>
        <w:tabs>
          <w:tab w:leader="none" w:pos="260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EACH BORROWER HEREBY CONSENTS TO THE JURISDICTION OF ANY STATE OR FEDERAL COURT LOCATED IN THE STATE OF NEW YORK IN THE CITY OF NEW YORK, BOROUGH OF MANHATTAN, AND IRREVOCABLY AGREES THAT, SUBJECT TO AGENT’S ELECTION, ALL ACTIONS OR PROCEEDINGS ARISING OUT OF OR RELATING TO THIS AGREEMENT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pacing w:after="0" w:line="184" w:lineRule="exact"/>
        <w:rPr>
          <w:rFonts w:ascii="Arial" w:cs="Arial" w:eastAsia="Arial" w:hAnsi="Arial"/>
          <w:sz w:val="19"/>
          <w:szCs w:val="19"/>
          <w:color w:val="auto"/>
        </w:rPr>
      </w:pPr>
    </w:p>
    <w:p>
      <w:pPr>
        <w:jc w:val="both"/>
        <w:ind w:firstLine="1735"/>
        <w:spacing w:after="0" w:line="256" w:lineRule="auto"/>
        <w:tabs>
          <w:tab w:leader="none" w:pos="259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Jury Trial Waiver</w:t>
      </w:r>
      <w:r>
        <w:rPr>
          <w:rFonts w:ascii="Arial" w:cs="Arial" w:eastAsia="Arial" w:hAnsi="Arial"/>
          <w:sz w:val="19"/>
          <w:szCs w:val="19"/>
          <w:color w:val="auto"/>
        </w:rPr>
        <w:t>. EACH BORROWER, AGENT AND THE LENDERS 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4" w:lineRule="exact"/>
        <w:rPr>
          <w:rFonts w:ascii="Arial" w:cs="Arial" w:eastAsia="Arial" w:hAnsi="Arial"/>
          <w:sz w:val="19"/>
          <w:szCs w:val="19"/>
          <w:color w:val="auto"/>
        </w:rPr>
      </w:pPr>
    </w:p>
    <w:p>
      <w:pPr>
        <w:ind w:firstLine="1735"/>
        <w:spacing w:after="0" w:line="260" w:lineRule="auto"/>
        <w:tabs>
          <w:tab w:leader="none" w:pos="2573"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for convenience of reference only and shall not constitute a part of this Agreement for any other purpose.</w:t>
      </w:r>
    </w:p>
    <w:p>
      <w:pPr>
        <w:spacing w:after="0" w:line="176" w:lineRule="exact"/>
        <w:rPr>
          <w:rFonts w:ascii="Arial" w:cs="Arial" w:eastAsia="Arial" w:hAnsi="Arial"/>
          <w:sz w:val="20"/>
          <w:szCs w:val="20"/>
          <w:color w:val="auto"/>
        </w:rPr>
      </w:pPr>
    </w:p>
    <w:p>
      <w:pPr>
        <w:jc w:val="both"/>
        <w:ind w:firstLine="1735"/>
        <w:spacing w:after="0" w:line="257" w:lineRule="auto"/>
        <w:tabs>
          <w:tab w:leader="none" w:pos="260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by different parties hereto in different counterparts), each of which shall constitute an original, but all of which when taken together shall constitute a single contract.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rFonts w:ascii="Arial" w:cs="Arial" w:eastAsia="Arial" w:hAnsi="Arial"/>
          <w:sz w:val="19"/>
          <w:szCs w:val="19"/>
          <w:color w:val="auto"/>
        </w:rPr>
      </w:pPr>
    </w:p>
    <w:p>
      <w:pPr>
        <w:jc w:val="both"/>
        <w:ind w:firstLine="1735"/>
        <w:spacing w:after="0" w:line="250" w:lineRule="auto"/>
        <w:tabs>
          <w:tab w:leader="none" w:pos="2606"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the Amended and Restated Fee Letter, and the Lien Release Agreement constitute the entire agreement and understanding among the parties hereto and supersedes any and all prior agreements and understandings, oral or written, relating to the subject matter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6" w:name="page107"/>
    <w:bookmarkEnd w:id="106"/>
    <w:p>
      <w:pPr>
        <w:jc w:val="both"/>
        <w:ind w:firstLine="1735"/>
        <w:spacing w:after="0" w:line="250" w:lineRule="auto"/>
        <w:tabs>
          <w:tab w:leader="none" w:pos="2562"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85" w:lineRule="exact"/>
        <w:rPr>
          <w:rFonts w:ascii="Arial" w:cs="Arial" w:eastAsia="Arial" w:hAnsi="Arial"/>
          <w:sz w:val="20"/>
          <w:szCs w:val="20"/>
          <w:color w:val="auto"/>
        </w:rPr>
      </w:pPr>
    </w:p>
    <w:p>
      <w:pPr>
        <w:ind w:right="20" w:firstLine="1735"/>
        <w:spacing w:after="0" w:line="287" w:lineRule="auto"/>
        <w:tabs>
          <w:tab w:leader="none" w:pos="2562"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Successors/Assigns</w:t>
      </w:r>
      <w:r>
        <w:rPr>
          <w:rFonts w:ascii="Arial" w:cs="Arial" w:eastAsia="Arial" w:hAnsi="Arial"/>
          <w:sz w:val="19"/>
          <w:szCs w:val="19"/>
          <w:color w:val="auto"/>
        </w:rPr>
        <w:t>. This Agreement shall bind, and the rights hereunder shall inure to, the respective successors and assigns of the parties hereto, subject to the provisions of the Credit Agreement and the other Financing Documents.</w:t>
      </w:r>
    </w:p>
    <w:p>
      <w:pPr>
        <w:spacing w:after="0" w:line="15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[SIGNATURES APPEAR ON FOLLOWING PAGES]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7" w:name="page108"/>
    <w:bookmarkEnd w:id="107"/>
    <w:p>
      <w:pPr>
        <w:ind w:right="20" w:firstLine="864"/>
        <w:spacing w:after="0" w:line="260"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80" w:type="dxa"/>
            <w:vAlign w:val="bottom"/>
          </w:tcPr>
          <w:p>
            <w:pPr>
              <w:spacing w:after="0"/>
              <w:rPr>
                <w:sz w:val="20"/>
                <w:szCs w:val="20"/>
                <w:color w:val="auto"/>
              </w:rPr>
            </w:pPr>
            <w:r>
              <w:rPr>
                <w:rFonts w:ascii="Arial" w:cs="Arial" w:eastAsia="Arial" w:hAnsi="Arial"/>
                <w:sz w:val="20"/>
                <w:szCs w:val="20"/>
                <w:b w:val="1"/>
                <w:bCs w:val="1"/>
                <w:color w:val="auto"/>
              </w:rPr>
              <w:t>AGENT:</w:t>
            </w:r>
          </w:p>
        </w:tc>
        <w:tc>
          <w:tcPr>
            <w:tcW w:w="8260" w:type="dxa"/>
            <w:vAlign w:val="bottom"/>
            <w:gridSpan w:val="2"/>
          </w:tcPr>
          <w:p>
            <w:pPr>
              <w:ind w:left="2220"/>
              <w:spacing w:after="0"/>
              <w:rPr>
                <w:sz w:val="20"/>
                <w:szCs w:val="20"/>
                <w:color w:val="auto"/>
              </w:rPr>
            </w:pPr>
            <w:r>
              <w:rPr>
                <w:rFonts w:ascii="Arial" w:cs="Arial" w:eastAsia="Arial" w:hAnsi="Arial"/>
                <w:sz w:val="20"/>
                <w:szCs w:val="20"/>
                <w:b w:val="1"/>
                <w:bCs w:val="1"/>
                <w:color w:val="auto"/>
              </w:rPr>
              <w:t>MIDCAP FINANCIAL TRUST,</w:t>
            </w:r>
          </w:p>
        </w:tc>
        <w:tc>
          <w:tcPr>
            <w:tcW w:w="20" w:type="dxa"/>
            <w:vAlign w:val="bottom"/>
          </w:tcPr>
          <w:p>
            <w:pPr>
              <w:spacing w:after="0"/>
              <w:rPr>
                <w:sz w:val="20"/>
                <w:szCs w:val="20"/>
                <w:color w:val="auto"/>
              </w:rPr>
            </w:pPr>
          </w:p>
        </w:tc>
      </w:tr>
      <w:tr>
        <w:trPr>
          <w:trHeight w:val="250"/>
        </w:trPr>
        <w:tc>
          <w:tcPr>
            <w:tcW w:w="2980" w:type="dxa"/>
            <w:vAlign w:val="bottom"/>
          </w:tcPr>
          <w:p>
            <w:pPr>
              <w:spacing w:after="0"/>
              <w:rPr>
                <w:sz w:val="21"/>
                <w:szCs w:val="21"/>
                <w:color w:val="auto"/>
              </w:rPr>
            </w:pPr>
          </w:p>
        </w:tc>
        <w:tc>
          <w:tcPr>
            <w:tcW w:w="2940" w:type="dxa"/>
            <w:vAlign w:val="bottom"/>
          </w:tcPr>
          <w:p>
            <w:pPr>
              <w:ind w:left="2220"/>
              <w:spacing w:after="0"/>
              <w:rPr>
                <w:sz w:val="20"/>
                <w:szCs w:val="20"/>
                <w:color w:val="auto"/>
              </w:rPr>
            </w:pPr>
            <w:r>
              <w:rPr>
                <w:rFonts w:ascii="Arial" w:cs="Arial" w:eastAsia="Arial" w:hAnsi="Arial"/>
                <w:sz w:val="20"/>
                <w:szCs w:val="20"/>
                <w:color w:val="auto"/>
                <w:w w:val="88"/>
              </w:rPr>
              <w:t>as Agent</w:t>
            </w:r>
          </w:p>
        </w:tc>
        <w:tc>
          <w:tcPr>
            <w:tcW w:w="5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8"/>
        </w:trPr>
        <w:tc>
          <w:tcPr>
            <w:tcW w:w="2980" w:type="dxa"/>
            <w:vAlign w:val="bottom"/>
          </w:tcPr>
          <w:p>
            <w:pPr>
              <w:spacing w:after="0"/>
              <w:rPr>
                <w:sz w:val="24"/>
                <w:szCs w:val="24"/>
                <w:color w:val="auto"/>
              </w:rPr>
            </w:pPr>
          </w:p>
        </w:tc>
        <w:tc>
          <w:tcPr>
            <w:tcW w:w="2940" w:type="dxa"/>
            <w:vAlign w:val="bottom"/>
          </w:tcPr>
          <w:p>
            <w:pPr>
              <w:ind w:left="2220"/>
              <w:spacing w:after="0"/>
              <w:rPr>
                <w:sz w:val="20"/>
                <w:szCs w:val="20"/>
                <w:color w:val="auto"/>
              </w:rPr>
            </w:pPr>
            <w:r>
              <w:rPr>
                <w:rFonts w:ascii="Arial" w:cs="Arial" w:eastAsia="Arial" w:hAnsi="Arial"/>
                <w:sz w:val="20"/>
                <w:szCs w:val="20"/>
                <w:color w:val="auto"/>
              </w:rPr>
              <w:t>By:</w:t>
            </w:r>
          </w:p>
        </w:tc>
        <w:tc>
          <w:tcPr>
            <w:tcW w:w="5320" w:type="dxa"/>
            <w:vAlign w:val="bottom"/>
          </w:tcPr>
          <w:p>
            <w:pPr>
              <w:spacing w:after="0"/>
              <w:rPr>
                <w:sz w:val="20"/>
                <w:szCs w:val="20"/>
                <w:color w:val="auto"/>
              </w:rPr>
            </w:pPr>
            <w:r>
              <w:rPr>
                <w:rFonts w:ascii="Arial" w:cs="Arial" w:eastAsia="Arial" w:hAnsi="Arial"/>
                <w:sz w:val="20"/>
                <w:szCs w:val="20"/>
                <w:color w:val="auto"/>
              </w:rPr>
              <w:t>Apollo Capital Management, L.P.,</w:t>
            </w:r>
          </w:p>
        </w:tc>
        <w:tc>
          <w:tcPr>
            <w:tcW w:w="20" w:type="dxa"/>
            <w:vAlign w:val="bottom"/>
          </w:tcPr>
          <w:p>
            <w:pPr>
              <w:spacing w:after="0"/>
              <w:rPr>
                <w:sz w:val="24"/>
                <w:szCs w:val="24"/>
                <w:color w:val="auto"/>
              </w:rPr>
            </w:pPr>
          </w:p>
        </w:tc>
      </w:tr>
      <w:tr>
        <w:trPr>
          <w:trHeight w:val="250"/>
        </w:trPr>
        <w:tc>
          <w:tcPr>
            <w:tcW w:w="2980" w:type="dxa"/>
            <w:vAlign w:val="bottom"/>
          </w:tcPr>
          <w:p>
            <w:pPr>
              <w:spacing w:after="0"/>
              <w:rPr>
                <w:sz w:val="21"/>
                <w:szCs w:val="21"/>
                <w:color w:val="auto"/>
              </w:rPr>
            </w:pPr>
          </w:p>
        </w:tc>
        <w:tc>
          <w:tcPr>
            <w:tcW w:w="8260" w:type="dxa"/>
            <w:vAlign w:val="bottom"/>
            <w:gridSpan w:val="2"/>
          </w:tcPr>
          <w:p>
            <w:pPr>
              <w:ind w:left="2220"/>
              <w:spacing w:after="0"/>
              <w:rPr>
                <w:sz w:val="20"/>
                <w:szCs w:val="20"/>
                <w:color w:val="auto"/>
              </w:rPr>
            </w:pPr>
            <w:r>
              <w:rPr>
                <w:rFonts w:ascii="Arial" w:cs="Arial" w:eastAsia="Arial" w:hAnsi="Arial"/>
                <w:sz w:val="20"/>
                <w:szCs w:val="20"/>
                <w:color w:val="auto"/>
              </w:rPr>
              <w:t>its investment manager</w:t>
            </w:r>
          </w:p>
        </w:tc>
        <w:tc>
          <w:tcPr>
            <w:tcW w:w="20" w:type="dxa"/>
            <w:vAlign w:val="bottom"/>
          </w:tcPr>
          <w:p>
            <w:pPr>
              <w:spacing w:after="0"/>
              <w:rPr>
                <w:sz w:val="21"/>
                <w:szCs w:val="21"/>
                <w:color w:val="auto"/>
              </w:rPr>
            </w:pPr>
          </w:p>
        </w:tc>
      </w:tr>
      <w:tr>
        <w:trPr>
          <w:trHeight w:val="438"/>
        </w:trPr>
        <w:tc>
          <w:tcPr>
            <w:tcW w:w="2980" w:type="dxa"/>
            <w:vAlign w:val="bottom"/>
          </w:tcPr>
          <w:p>
            <w:pPr>
              <w:spacing w:after="0"/>
              <w:rPr>
                <w:sz w:val="24"/>
                <w:szCs w:val="24"/>
                <w:color w:val="auto"/>
              </w:rPr>
            </w:pPr>
          </w:p>
        </w:tc>
        <w:tc>
          <w:tcPr>
            <w:tcW w:w="2940" w:type="dxa"/>
            <w:vAlign w:val="bottom"/>
          </w:tcPr>
          <w:p>
            <w:pPr>
              <w:ind w:left="2220"/>
              <w:spacing w:after="0"/>
              <w:rPr>
                <w:sz w:val="20"/>
                <w:szCs w:val="20"/>
                <w:color w:val="auto"/>
              </w:rPr>
            </w:pPr>
            <w:r>
              <w:rPr>
                <w:rFonts w:ascii="Arial" w:cs="Arial" w:eastAsia="Arial" w:hAnsi="Arial"/>
                <w:sz w:val="20"/>
                <w:szCs w:val="20"/>
                <w:color w:val="auto"/>
              </w:rPr>
              <w:t>By:</w:t>
            </w:r>
          </w:p>
        </w:tc>
        <w:tc>
          <w:tcPr>
            <w:tcW w:w="5320" w:type="dxa"/>
            <w:vAlign w:val="bottom"/>
          </w:tcPr>
          <w:p>
            <w:pPr>
              <w:spacing w:after="0"/>
              <w:rPr>
                <w:sz w:val="20"/>
                <w:szCs w:val="20"/>
                <w:color w:val="auto"/>
              </w:rPr>
            </w:pPr>
            <w:r>
              <w:rPr>
                <w:rFonts w:ascii="Arial" w:cs="Arial" w:eastAsia="Arial" w:hAnsi="Arial"/>
                <w:sz w:val="20"/>
                <w:szCs w:val="20"/>
                <w:color w:val="auto"/>
              </w:rPr>
              <w:t>Apollo Capital Management GP, LLC,</w:t>
            </w:r>
          </w:p>
        </w:tc>
        <w:tc>
          <w:tcPr>
            <w:tcW w:w="20" w:type="dxa"/>
            <w:vAlign w:val="bottom"/>
          </w:tcPr>
          <w:p>
            <w:pPr>
              <w:spacing w:after="0"/>
              <w:rPr>
                <w:sz w:val="24"/>
                <w:szCs w:val="24"/>
                <w:color w:val="auto"/>
              </w:rPr>
            </w:pPr>
          </w:p>
        </w:tc>
      </w:tr>
      <w:tr>
        <w:trPr>
          <w:trHeight w:val="250"/>
        </w:trPr>
        <w:tc>
          <w:tcPr>
            <w:tcW w:w="2980" w:type="dxa"/>
            <w:vAlign w:val="bottom"/>
          </w:tcPr>
          <w:p>
            <w:pPr>
              <w:spacing w:after="0"/>
              <w:rPr>
                <w:sz w:val="21"/>
                <w:szCs w:val="21"/>
                <w:color w:val="auto"/>
              </w:rPr>
            </w:pPr>
          </w:p>
        </w:tc>
        <w:tc>
          <w:tcPr>
            <w:tcW w:w="8260" w:type="dxa"/>
            <w:vAlign w:val="bottom"/>
            <w:gridSpan w:val="2"/>
          </w:tcPr>
          <w:p>
            <w:pPr>
              <w:ind w:left="2220"/>
              <w:spacing w:after="0"/>
              <w:rPr>
                <w:sz w:val="20"/>
                <w:szCs w:val="20"/>
                <w:color w:val="auto"/>
              </w:rPr>
            </w:pPr>
            <w:r>
              <w:rPr>
                <w:rFonts w:ascii="Arial" w:cs="Arial" w:eastAsia="Arial" w:hAnsi="Arial"/>
                <w:sz w:val="20"/>
                <w:szCs w:val="20"/>
                <w:color w:val="auto"/>
              </w:rPr>
              <w:t>its general partner</w:t>
            </w:r>
          </w:p>
        </w:tc>
        <w:tc>
          <w:tcPr>
            <w:tcW w:w="20" w:type="dxa"/>
            <w:vAlign w:val="bottom"/>
          </w:tcPr>
          <w:p>
            <w:pPr>
              <w:spacing w:after="0"/>
              <w:rPr>
                <w:sz w:val="21"/>
                <w:szCs w:val="21"/>
                <w:color w:val="auto"/>
              </w:rPr>
            </w:pPr>
          </w:p>
        </w:tc>
      </w:tr>
      <w:tr>
        <w:trPr>
          <w:trHeight w:val="455"/>
        </w:trPr>
        <w:tc>
          <w:tcPr>
            <w:tcW w:w="2980" w:type="dxa"/>
            <w:vAlign w:val="bottom"/>
          </w:tcPr>
          <w:p>
            <w:pPr>
              <w:spacing w:after="0"/>
              <w:rPr>
                <w:sz w:val="24"/>
                <w:szCs w:val="24"/>
                <w:color w:val="auto"/>
              </w:rPr>
            </w:pPr>
          </w:p>
        </w:tc>
        <w:tc>
          <w:tcPr>
            <w:tcW w:w="2940" w:type="dxa"/>
            <w:vAlign w:val="bottom"/>
          </w:tcPr>
          <w:p>
            <w:pPr>
              <w:ind w:left="2220"/>
              <w:spacing w:after="0"/>
              <w:rPr>
                <w:sz w:val="20"/>
                <w:szCs w:val="20"/>
                <w:color w:val="auto"/>
              </w:rPr>
            </w:pPr>
            <w:r>
              <w:rPr>
                <w:rFonts w:ascii="Arial" w:cs="Arial" w:eastAsia="Arial" w:hAnsi="Arial"/>
                <w:sz w:val="20"/>
                <w:szCs w:val="20"/>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Maurice Amsellem</w:t>
            </w:r>
          </w:p>
        </w:tc>
        <w:tc>
          <w:tcPr>
            <w:tcW w:w="20" w:type="dxa"/>
            <w:vAlign w:val="bottom"/>
          </w:tcPr>
          <w:p>
            <w:pPr>
              <w:spacing w:after="0"/>
              <w:rPr>
                <w:sz w:val="24"/>
                <w:szCs w:val="24"/>
                <w:color w:val="auto"/>
              </w:rPr>
            </w:pPr>
          </w:p>
        </w:tc>
      </w:tr>
      <w:tr>
        <w:trPr>
          <w:trHeight w:val="206"/>
        </w:trPr>
        <w:tc>
          <w:tcPr>
            <w:tcW w:w="2980" w:type="dxa"/>
            <w:vAlign w:val="bottom"/>
          </w:tcPr>
          <w:p>
            <w:pPr>
              <w:spacing w:after="0"/>
              <w:rPr>
                <w:sz w:val="17"/>
                <w:szCs w:val="17"/>
                <w:color w:val="auto"/>
              </w:rPr>
            </w:pPr>
          </w:p>
        </w:tc>
        <w:tc>
          <w:tcPr>
            <w:tcW w:w="2940" w:type="dxa"/>
            <w:vAlign w:val="bottom"/>
          </w:tcPr>
          <w:p>
            <w:pPr>
              <w:ind w:left="2220"/>
              <w:spacing w:after="0" w:line="207" w:lineRule="exact"/>
              <w:rPr>
                <w:sz w:val="20"/>
                <w:szCs w:val="20"/>
                <w:color w:val="auto"/>
              </w:rPr>
            </w:pPr>
            <w:r>
              <w:rPr>
                <w:rFonts w:ascii="Arial" w:cs="Arial" w:eastAsia="Arial" w:hAnsi="Arial"/>
                <w:sz w:val="20"/>
                <w:szCs w:val="20"/>
                <w:color w:val="auto"/>
              </w:rPr>
              <w:t>Name:</w:t>
            </w:r>
          </w:p>
        </w:tc>
        <w:tc>
          <w:tcPr>
            <w:tcW w:w="5320" w:type="dxa"/>
            <w:vAlign w:val="bottom"/>
          </w:tcPr>
          <w:p>
            <w:pPr>
              <w:spacing w:after="0" w:line="207" w:lineRule="exact"/>
              <w:rPr>
                <w:sz w:val="20"/>
                <w:szCs w:val="20"/>
                <w:color w:val="auto"/>
              </w:rPr>
            </w:pPr>
            <w:r>
              <w:rPr>
                <w:rFonts w:ascii="Arial" w:cs="Arial" w:eastAsia="Arial" w:hAnsi="Arial"/>
                <w:sz w:val="20"/>
                <w:szCs w:val="20"/>
                <w:color w:val="auto"/>
              </w:rPr>
              <w:t>Maurice Amsellem</w:t>
            </w:r>
          </w:p>
        </w:tc>
        <w:tc>
          <w:tcPr>
            <w:tcW w:w="20" w:type="dxa"/>
            <w:vAlign w:val="bottom"/>
          </w:tcPr>
          <w:p>
            <w:pPr>
              <w:spacing w:after="0"/>
              <w:rPr>
                <w:sz w:val="17"/>
                <w:szCs w:val="17"/>
                <w:color w:val="auto"/>
              </w:rPr>
            </w:pPr>
          </w:p>
        </w:tc>
      </w:tr>
      <w:tr>
        <w:trPr>
          <w:trHeight w:val="250"/>
        </w:trPr>
        <w:tc>
          <w:tcPr>
            <w:tcW w:w="2980" w:type="dxa"/>
            <w:vAlign w:val="bottom"/>
          </w:tcPr>
          <w:p>
            <w:pPr>
              <w:spacing w:after="0"/>
              <w:rPr>
                <w:sz w:val="21"/>
                <w:szCs w:val="21"/>
                <w:color w:val="auto"/>
              </w:rPr>
            </w:pPr>
          </w:p>
        </w:tc>
        <w:tc>
          <w:tcPr>
            <w:tcW w:w="2940" w:type="dxa"/>
            <w:vAlign w:val="bottom"/>
          </w:tcPr>
          <w:p>
            <w:pPr>
              <w:ind w:left="2220"/>
              <w:spacing w:after="0"/>
              <w:rPr>
                <w:sz w:val="20"/>
                <w:szCs w:val="20"/>
                <w:color w:val="auto"/>
              </w:rPr>
            </w:pPr>
            <w:r>
              <w:rPr>
                <w:rFonts w:ascii="Arial" w:cs="Arial" w:eastAsia="Arial" w:hAnsi="Arial"/>
                <w:sz w:val="20"/>
                <w:szCs w:val="20"/>
                <w:color w:val="auto"/>
              </w:rPr>
              <w:t>Title:</w:t>
            </w:r>
          </w:p>
        </w:tc>
        <w:tc>
          <w:tcPr>
            <w:tcW w:w="5320" w:type="dxa"/>
            <w:vAlign w:val="bottom"/>
          </w:tcPr>
          <w:p>
            <w:pPr>
              <w:spacing w:after="0"/>
              <w:rPr>
                <w:sz w:val="20"/>
                <w:szCs w:val="20"/>
                <w:color w:val="auto"/>
              </w:rPr>
            </w:pPr>
            <w:r>
              <w:rPr>
                <w:rFonts w:ascii="Arial" w:cs="Arial" w:eastAsia="Arial" w:hAnsi="Arial"/>
                <w:sz w:val="20"/>
                <w:szCs w:val="20"/>
                <w:color w:val="auto"/>
              </w:rPr>
              <w:t>Authorized Signatory</w:t>
            </w:r>
          </w:p>
        </w:tc>
        <w:tc>
          <w:tcPr>
            <w:tcW w:w="20" w:type="dxa"/>
            <w:vAlign w:val="bottom"/>
          </w:tcPr>
          <w:p>
            <w:pPr>
              <w:spacing w:after="0"/>
              <w:rPr>
                <w:sz w:val="21"/>
                <w:szCs w:val="21"/>
                <w:color w:val="auto"/>
              </w:rPr>
            </w:pPr>
          </w:p>
        </w:tc>
      </w:tr>
      <w:tr>
        <w:trPr>
          <w:trHeight w:val="694"/>
        </w:trPr>
        <w:tc>
          <w:tcPr>
            <w:tcW w:w="2980" w:type="dxa"/>
            <w:vAlign w:val="bottom"/>
          </w:tcPr>
          <w:p>
            <w:pPr>
              <w:spacing w:after="0"/>
              <w:rPr>
                <w:sz w:val="24"/>
                <w:szCs w:val="24"/>
                <w:color w:val="auto"/>
              </w:rPr>
            </w:pPr>
          </w:p>
        </w:tc>
        <w:tc>
          <w:tcPr>
            <w:tcW w:w="2940" w:type="dxa"/>
            <w:vAlign w:val="bottom"/>
          </w:tcPr>
          <w:p>
            <w:pPr>
              <w:ind w:left="2600"/>
              <w:spacing w:after="0"/>
              <w:rPr>
                <w:sz w:val="20"/>
                <w:szCs w:val="20"/>
                <w:color w:val="auto"/>
              </w:rPr>
            </w:pPr>
            <w:r>
              <w:rPr>
                <w:rFonts w:ascii="Arial" w:cs="Arial" w:eastAsia="Arial" w:hAnsi="Arial"/>
                <w:sz w:val="22"/>
                <w:szCs w:val="22"/>
                <w:color w:val="auto"/>
              </w:rPr>
              <w:t>6</w:t>
            </w:r>
          </w:p>
        </w:tc>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298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5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108" w:name="page109"/>
    <w:bookmarkEnd w:id="108"/>
    <w:p>
      <w:pPr>
        <w:spacing w:after="0"/>
        <w:tabs>
          <w:tab w:leader="none" w:pos="518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FUNDING XIII TRUST</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Apollo Capital Management, L.P.,</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Apollo Capital Management GP, LLC,</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tbl>
      <w:tblPr>
        <w:tblLayout w:type="fixed"/>
        <w:tblInd w:w="5640" w:type="dxa"/>
        <w:tblCellMar>
          <w:top w:w="0" w:type="dxa"/>
          <w:left w:w="0" w:type="dxa"/>
          <w:bottom w:w="0" w:type="dxa"/>
          <w:right w:w="0" w:type="dxa"/>
        </w:tblCellMar>
      </w:tblPr>
      <w:tr>
        <w:trPr>
          <w:trHeight w:val="246"/>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Maurice Amsellem</w:t>
            </w:r>
          </w:p>
        </w:tc>
      </w:tr>
      <w:tr>
        <w:trPr>
          <w:trHeight w:val="206"/>
        </w:trPr>
        <w:tc>
          <w:tcPr>
            <w:tcW w:w="72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880" w:type="dxa"/>
            <w:vAlign w:val="bottom"/>
          </w:tcPr>
          <w:p>
            <w:pPr>
              <w:spacing w:after="0" w:line="207" w:lineRule="exact"/>
              <w:rPr>
                <w:sz w:val="20"/>
                <w:szCs w:val="20"/>
                <w:color w:val="auto"/>
              </w:rPr>
            </w:pPr>
            <w:r>
              <w:rPr>
                <w:rFonts w:ascii="Arial" w:cs="Arial" w:eastAsia="Arial" w:hAnsi="Arial"/>
                <w:sz w:val="20"/>
                <w:szCs w:val="20"/>
                <w:color w:val="auto"/>
              </w:rPr>
              <w:t>Maurice Amsellem</w:t>
            </w:r>
          </w:p>
        </w:tc>
      </w:tr>
      <w:tr>
        <w:trPr>
          <w:trHeight w:val="250"/>
        </w:trPr>
        <w:tc>
          <w:tcPr>
            <w:tcW w:w="720" w:type="dxa"/>
            <w:vAlign w:val="bottom"/>
          </w:tcPr>
          <w:p>
            <w:pPr>
              <w:spacing w:after="0"/>
              <w:rPr>
                <w:sz w:val="20"/>
                <w:szCs w:val="20"/>
                <w:color w:val="auto"/>
              </w:rPr>
            </w:pPr>
            <w:r>
              <w:rPr>
                <w:rFonts w:ascii="Arial" w:cs="Arial" w:eastAsia="Arial" w:hAnsi="Arial"/>
                <w:sz w:val="20"/>
                <w:szCs w:val="20"/>
                <w:color w:val="auto"/>
              </w:rPr>
              <w:t>Title:</w:t>
            </w:r>
          </w:p>
        </w:tc>
        <w:tc>
          <w:tcPr>
            <w:tcW w:w="488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9" w:name="page110"/>
    <w:bookmarkEnd w:id="109"/>
    <w:p>
      <w:pPr>
        <w:spacing w:after="0"/>
        <w:tabs>
          <w:tab w:leader="none" w:pos="5180" w:val="left"/>
        </w:tabs>
        <w:rPr>
          <w:sz w:val="20"/>
          <w:szCs w:val="20"/>
          <w:color w:val="auto"/>
        </w:rPr>
      </w:pPr>
      <w:r>
        <w:rPr>
          <w:rFonts w:ascii="Arial" w:cs="Arial" w:eastAsia="Arial" w:hAnsi="Arial"/>
          <w:sz w:val="19"/>
          <w:szCs w:val="19"/>
          <w:b w:val="1"/>
          <w:bCs w:val="1"/>
          <w:color w:val="auto"/>
        </w:rPr>
        <w:t>LENDER:</w:t>
      </w:r>
      <w:r>
        <w:rPr>
          <w:sz w:val="20"/>
          <w:szCs w:val="20"/>
          <w:color w:val="auto"/>
        </w:rPr>
        <w:tab/>
      </w:r>
      <w:r>
        <w:rPr>
          <w:rFonts w:ascii="Arial" w:cs="Arial" w:eastAsia="Arial" w:hAnsi="Arial"/>
          <w:sz w:val="19"/>
          <w:szCs w:val="19"/>
          <w:b w:val="1"/>
          <w:bCs w:val="1"/>
          <w:color w:val="auto"/>
        </w:rPr>
        <w:t>ELM 2020-3 TRUST</w:t>
      </w:r>
    </w:p>
    <w:p>
      <w:pPr>
        <w:sectPr>
          <w:pgSz w:w="11900" w:h="16838" w:orient="portrait"/>
          <w:cols w:equalWidth="0" w:num="1">
            <w:col w:w="11260"/>
          </w:cols>
          <w:pgMar w:left="320" w:top="778" w:right="319" w:bottom="1440" w:gutter="0" w:footer="0" w:header="0"/>
        </w:sectPr>
      </w:pPr>
    </w:p>
    <w:p>
      <w:pPr>
        <w:spacing w:after="0" w:line="24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MidCap Financial Services Capital Management, LLC, as Servicer</w:t>
      </w:r>
    </w:p>
    <w:p>
      <w:pPr>
        <w:spacing w:after="0" w:line="222" w:lineRule="exact"/>
        <w:rPr>
          <w:sz w:val="20"/>
          <w:szCs w:val="20"/>
          <w:color w:val="auto"/>
        </w:rPr>
      </w:pPr>
    </w:p>
    <w:p>
      <w:pPr>
        <w:sectPr>
          <w:pgSz w:w="11900" w:h="16838" w:orient="portrait"/>
          <w:cols w:equalWidth="0" w:num="2">
            <w:col w:w="5500" w:space="420"/>
            <w:col w:w="5340"/>
          </w:cols>
          <w:pgMar w:left="320" w:top="778" w:right="319" w:bottom="1440" w:gutter="0" w:footer="0" w:header="0"/>
          <w:type w:val="continuous"/>
        </w:sectPr>
      </w:pPr>
    </w:p>
    <w:p>
      <w:pPr>
        <w:spacing w:after="0" w:line="259" w:lineRule="exact"/>
        <w:rPr>
          <w:sz w:val="20"/>
          <w:szCs w:val="20"/>
          <w:color w:val="auto"/>
        </w:rPr>
      </w:pPr>
    </w:p>
    <w:p>
      <w:pPr>
        <w:ind w:left="5200"/>
        <w:spacing w:after="0"/>
        <w:tabs>
          <w:tab w:leader="none" w:pos="59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O’Dea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39370</wp:posOffset>
            </wp:positionV>
            <wp:extent cx="33858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type w:val="continuous"/>
        </w:sectPr>
      </w:pPr>
    </w:p>
    <w:p>
      <w:pPr>
        <w:spacing w:after="0" w:line="6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John O’Dea</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37" w:lineRule="exact"/>
        <w:rPr>
          <w:sz w:val="20"/>
          <w:szCs w:val="20"/>
          <w:color w:val="auto"/>
        </w:rPr>
      </w:pPr>
    </w:p>
    <w:p>
      <w:pPr>
        <w:spacing w:after="0"/>
        <w:tabs>
          <w:tab w:leader="none" w:pos="518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ELM 2020-4 TRUST</w:t>
      </w:r>
    </w:p>
    <w:p>
      <w:pPr>
        <w:spacing w:after="0" w:line="235" w:lineRule="exact"/>
        <w:rPr>
          <w:sz w:val="20"/>
          <w:szCs w:val="20"/>
          <w:color w:val="auto"/>
        </w:rPr>
      </w:pPr>
    </w:p>
    <w:tbl>
      <w:tblPr>
        <w:tblLayout w:type="fixed"/>
        <w:tblInd w:w="5200" w:type="dxa"/>
        <w:tblCellMar>
          <w:top w:w="0" w:type="dxa"/>
          <w:left w:w="0" w:type="dxa"/>
          <w:bottom w:w="0" w:type="dxa"/>
          <w:right w:w="0" w:type="dxa"/>
        </w:tblCellMar>
      </w:tblPr>
      <w:tr>
        <w:trPr>
          <w:trHeight w:val="250"/>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5340" w:type="dxa"/>
            <w:vAlign w:val="bottom"/>
          </w:tcPr>
          <w:p>
            <w:pPr>
              <w:spacing w:after="0"/>
              <w:rPr>
                <w:sz w:val="20"/>
                <w:szCs w:val="20"/>
                <w:color w:val="auto"/>
              </w:rPr>
            </w:pPr>
            <w:r>
              <w:rPr>
                <w:rFonts w:ascii="Arial" w:cs="Arial" w:eastAsia="Arial" w:hAnsi="Arial"/>
                <w:sz w:val="20"/>
                <w:szCs w:val="20"/>
                <w:color w:val="auto"/>
                <w:w w:val="90"/>
              </w:rPr>
              <w:t>MidCap Financial Services Capital Management, LLC, as Servicer</w:t>
            </w:r>
          </w:p>
        </w:tc>
      </w:tr>
      <w:tr>
        <w:trPr>
          <w:trHeight w:val="684"/>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53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O’Dea</w:t>
            </w:r>
          </w:p>
        </w:tc>
      </w:tr>
      <w:tr>
        <w:trPr>
          <w:trHeight w:val="206"/>
        </w:trPr>
        <w:tc>
          <w:tcPr>
            <w:tcW w:w="72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340" w:type="dxa"/>
            <w:vAlign w:val="bottom"/>
          </w:tcPr>
          <w:p>
            <w:pPr>
              <w:spacing w:after="0" w:line="207" w:lineRule="exact"/>
              <w:rPr>
                <w:sz w:val="20"/>
                <w:szCs w:val="20"/>
                <w:color w:val="auto"/>
              </w:rPr>
            </w:pPr>
            <w:r>
              <w:rPr>
                <w:rFonts w:ascii="Arial" w:cs="Arial" w:eastAsia="Arial" w:hAnsi="Arial"/>
                <w:sz w:val="20"/>
                <w:szCs w:val="20"/>
                <w:color w:val="auto"/>
              </w:rPr>
              <w:t>John O’Dea</w:t>
            </w:r>
          </w:p>
        </w:tc>
      </w:tr>
      <w:tr>
        <w:trPr>
          <w:trHeight w:val="250"/>
        </w:trPr>
        <w:tc>
          <w:tcPr>
            <w:tcW w:w="720" w:type="dxa"/>
            <w:vAlign w:val="bottom"/>
          </w:tcPr>
          <w:p>
            <w:pPr>
              <w:spacing w:after="0"/>
              <w:rPr>
                <w:sz w:val="20"/>
                <w:szCs w:val="20"/>
                <w:color w:val="auto"/>
              </w:rPr>
            </w:pPr>
            <w:r>
              <w:rPr>
                <w:rFonts w:ascii="Arial" w:cs="Arial" w:eastAsia="Arial" w:hAnsi="Arial"/>
                <w:sz w:val="20"/>
                <w:szCs w:val="20"/>
                <w:color w:val="auto"/>
              </w:rPr>
              <w:t>Title:</w:t>
            </w:r>
          </w:p>
        </w:tc>
        <w:tc>
          <w:tcPr>
            <w:tcW w:w="534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56"/>
        </w:trPr>
        <w:tc>
          <w:tcPr>
            <w:tcW w:w="3300" w:type="dxa"/>
            <w:vAlign w:val="bottom"/>
          </w:tcPr>
          <w:p>
            <w:pPr>
              <w:spacing w:after="0"/>
              <w:rPr>
                <w:sz w:val="20"/>
                <w:szCs w:val="20"/>
                <w:color w:val="auto"/>
              </w:rPr>
            </w:pPr>
            <w:r>
              <w:rPr>
                <w:rFonts w:ascii="Arial" w:cs="Arial" w:eastAsia="Arial" w:hAnsi="Arial"/>
                <w:sz w:val="20"/>
                <w:szCs w:val="20"/>
                <w:b w:val="1"/>
                <w:bCs w:val="1"/>
                <w:color w:val="auto"/>
              </w:rPr>
              <w:t>BORROWERS:</w:t>
            </w:r>
          </w:p>
        </w:tc>
        <w:tc>
          <w:tcPr>
            <w:tcW w:w="7940" w:type="dxa"/>
            <w:vAlign w:val="bottom"/>
            <w:gridSpan w:val="2"/>
          </w:tcPr>
          <w:p>
            <w:pPr>
              <w:ind w:left="1900"/>
              <w:spacing w:after="0"/>
              <w:rPr>
                <w:sz w:val="20"/>
                <w:szCs w:val="20"/>
                <w:color w:val="auto"/>
              </w:rPr>
            </w:pPr>
            <w:r>
              <w:rPr>
                <w:rFonts w:ascii="Arial" w:cs="Arial" w:eastAsia="Arial" w:hAnsi="Arial"/>
                <w:sz w:val="20"/>
                <w:szCs w:val="20"/>
                <w:b w:val="1"/>
                <w:bCs w:val="1"/>
                <w:color w:val="auto"/>
              </w:rPr>
              <w:t>APTEVO THERAPEUTICS INC.</w:t>
            </w:r>
          </w:p>
        </w:tc>
      </w:tr>
      <w:tr>
        <w:trPr>
          <w:trHeight w:val="684"/>
        </w:trPr>
        <w:tc>
          <w:tcPr>
            <w:tcW w:w="3300" w:type="dxa"/>
            <w:vAlign w:val="bottom"/>
          </w:tcPr>
          <w:p>
            <w:pPr>
              <w:spacing w:after="0"/>
              <w:rPr>
                <w:sz w:val="24"/>
                <w:szCs w:val="24"/>
                <w:color w:val="auto"/>
              </w:rPr>
            </w:pPr>
          </w:p>
        </w:tc>
        <w:tc>
          <w:tcPr>
            <w:tcW w:w="2620" w:type="dxa"/>
            <w:vAlign w:val="bottom"/>
          </w:tcPr>
          <w:p>
            <w:pPr>
              <w:ind w:left="1900"/>
              <w:spacing w:after="0"/>
              <w:rPr>
                <w:sz w:val="20"/>
                <w:szCs w:val="20"/>
                <w:color w:val="auto"/>
              </w:rPr>
            </w:pPr>
            <w:r>
              <w:rPr>
                <w:rFonts w:ascii="Arial" w:cs="Arial" w:eastAsia="Arial" w:hAnsi="Arial"/>
                <w:sz w:val="20"/>
                <w:szCs w:val="20"/>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Jeffrey Lamothe</w:t>
            </w:r>
          </w:p>
        </w:tc>
      </w:tr>
      <w:tr>
        <w:trPr>
          <w:trHeight w:val="223"/>
        </w:trPr>
        <w:tc>
          <w:tcPr>
            <w:tcW w:w="3300" w:type="dxa"/>
            <w:vAlign w:val="bottom"/>
          </w:tcPr>
          <w:p>
            <w:pPr>
              <w:spacing w:after="0"/>
              <w:rPr>
                <w:sz w:val="19"/>
                <w:szCs w:val="19"/>
                <w:color w:val="auto"/>
              </w:rPr>
            </w:pPr>
          </w:p>
        </w:tc>
        <w:tc>
          <w:tcPr>
            <w:tcW w:w="2620" w:type="dxa"/>
            <w:vAlign w:val="bottom"/>
          </w:tcPr>
          <w:p>
            <w:pPr>
              <w:ind w:left="1900"/>
              <w:spacing w:after="0" w:line="223" w:lineRule="exact"/>
              <w:rPr>
                <w:sz w:val="20"/>
                <w:szCs w:val="20"/>
                <w:color w:val="auto"/>
              </w:rPr>
            </w:pPr>
            <w:r>
              <w:rPr>
                <w:rFonts w:ascii="Arial" w:cs="Arial" w:eastAsia="Arial" w:hAnsi="Arial"/>
                <w:sz w:val="20"/>
                <w:szCs w:val="20"/>
                <w:color w:val="auto"/>
              </w:rPr>
              <w:t>Name:</w:t>
            </w:r>
          </w:p>
        </w:tc>
        <w:tc>
          <w:tcPr>
            <w:tcW w:w="53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Jeffrey Lamothe</w:t>
            </w:r>
          </w:p>
        </w:tc>
      </w:tr>
      <w:tr>
        <w:trPr>
          <w:trHeight w:val="223"/>
        </w:trPr>
        <w:tc>
          <w:tcPr>
            <w:tcW w:w="3300" w:type="dxa"/>
            <w:vAlign w:val="bottom"/>
          </w:tcPr>
          <w:p>
            <w:pPr>
              <w:spacing w:after="0"/>
              <w:rPr>
                <w:sz w:val="19"/>
                <w:szCs w:val="19"/>
                <w:color w:val="auto"/>
              </w:rPr>
            </w:pPr>
          </w:p>
        </w:tc>
        <w:tc>
          <w:tcPr>
            <w:tcW w:w="2620" w:type="dxa"/>
            <w:vAlign w:val="bottom"/>
          </w:tcPr>
          <w:p>
            <w:pPr>
              <w:ind w:left="1900"/>
              <w:spacing w:after="0" w:line="223" w:lineRule="exact"/>
              <w:rPr>
                <w:sz w:val="20"/>
                <w:szCs w:val="20"/>
                <w:color w:val="auto"/>
              </w:rPr>
            </w:pPr>
            <w:r>
              <w:rPr>
                <w:rFonts w:ascii="Arial" w:cs="Arial" w:eastAsia="Arial" w:hAnsi="Arial"/>
                <w:sz w:val="20"/>
                <w:szCs w:val="20"/>
                <w:color w:val="auto"/>
              </w:rPr>
              <w:t>Title:</w:t>
            </w:r>
          </w:p>
        </w:tc>
        <w:tc>
          <w:tcPr>
            <w:tcW w:w="53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CFO</w:t>
            </w:r>
          </w:p>
        </w:tc>
      </w:tr>
      <w:tr>
        <w:trPr>
          <w:trHeight w:val="457"/>
        </w:trPr>
        <w:tc>
          <w:tcPr>
            <w:tcW w:w="3300" w:type="dxa"/>
            <w:vAlign w:val="bottom"/>
          </w:tcPr>
          <w:p>
            <w:pPr>
              <w:spacing w:after="0"/>
              <w:rPr>
                <w:sz w:val="24"/>
                <w:szCs w:val="24"/>
                <w:color w:val="auto"/>
              </w:rPr>
            </w:pPr>
          </w:p>
        </w:tc>
        <w:tc>
          <w:tcPr>
            <w:tcW w:w="7940" w:type="dxa"/>
            <w:vAlign w:val="bottom"/>
            <w:gridSpan w:val="2"/>
          </w:tcPr>
          <w:p>
            <w:pPr>
              <w:ind w:left="1900"/>
              <w:spacing w:after="0"/>
              <w:rPr>
                <w:sz w:val="20"/>
                <w:szCs w:val="20"/>
                <w:color w:val="auto"/>
              </w:rPr>
            </w:pPr>
            <w:r>
              <w:rPr>
                <w:rFonts w:ascii="Arial" w:cs="Arial" w:eastAsia="Arial" w:hAnsi="Arial"/>
                <w:sz w:val="20"/>
                <w:szCs w:val="20"/>
                <w:b w:val="1"/>
                <w:bCs w:val="1"/>
                <w:color w:val="auto"/>
              </w:rPr>
              <w:t>APTEVO RESEARCH AND DEVELOPMENT LLC</w:t>
            </w:r>
          </w:p>
        </w:tc>
      </w:tr>
      <w:tr>
        <w:trPr>
          <w:trHeight w:val="684"/>
        </w:trPr>
        <w:tc>
          <w:tcPr>
            <w:tcW w:w="3300" w:type="dxa"/>
            <w:vAlign w:val="bottom"/>
          </w:tcPr>
          <w:p>
            <w:pPr>
              <w:spacing w:after="0"/>
              <w:rPr>
                <w:sz w:val="24"/>
                <w:szCs w:val="24"/>
                <w:color w:val="auto"/>
              </w:rPr>
            </w:pPr>
          </w:p>
        </w:tc>
        <w:tc>
          <w:tcPr>
            <w:tcW w:w="2620" w:type="dxa"/>
            <w:vAlign w:val="bottom"/>
          </w:tcPr>
          <w:p>
            <w:pPr>
              <w:ind w:left="1900"/>
              <w:spacing w:after="0"/>
              <w:rPr>
                <w:sz w:val="20"/>
                <w:szCs w:val="20"/>
                <w:color w:val="auto"/>
              </w:rPr>
            </w:pPr>
            <w:r>
              <w:rPr>
                <w:rFonts w:ascii="Arial" w:cs="Arial" w:eastAsia="Arial" w:hAnsi="Arial"/>
                <w:sz w:val="20"/>
                <w:szCs w:val="20"/>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Jeffrey Lamothe</w:t>
            </w:r>
          </w:p>
        </w:tc>
      </w:tr>
      <w:tr>
        <w:trPr>
          <w:trHeight w:val="223"/>
        </w:trPr>
        <w:tc>
          <w:tcPr>
            <w:tcW w:w="3300" w:type="dxa"/>
            <w:vAlign w:val="bottom"/>
          </w:tcPr>
          <w:p>
            <w:pPr>
              <w:spacing w:after="0"/>
              <w:rPr>
                <w:sz w:val="19"/>
                <w:szCs w:val="19"/>
                <w:color w:val="auto"/>
              </w:rPr>
            </w:pPr>
          </w:p>
        </w:tc>
        <w:tc>
          <w:tcPr>
            <w:tcW w:w="2620" w:type="dxa"/>
            <w:vAlign w:val="bottom"/>
          </w:tcPr>
          <w:p>
            <w:pPr>
              <w:ind w:left="1900"/>
              <w:spacing w:after="0" w:line="223" w:lineRule="exact"/>
              <w:rPr>
                <w:sz w:val="20"/>
                <w:szCs w:val="20"/>
                <w:color w:val="auto"/>
              </w:rPr>
            </w:pPr>
            <w:r>
              <w:rPr>
                <w:rFonts w:ascii="Arial" w:cs="Arial" w:eastAsia="Arial" w:hAnsi="Arial"/>
                <w:sz w:val="20"/>
                <w:szCs w:val="20"/>
                <w:color w:val="auto"/>
              </w:rPr>
              <w:t>Name:</w:t>
            </w:r>
          </w:p>
        </w:tc>
        <w:tc>
          <w:tcPr>
            <w:tcW w:w="53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Jeffrey Lamothe</w:t>
            </w:r>
          </w:p>
        </w:tc>
      </w:tr>
      <w:tr>
        <w:trPr>
          <w:trHeight w:val="223"/>
        </w:trPr>
        <w:tc>
          <w:tcPr>
            <w:tcW w:w="3300" w:type="dxa"/>
            <w:vAlign w:val="bottom"/>
          </w:tcPr>
          <w:p>
            <w:pPr>
              <w:spacing w:after="0"/>
              <w:rPr>
                <w:sz w:val="19"/>
                <w:szCs w:val="19"/>
                <w:color w:val="auto"/>
              </w:rPr>
            </w:pPr>
          </w:p>
        </w:tc>
        <w:tc>
          <w:tcPr>
            <w:tcW w:w="2620" w:type="dxa"/>
            <w:vAlign w:val="bottom"/>
          </w:tcPr>
          <w:p>
            <w:pPr>
              <w:ind w:left="1900"/>
              <w:spacing w:after="0" w:line="223" w:lineRule="exact"/>
              <w:rPr>
                <w:sz w:val="20"/>
                <w:szCs w:val="20"/>
                <w:color w:val="auto"/>
              </w:rPr>
            </w:pPr>
            <w:r>
              <w:rPr>
                <w:rFonts w:ascii="Arial" w:cs="Arial" w:eastAsia="Arial" w:hAnsi="Arial"/>
                <w:sz w:val="20"/>
                <w:szCs w:val="20"/>
                <w:color w:val="auto"/>
              </w:rPr>
              <w:t>Title:</w:t>
            </w:r>
          </w:p>
        </w:tc>
        <w:tc>
          <w:tcPr>
            <w:tcW w:w="53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CFO</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160020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177165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AND SECURITY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August 5, 2020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among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APTEVO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APTEVO RESEARCH AND DEVELOPMENT LLC,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any additional borrower that hereafter becomes party hereto, each as Borrower, and collectively as Borrowers,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MIDCAP FINANCIAL TRUST,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Agent,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LENDERS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811530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828675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151130</wp:posOffset>
            </wp:positionV>
            <wp:extent cx="1834515" cy="514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345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62865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680"/>
          </w:cols>
          <w:pgMar w:left="1100" w:top="549" w:right="11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56"/>
        </w:trPr>
        <w:tc>
          <w:tcPr>
            <w:tcW w:w="2120" w:type="dxa"/>
            <w:vAlign w:val="bottom"/>
          </w:tcPr>
          <w:p>
            <w:pPr>
              <w:spacing w:after="0"/>
              <w:rPr>
                <w:sz w:val="22"/>
                <w:szCs w:val="22"/>
                <w:color w:val="auto"/>
              </w:rPr>
            </w:pPr>
          </w:p>
        </w:tc>
        <w:tc>
          <w:tcPr>
            <w:tcW w:w="8040" w:type="dxa"/>
            <w:vAlign w:val="bottom"/>
          </w:tcPr>
          <w:p>
            <w:pPr>
              <w:ind w:left="2440"/>
              <w:spacing w:after="0"/>
              <w:rPr>
                <w:sz w:val="20"/>
                <w:szCs w:val="20"/>
                <w:color w:val="auto"/>
              </w:rPr>
            </w:pPr>
            <w:r>
              <w:rPr>
                <w:rFonts w:ascii="Arial" w:cs="Arial" w:eastAsia="Arial" w:hAnsi="Arial"/>
                <w:sz w:val="20"/>
                <w:szCs w:val="20"/>
                <w:b w:val="1"/>
                <w:bCs w:val="1"/>
                <w:color w:val="auto"/>
              </w:rPr>
              <w:t>TABLE OF CONTENTS</w:t>
            </w:r>
          </w:p>
        </w:tc>
        <w:tc>
          <w:tcPr>
            <w:tcW w:w="1080" w:type="dxa"/>
            <w:vAlign w:val="bottom"/>
          </w:tcPr>
          <w:p>
            <w:pPr>
              <w:spacing w:after="0"/>
              <w:rPr>
                <w:sz w:val="22"/>
                <w:szCs w:val="22"/>
                <w:color w:val="auto"/>
              </w:rPr>
            </w:pPr>
          </w:p>
        </w:tc>
      </w:tr>
      <w:tr>
        <w:trPr>
          <w:trHeight w:val="459"/>
        </w:trPr>
        <w:tc>
          <w:tcPr>
            <w:tcW w:w="21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59"/>
        </w:trPr>
        <w:tc>
          <w:tcPr>
            <w:tcW w:w="10160" w:type="dxa"/>
            <w:vAlign w:val="bottom"/>
            <w:gridSpan w:val="2"/>
          </w:tcPr>
          <w:p>
            <w:pPr>
              <w:spacing w:after="0"/>
              <w:rPr>
                <w:sz w:val="20"/>
                <w:szCs w:val="20"/>
                <w:color w:val="auto"/>
              </w:rPr>
            </w:pPr>
            <w:r>
              <w:rPr>
                <w:rFonts w:ascii="Arial" w:cs="Arial" w:eastAsia="Arial" w:hAnsi="Arial"/>
                <w:sz w:val="20"/>
                <w:szCs w:val="20"/>
                <w:b w:val="1"/>
                <w:bCs w:val="1"/>
                <w:color w:val="auto"/>
              </w:rPr>
              <w:t>ARTICLE 1 - DEFINITIONS</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446"/>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1.1</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Certain Defined Terms</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1.2</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Accounting Terms and Determinations</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26</w:t>
            </w:r>
          </w:p>
        </w:tc>
      </w:tr>
      <w:tr>
        <w:trPr>
          <w:trHeight w:val="446"/>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1.3</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Other Definitional and Interpretive Provisions</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26</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1.4</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Settlement and Funding Mechanics. .</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446"/>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1.5</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Time is of the Essence.</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1.6</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Time of Day.</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446"/>
        </w:trPr>
        <w:tc>
          <w:tcPr>
            <w:tcW w:w="2120" w:type="dxa"/>
            <w:vAlign w:val="bottom"/>
          </w:tcPr>
          <w:p>
            <w:pPr>
              <w:spacing w:after="0"/>
              <w:rPr>
                <w:sz w:val="20"/>
                <w:szCs w:val="20"/>
                <w:color w:val="auto"/>
              </w:rPr>
            </w:pPr>
            <w:r>
              <w:rPr>
                <w:rFonts w:ascii="Arial" w:cs="Arial" w:eastAsia="Arial" w:hAnsi="Arial"/>
                <w:sz w:val="20"/>
                <w:szCs w:val="20"/>
                <w:b w:val="1"/>
                <w:bCs w:val="1"/>
                <w:color w:val="auto"/>
              </w:rPr>
              <w:t>ARTICLE 2 - LOANS</w:t>
            </w:r>
          </w:p>
        </w:tc>
        <w:tc>
          <w:tcPr>
            <w:tcW w:w="80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446"/>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2.1</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Loans.</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27</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2.2</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Interest, Interest Calculations and Certain Fees.</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31</w:t>
            </w:r>
          </w:p>
        </w:tc>
      </w:tr>
      <w:tr>
        <w:trPr>
          <w:trHeight w:val="446"/>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2.3</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Notes</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2.4</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Reserved.</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446"/>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2.5</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Reserved.</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2.6</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General Provisions Regarding Payment; Loan Account.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32</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2.7</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Maximum Interest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33</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2.8</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Taxes; Capital Adequacy.</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33</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2.9</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Appointment of Borrower Representative.</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38</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2.10</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w w:val="98"/>
              </w:rPr>
              <w:t>Joint and Several Liability; Rights of Contribution; Subordination and Subrogation.</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39</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2.11</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Reserved</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41</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2.12</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Termination; Restriction on Termination.</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41</w:t>
            </w:r>
          </w:p>
        </w:tc>
      </w:tr>
      <w:tr>
        <w:trPr>
          <w:trHeight w:val="446"/>
        </w:trPr>
        <w:tc>
          <w:tcPr>
            <w:tcW w:w="10160" w:type="dxa"/>
            <w:vAlign w:val="bottom"/>
            <w:gridSpan w:val="2"/>
          </w:tcPr>
          <w:p>
            <w:pPr>
              <w:spacing w:after="0"/>
              <w:rPr>
                <w:sz w:val="20"/>
                <w:szCs w:val="20"/>
                <w:color w:val="auto"/>
              </w:rPr>
            </w:pPr>
            <w:r>
              <w:rPr>
                <w:rFonts w:ascii="Arial" w:cs="Arial" w:eastAsia="Arial" w:hAnsi="Arial"/>
                <w:sz w:val="20"/>
                <w:szCs w:val="20"/>
                <w:b w:val="1"/>
                <w:bCs w:val="1"/>
                <w:color w:val="auto"/>
              </w:rPr>
              <w:t>ARTICLE 3 - REPRESENTATIONS AND WARRANTIES</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3.1</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Existence and Power</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r>
        <w:trPr>
          <w:trHeight w:val="445"/>
        </w:trPr>
        <w:tc>
          <w:tcPr>
            <w:tcW w:w="2120" w:type="dxa"/>
            <w:vAlign w:val="bottom"/>
          </w:tcPr>
          <w:p>
            <w:pPr>
              <w:ind w:left="660"/>
              <w:spacing w:after="0"/>
              <w:rPr>
                <w:sz w:val="20"/>
                <w:szCs w:val="20"/>
                <w:color w:val="auto"/>
              </w:rPr>
            </w:pPr>
            <w:r>
              <w:rPr>
                <w:rFonts w:ascii="Arial" w:cs="Arial" w:eastAsia="Arial" w:hAnsi="Arial"/>
                <w:sz w:val="20"/>
                <w:szCs w:val="20"/>
                <w:b w:val="1"/>
                <w:bCs w:val="1"/>
                <w:color w:val="auto"/>
              </w:rPr>
              <w:t>Section 3.2</w:t>
            </w:r>
          </w:p>
        </w:tc>
        <w:tc>
          <w:tcPr>
            <w:tcW w:w="8040" w:type="dxa"/>
            <w:vAlign w:val="bottom"/>
          </w:tcPr>
          <w:p>
            <w:pPr>
              <w:ind w:left="220"/>
              <w:spacing w:after="0"/>
              <w:rPr>
                <w:sz w:val="20"/>
                <w:szCs w:val="20"/>
                <w:color w:val="auto"/>
              </w:rPr>
            </w:pPr>
            <w:r>
              <w:rPr>
                <w:rFonts w:ascii="Arial" w:cs="Arial" w:eastAsia="Arial" w:hAnsi="Arial"/>
                <w:sz w:val="20"/>
                <w:szCs w:val="20"/>
                <w:b w:val="1"/>
                <w:bCs w:val="1"/>
                <w:color w:val="auto"/>
              </w:rPr>
              <w:t>Organization and Governmental Authorization; No Contravention</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5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3.3</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Binding Effect</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42</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3.4</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Capitalization</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3.5</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Financial Information</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3.6</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Litigation</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3.7</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Ownership of Property</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3.8</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No Default</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3.9</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Labor Matters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3.10</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Regulated Entities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44</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3.11</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Margin Regulations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44</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3.12</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Compliance With Laws; Anti-Terrorism Laws.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44</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3.13</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Taxes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44</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3.14</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Compliance with ERISA.</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45</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3.15</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Consummation of Financing Documents; Brokers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46</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3.16</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Reserved</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46</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3.17</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Material Contracts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46</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3.18</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Compliance with Environmental Requirements; No Hazardous Materials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47</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3.19</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Intellectual Property and License Agreements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47</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3.20</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Solvency</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47</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3.21</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Full Disclosure</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48</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3.22</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Interest Rate</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48</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3.23</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Subsidiaries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48</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3.24</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Reserved</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48</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3.25</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Accuracy of Schedules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48</w:t>
            </w:r>
          </w:p>
        </w:tc>
      </w:tr>
      <w:tr>
        <w:trPr>
          <w:trHeight w:val="446"/>
        </w:trPr>
        <w:tc>
          <w:tcPr>
            <w:tcW w:w="9780" w:type="dxa"/>
            <w:vAlign w:val="bottom"/>
            <w:gridSpan w:val="2"/>
          </w:tcPr>
          <w:p>
            <w:pPr>
              <w:spacing w:after="0"/>
              <w:rPr>
                <w:sz w:val="20"/>
                <w:szCs w:val="20"/>
                <w:color w:val="auto"/>
              </w:rPr>
            </w:pPr>
            <w:r>
              <w:rPr>
                <w:rFonts w:ascii="Arial" w:cs="Arial" w:eastAsia="Arial" w:hAnsi="Arial"/>
                <w:sz w:val="20"/>
                <w:szCs w:val="20"/>
                <w:b w:val="1"/>
                <w:bCs w:val="1"/>
                <w:color w:val="auto"/>
              </w:rPr>
              <w:t>ARTICLE 4 - AFFIRMATIVE COVENANTS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48</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4.1</w:t>
            </w:r>
          </w:p>
        </w:tc>
        <w:tc>
          <w:tcPr>
            <w:tcW w:w="7780" w:type="dxa"/>
            <w:vAlign w:val="bottom"/>
          </w:tcPr>
          <w:p>
            <w:pPr>
              <w:ind w:left="340"/>
              <w:spacing w:after="0"/>
              <w:rPr>
                <w:sz w:val="20"/>
                <w:szCs w:val="20"/>
                <w:color w:val="auto"/>
              </w:rPr>
            </w:pPr>
            <w:r>
              <w:rPr>
                <w:rFonts w:ascii="Arial" w:cs="Arial" w:eastAsia="Arial" w:hAnsi="Arial"/>
                <w:sz w:val="20"/>
                <w:szCs w:val="20"/>
                <w:b w:val="1"/>
                <w:bCs w:val="1"/>
                <w:color w:val="auto"/>
              </w:rPr>
              <w:t>Financial Statements and Other Reports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48</w:t>
            </w: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5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4.2</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Payment and Performance of Obligations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50</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4.3</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Maintenance of Existence</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50</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4.4</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Maintenance of Property; Insurance</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50</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4.5</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Compliance with Laws and Material Contracts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52</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4.6</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Inspection of Property, Books and Records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52</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4.7</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Use of Proceeds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52</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4.8</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Estoppel Certificates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52</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4.9</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Notices of Material Contracts, Litigation and Defaults.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53</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4.10</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Hazardous Materials; Remediation.</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54</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4.11</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Further Assurances.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54</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4.12</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Reserved</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56</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4.13</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Power of Attorney</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56</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4.14</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Reserved</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57</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4.15</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Schedule Updates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57</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4.16</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Intellectual Property and Licensing</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57</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4.17</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Regulatory Reporting and Covenants.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58</w:t>
            </w:r>
          </w:p>
        </w:tc>
      </w:tr>
      <w:tr>
        <w:trPr>
          <w:trHeight w:val="445"/>
        </w:trPr>
        <w:tc>
          <w:tcPr>
            <w:tcW w:w="9420" w:type="dxa"/>
            <w:vAlign w:val="bottom"/>
            <w:gridSpan w:val="2"/>
          </w:tcPr>
          <w:p>
            <w:pPr>
              <w:spacing w:after="0"/>
              <w:rPr>
                <w:sz w:val="20"/>
                <w:szCs w:val="20"/>
                <w:color w:val="auto"/>
              </w:rPr>
            </w:pPr>
            <w:r>
              <w:rPr>
                <w:rFonts w:ascii="Arial" w:cs="Arial" w:eastAsia="Arial" w:hAnsi="Arial"/>
                <w:sz w:val="20"/>
                <w:szCs w:val="20"/>
                <w:b w:val="1"/>
                <w:bCs w:val="1"/>
                <w:color w:val="auto"/>
              </w:rPr>
              <w:t>ARTICLE 5 - NEGATIVE COVENANTS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5.1</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Debt; Contingent Obligations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5.2</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Liens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5.3</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Distributions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5.4</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Restrictive Agreements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5.5</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Payments and Modifications of Subordinated Debt</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446"/>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5.6</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Consolidations, Mergers and Sales of Assets; Change in Control.</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60</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5.7</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Purchase of Assets, Investments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60</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5.8</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Transactions with Affiliates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60</w:t>
            </w:r>
          </w:p>
        </w:tc>
      </w:tr>
      <w:tr>
        <w:trPr>
          <w:trHeight w:val="445"/>
        </w:trPr>
        <w:tc>
          <w:tcPr>
            <w:tcW w:w="2000" w:type="dxa"/>
            <w:vAlign w:val="bottom"/>
          </w:tcPr>
          <w:p>
            <w:pPr>
              <w:ind w:left="660"/>
              <w:spacing w:after="0"/>
              <w:rPr>
                <w:sz w:val="20"/>
                <w:szCs w:val="20"/>
                <w:color w:val="auto"/>
              </w:rPr>
            </w:pPr>
            <w:r>
              <w:rPr>
                <w:rFonts w:ascii="Arial" w:cs="Arial" w:eastAsia="Arial" w:hAnsi="Arial"/>
                <w:sz w:val="20"/>
                <w:szCs w:val="20"/>
                <w:b w:val="1"/>
                <w:bCs w:val="1"/>
                <w:color w:val="auto"/>
              </w:rPr>
              <w:t>Section 5.9</w:t>
            </w:r>
          </w:p>
        </w:tc>
        <w:tc>
          <w:tcPr>
            <w:tcW w:w="7420" w:type="dxa"/>
            <w:vAlign w:val="bottom"/>
          </w:tcPr>
          <w:p>
            <w:pPr>
              <w:ind w:left="340"/>
              <w:spacing w:after="0"/>
              <w:rPr>
                <w:sz w:val="20"/>
                <w:szCs w:val="20"/>
                <w:color w:val="auto"/>
              </w:rPr>
            </w:pPr>
            <w:r>
              <w:rPr>
                <w:rFonts w:ascii="Arial" w:cs="Arial" w:eastAsia="Arial" w:hAnsi="Arial"/>
                <w:sz w:val="20"/>
                <w:szCs w:val="20"/>
                <w:b w:val="1"/>
                <w:bCs w:val="1"/>
                <w:color w:val="auto"/>
              </w:rPr>
              <w:t>Modification of Organizational Documents</w:t>
            </w:r>
          </w:p>
        </w:tc>
        <w:tc>
          <w:tcPr>
            <w:tcW w:w="1820" w:type="dxa"/>
            <w:vAlign w:val="bottom"/>
          </w:tcPr>
          <w:p>
            <w:pPr>
              <w:jc w:val="right"/>
              <w:spacing w:after="0"/>
              <w:rPr>
                <w:sz w:val="20"/>
                <w:szCs w:val="20"/>
                <w:color w:val="auto"/>
              </w:rPr>
            </w:pPr>
            <w:r>
              <w:rPr>
                <w:rFonts w:ascii="Arial" w:cs="Arial" w:eastAsia="Arial" w:hAnsi="Arial"/>
                <w:sz w:val="20"/>
                <w:szCs w:val="20"/>
                <w:b w:val="1"/>
                <w:bCs w:val="1"/>
                <w:color w:val="auto"/>
              </w:rPr>
              <w:t>60</w:t>
            </w: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56"/>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5.10</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Modification of Certain Agreements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60</w:t>
            </w:r>
          </w:p>
        </w:tc>
      </w:tr>
      <w:tr>
        <w:trPr>
          <w:trHeight w:val="446"/>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5.11</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Conduct of Business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61</w:t>
            </w:r>
          </w:p>
        </w:tc>
      </w:tr>
      <w:tr>
        <w:trPr>
          <w:trHeight w:val="446"/>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5.12</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Reserved</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61</w:t>
            </w:r>
          </w:p>
        </w:tc>
      </w:tr>
      <w:tr>
        <w:trPr>
          <w:trHeight w:val="445"/>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5.13</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Limitation on Sale and Leaseback Transactions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61</w:t>
            </w:r>
          </w:p>
        </w:tc>
      </w:tr>
      <w:tr>
        <w:trPr>
          <w:trHeight w:val="446"/>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5.14</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Deposit Accounts and Securities Accounts; Payroll and Benefits Accounts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61</w:t>
            </w:r>
          </w:p>
        </w:tc>
      </w:tr>
      <w:tr>
        <w:trPr>
          <w:trHeight w:val="445"/>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5.15</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Compliance with Anti-Terrorism Laws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62</w:t>
            </w:r>
          </w:p>
        </w:tc>
      </w:tr>
      <w:tr>
        <w:trPr>
          <w:trHeight w:val="446"/>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5.16</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Change in Accounting</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62</w:t>
            </w:r>
          </w:p>
        </w:tc>
      </w:tr>
      <w:tr>
        <w:trPr>
          <w:trHeight w:val="445"/>
        </w:trPr>
        <w:tc>
          <w:tcPr>
            <w:tcW w:w="2320" w:type="dxa"/>
            <w:vAlign w:val="bottom"/>
          </w:tcPr>
          <w:p>
            <w:pPr>
              <w:spacing w:after="0"/>
              <w:rPr>
                <w:sz w:val="20"/>
                <w:szCs w:val="20"/>
                <w:color w:val="auto"/>
              </w:rPr>
            </w:pPr>
            <w:r>
              <w:rPr>
                <w:rFonts w:ascii="Arial" w:cs="Arial" w:eastAsia="Arial" w:hAnsi="Arial"/>
                <w:sz w:val="20"/>
                <w:szCs w:val="20"/>
                <w:b w:val="1"/>
                <w:bCs w:val="1"/>
                <w:color w:val="auto"/>
                <w:w w:val="99"/>
              </w:rPr>
              <w:t>ARTICLE 6 - RESERVED</w:t>
            </w:r>
          </w:p>
        </w:tc>
        <w:tc>
          <w:tcPr>
            <w:tcW w:w="74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63</w:t>
            </w:r>
          </w:p>
        </w:tc>
      </w:tr>
      <w:tr>
        <w:trPr>
          <w:trHeight w:val="446"/>
        </w:trPr>
        <w:tc>
          <w:tcPr>
            <w:tcW w:w="9800" w:type="dxa"/>
            <w:vAlign w:val="bottom"/>
            <w:gridSpan w:val="2"/>
          </w:tcPr>
          <w:p>
            <w:pPr>
              <w:spacing w:after="0"/>
              <w:rPr>
                <w:sz w:val="20"/>
                <w:szCs w:val="20"/>
                <w:color w:val="auto"/>
              </w:rPr>
            </w:pPr>
            <w:r>
              <w:rPr>
                <w:rFonts w:ascii="Arial" w:cs="Arial" w:eastAsia="Arial" w:hAnsi="Arial"/>
                <w:sz w:val="20"/>
                <w:szCs w:val="20"/>
                <w:b w:val="1"/>
                <w:bCs w:val="1"/>
                <w:color w:val="auto"/>
              </w:rPr>
              <w:t>ARTICLE 7 - CONDITIONS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63</w:t>
            </w:r>
          </w:p>
        </w:tc>
      </w:tr>
      <w:tr>
        <w:trPr>
          <w:trHeight w:val="446"/>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7.1</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Conditions to Closing</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63</w:t>
            </w:r>
          </w:p>
        </w:tc>
      </w:tr>
      <w:tr>
        <w:trPr>
          <w:trHeight w:val="445"/>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7.2</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Conditions to Each Loan</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63</w:t>
            </w:r>
          </w:p>
        </w:tc>
      </w:tr>
      <w:tr>
        <w:trPr>
          <w:trHeight w:val="446"/>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7.3</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Searches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64</w:t>
            </w:r>
          </w:p>
        </w:tc>
      </w:tr>
      <w:tr>
        <w:trPr>
          <w:trHeight w:val="445"/>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7.4</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Post Closing Requirements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64</w:t>
            </w:r>
          </w:p>
        </w:tc>
      </w:tr>
      <w:tr>
        <w:trPr>
          <w:trHeight w:val="446"/>
        </w:trPr>
        <w:tc>
          <w:tcPr>
            <w:tcW w:w="9800" w:type="dxa"/>
            <w:vAlign w:val="bottom"/>
            <w:gridSpan w:val="2"/>
          </w:tcPr>
          <w:p>
            <w:pPr>
              <w:spacing w:after="0"/>
              <w:rPr>
                <w:sz w:val="20"/>
                <w:szCs w:val="20"/>
                <w:color w:val="auto"/>
              </w:rPr>
            </w:pPr>
            <w:r>
              <w:rPr>
                <w:rFonts w:ascii="Arial" w:cs="Arial" w:eastAsia="Arial" w:hAnsi="Arial"/>
                <w:sz w:val="20"/>
                <w:szCs w:val="20"/>
                <w:b w:val="1"/>
                <w:bCs w:val="1"/>
                <w:color w:val="auto"/>
              </w:rPr>
              <w:t>ARTICLE 8 – REGULATORY MATTERS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64</w:t>
            </w:r>
          </w:p>
        </w:tc>
      </w:tr>
      <w:tr>
        <w:trPr>
          <w:trHeight w:val="445"/>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8.1</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Reserved</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64</w:t>
            </w:r>
          </w:p>
        </w:tc>
      </w:tr>
      <w:tr>
        <w:trPr>
          <w:trHeight w:val="445"/>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8.2</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Representations and Warranties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64</w:t>
            </w:r>
          </w:p>
        </w:tc>
      </w:tr>
      <w:tr>
        <w:trPr>
          <w:trHeight w:val="445"/>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8.3</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Healthcare Operations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67</w:t>
            </w:r>
          </w:p>
        </w:tc>
      </w:tr>
      <w:tr>
        <w:trPr>
          <w:trHeight w:val="445"/>
        </w:trPr>
        <w:tc>
          <w:tcPr>
            <w:tcW w:w="9800" w:type="dxa"/>
            <w:vAlign w:val="bottom"/>
            <w:gridSpan w:val="2"/>
          </w:tcPr>
          <w:p>
            <w:pPr>
              <w:spacing w:after="0"/>
              <w:rPr>
                <w:sz w:val="20"/>
                <w:szCs w:val="20"/>
                <w:color w:val="auto"/>
              </w:rPr>
            </w:pPr>
            <w:r>
              <w:rPr>
                <w:rFonts w:ascii="Arial" w:cs="Arial" w:eastAsia="Arial" w:hAnsi="Arial"/>
                <w:sz w:val="20"/>
                <w:szCs w:val="20"/>
                <w:b w:val="1"/>
                <w:bCs w:val="1"/>
                <w:color w:val="auto"/>
              </w:rPr>
              <w:t>ARTICLE 9 - SECURITY AGREEMENT</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67</w:t>
            </w:r>
          </w:p>
        </w:tc>
      </w:tr>
      <w:tr>
        <w:trPr>
          <w:trHeight w:val="445"/>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9.1</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Generally</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67</w:t>
            </w:r>
          </w:p>
        </w:tc>
      </w:tr>
      <w:tr>
        <w:trPr>
          <w:trHeight w:val="445"/>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9.2</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Representations and Warranties and Covenants Relating to Collateral.</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67</w:t>
            </w:r>
          </w:p>
        </w:tc>
      </w:tr>
      <w:tr>
        <w:trPr>
          <w:trHeight w:val="445"/>
        </w:trPr>
        <w:tc>
          <w:tcPr>
            <w:tcW w:w="9800" w:type="dxa"/>
            <w:vAlign w:val="bottom"/>
            <w:gridSpan w:val="2"/>
          </w:tcPr>
          <w:p>
            <w:pPr>
              <w:spacing w:after="0"/>
              <w:rPr>
                <w:sz w:val="20"/>
                <w:szCs w:val="20"/>
                <w:color w:val="auto"/>
              </w:rPr>
            </w:pPr>
            <w:r>
              <w:rPr>
                <w:rFonts w:ascii="Arial" w:cs="Arial" w:eastAsia="Arial" w:hAnsi="Arial"/>
                <w:sz w:val="20"/>
                <w:szCs w:val="20"/>
                <w:b w:val="1"/>
                <w:bCs w:val="1"/>
                <w:color w:val="auto"/>
              </w:rPr>
              <w:t>ARTICLE 10 - EVENTS OF DEFAULT</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72</w:t>
            </w:r>
          </w:p>
        </w:tc>
      </w:tr>
      <w:tr>
        <w:trPr>
          <w:trHeight w:val="445"/>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10.1</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Events of Default</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72</w:t>
            </w:r>
          </w:p>
        </w:tc>
      </w:tr>
      <w:tr>
        <w:trPr>
          <w:trHeight w:val="446"/>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10.2</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Acceleration and Suspension or Termination of Term Loan Commitment</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75</w:t>
            </w:r>
          </w:p>
        </w:tc>
      </w:tr>
      <w:tr>
        <w:trPr>
          <w:trHeight w:val="445"/>
        </w:trPr>
        <w:tc>
          <w:tcPr>
            <w:tcW w:w="2320" w:type="dxa"/>
            <w:vAlign w:val="bottom"/>
          </w:tcPr>
          <w:p>
            <w:pPr>
              <w:ind w:left="660"/>
              <w:spacing w:after="0"/>
              <w:rPr>
                <w:sz w:val="20"/>
                <w:szCs w:val="20"/>
                <w:color w:val="auto"/>
              </w:rPr>
            </w:pPr>
            <w:r>
              <w:rPr>
                <w:rFonts w:ascii="Arial" w:cs="Arial" w:eastAsia="Arial" w:hAnsi="Arial"/>
                <w:sz w:val="20"/>
                <w:szCs w:val="20"/>
                <w:b w:val="1"/>
                <w:bCs w:val="1"/>
                <w:color w:val="auto"/>
              </w:rPr>
              <w:t>Section 10.3</w:t>
            </w:r>
          </w:p>
        </w:tc>
        <w:tc>
          <w:tcPr>
            <w:tcW w:w="7480" w:type="dxa"/>
            <w:vAlign w:val="bottom"/>
          </w:tcPr>
          <w:p>
            <w:pPr>
              <w:ind w:left="20"/>
              <w:spacing w:after="0"/>
              <w:rPr>
                <w:sz w:val="20"/>
                <w:szCs w:val="20"/>
                <w:color w:val="auto"/>
              </w:rPr>
            </w:pPr>
            <w:r>
              <w:rPr>
                <w:rFonts w:ascii="Arial" w:cs="Arial" w:eastAsia="Arial" w:hAnsi="Arial"/>
                <w:sz w:val="20"/>
                <w:szCs w:val="20"/>
                <w:b w:val="1"/>
                <w:bCs w:val="1"/>
                <w:color w:val="auto"/>
              </w:rPr>
              <w:t>UCC Remedies.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75</w:t>
            </w: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56"/>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10.4</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Reserved.</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77</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10.5</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Default Rate of Interest</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77</w:t>
            </w:r>
          </w:p>
        </w:tc>
      </w:tr>
      <w:tr>
        <w:trPr>
          <w:trHeight w:val="446"/>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10.6</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Setoff Rights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77</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10.7</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Application of Proceeds.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78</w:t>
            </w:r>
          </w:p>
        </w:tc>
      </w:tr>
      <w:tr>
        <w:trPr>
          <w:trHeight w:val="446"/>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10.8</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Waivers.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79</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10.9</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Injunctive Relief</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80</w:t>
            </w:r>
          </w:p>
        </w:tc>
      </w:tr>
      <w:tr>
        <w:trPr>
          <w:trHeight w:val="446"/>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10.10</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Marshalling; Payments Set Aside</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81</w:t>
            </w:r>
          </w:p>
        </w:tc>
      </w:tr>
      <w:tr>
        <w:trPr>
          <w:trHeight w:val="445"/>
        </w:trPr>
        <w:tc>
          <w:tcPr>
            <w:tcW w:w="2180" w:type="dxa"/>
            <w:vAlign w:val="bottom"/>
          </w:tcPr>
          <w:p>
            <w:pPr>
              <w:spacing w:after="0"/>
              <w:rPr>
                <w:sz w:val="20"/>
                <w:szCs w:val="20"/>
                <w:color w:val="auto"/>
              </w:rPr>
            </w:pPr>
            <w:r>
              <w:rPr>
                <w:rFonts w:ascii="Arial" w:cs="Arial" w:eastAsia="Arial" w:hAnsi="Arial"/>
                <w:sz w:val="20"/>
                <w:szCs w:val="20"/>
                <w:b w:val="1"/>
                <w:bCs w:val="1"/>
                <w:color w:val="auto"/>
              </w:rPr>
              <w:t>ARTICLE 11 - AGENT</w:t>
            </w:r>
          </w:p>
        </w:tc>
        <w:tc>
          <w:tcPr>
            <w:tcW w:w="71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81</w:t>
            </w:r>
          </w:p>
        </w:tc>
      </w:tr>
      <w:tr>
        <w:trPr>
          <w:trHeight w:val="446"/>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11.1</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Appointment and Authorization</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81</w:t>
            </w:r>
          </w:p>
        </w:tc>
      </w:tr>
      <w:tr>
        <w:trPr>
          <w:trHeight w:val="446"/>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11.2</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Agent and Affiliates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81</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11.3</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Action by Agent</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81</w:t>
            </w:r>
          </w:p>
        </w:tc>
      </w:tr>
      <w:tr>
        <w:trPr>
          <w:trHeight w:val="446"/>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11.4</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Consultation with Experts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82</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11.5</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Liability of Agent</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82</w:t>
            </w:r>
          </w:p>
        </w:tc>
      </w:tr>
      <w:tr>
        <w:trPr>
          <w:trHeight w:val="446"/>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11.6</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Indemnification</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82</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11.7</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Right to Request and Act on Instructions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82</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11.8</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Credit Decision</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83</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11.9</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Collateral Matters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83</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11.10</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Agency for Perfection</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83</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11.11</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Notice of Default</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83</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11.12</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Assignment by Agent; Resignation of Agent; Successor Agent.</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84</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11.13</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Payment and Sharing of Payment.</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85</w:t>
            </w:r>
          </w:p>
        </w:tc>
      </w:tr>
      <w:tr>
        <w:trPr>
          <w:trHeight w:val="446"/>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11.14</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Right to Perform, Preserve and Protect</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86</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11.15</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Additional Titled Agents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86</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11.16</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Amendments and Waivers.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86</w:t>
            </w:r>
          </w:p>
        </w:tc>
      </w:tr>
      <w:tr>
        <w:trPr>
          <w:trHeight w:val="445"/>
        </w:trPr>
        <w:tc>
          <w:tcPr>
            <w:tcW w:w="2180" w:type="dxa"/>
            <w:vAlign w:val="bottom"/>
          </w:tcPr>
          <w:p>
            <w:pPr>
              <w:ind w:left="660"/>
              <w:spacing w:after="0"/>
              <w:rPr>
                <w:sz w:val="20"/>
                <w:szCs w:val="20"/>
                <w:color w:val="auto"/>
              </w:rPr>
            </w:pPr>
            <w:r>
              <w:rPr>
                <w:rFonts w:ascii="Arial" w:cs="Arial" w:eastAsia="Arial" w:hAnsi="Arial"/>
                <w:sz w:val="20"/>
                <w:szCs w:val="20"/>
                <w:b w:val="1"/>
                <w:bCs w:val="1"/>
                <w:color w:val="auto"/>
              </w:rPr>
              <w:t>Section 11.17</w:t>
            </w:r>
          </w:p>
        </w:tc>
        <w:tc>
          <w:tcPr>
            <w:tcW w:w="7120" w:type="dxa"/>
            <w:vAlign w:val="bottom"/>
          </w:tcPr>
          <w:p>
            <w:pPr>
              <w:ind w:left="160"/>
              <w:spacing w:after="0"/>
              <w:rPr>
                <w:sz w:val="20"/>
                <w:szCs w:val="20"/>
                <w:color w:val="auto"/>
              </w:rPr>
            </w:pPr>
            <w:r>
              <w:rPr>
                <w:rFonts w:ascii="Arial" w:cs="Arial" w:eastAsia="Arial" w:hAnsi="Arial"/>
                <w:sz w:val="20"/>
                <w:szCs w:val="20"/>
                <w:b w:val="1"/>
                <w:bCs w:val="1"/>
                <w:color w:val="auto"/>
              </w:rPr>
              <w:t>Assignments and Participations.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87</w:t>
            </w: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56"/>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11.18</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Funding and Settlement Provisions Applicable When Non-Funding Lenders Exist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90</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11.19</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Reserved</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91</w:t>
            </w:r>
          </w:p>
        </w:tc>
      </w:tr>
      <w:tr>
        <w:trPr>
          <w:trHeight w:val="446"/>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11.20</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Definitions</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91</w:t>
            </w:r>
          </w:p>
        </w:tc>
      </w:tr>
      <w:tr>
        <w:trPr>
          <w:trHeight w:val="445"/>
        </w:trPr>
        <w:tc>
          <w:tcPr>
            <w:tcW w:w="10140" w:type="dxa"/>
            <w:vAlign w:val="bottom"/>
            <w:gridSpan w:val="2"/>
          </w:tcPr>
          <w:p>
            <w:pPr>
              <w:spacing w:after="0"/>
              <w:rPr>
                <w:sz w:val="20"/>
                <w:szCs w:val="20"/>
                <w:color w:val="auto"/>
              </w:rPr>
            </w:pPr>
            <w:r>
              <w:rPr>
                <w:rFonts w:ascii="Arial" w:cs="Arial" w:eastAsia="Arial" w:hAnsi="Arial"/>
                <w:sz w:val="20"/>
                <w:szCs w:val="20"/>
                <w:b w:val="1"/>
                <w:bCs w:val="1"/>
                <w:color w:val="auto"/>
              </w:rPr>
              <w:t>ARTICLE 12 - MISCELLANEOUS</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92</w:t>
            </w:r>
          </w:p>
        </w:tc>
      </w:tr>
      <w:tr>
        <w:trPr>
          <w:trHeight w:val="446"/>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12.1</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Survival</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92</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12.2</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No Waivers</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92</w:t>
            </w:r>
          </w:p>
        </w:tc>
      </w:tr>
      <w:tr>
        <w:trPr>
          <w:trHeight w:val="446"/>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12.3</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Notices.</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92</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12.4</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Severability</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93</w:t>
            </w:r>
          </w:p>
        </w:tc>
      </w:tr>
      <w:tr>
        <w:trPr>
          <w:trHeight w:val="446"/>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12.5</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Headings</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93</w:t>
            </w:r>
          </w:p>
        </w:tc>
      </w:tr>
      <w:tr>
        <w:trPr>
          <w:trHeight w:val="446"/>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12.6</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Confidentiality.</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93</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12.7</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Waiver of Consequential and Other Damages</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94</w:t>
            </w:r>
          </w:p>
        </w:tc>
      </w:tr>
      <w:tr>
        <w:trPr>
          <w:trHeight w:val="446"/>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12.8</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GOVERNING LAW; SUBMISSION TO JURISDICTION.</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94</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12.9</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WAIVER OF JURY TRIAL</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95</w:t>
            </w:r>
          </w:p>
        </w:tc>
      </w:tr>
      <w:tr>
        <w:trPr>
          <w:trHeight w:val="446"/>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12.10</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Publication; Advertisement.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95</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12.11</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Counterparts; Integration</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95</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12.12</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No Strict Construction</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96</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12.13</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Lender Approvals</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96</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12.14</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Expenses; Indemnity</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96</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12.15</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RESERVED.</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97</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12.16</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Reinstatement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98</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12.17</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Successors and Assigns</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98</w:t>
            </w:r>
          </w:p>
        </w:tc>
      </w:tr>
      <w:tr>
        <w:trPr>
          <w:trHeight w:val="446"/>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12.18</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USA PATRIOT Act Notification</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98</w:t>
            </w:r>
          </w:p>
        </w:tc>
      </w:tr>
      <w:tr>
        <w:trPr>
          <w:trHeight w:val="445"/>
        </w:trPr>
        <w:tc>
          <w:tcPr>
            <w:tcW w:w="2060" w:type="dxa"/>
            <w:vAlign w:val="bottom"/>
          </w:tcPr>
          <w:p>
            <w:pPr>
              <w:ind w:left="660"/>
              <w:spacing w:after="0"/>
              <w:rPr>
                <w:sz w:val="20"/>
                <w:szCs w:val="20"/>
                <w:color w:val="auto"/>
              </w:rPr>
            </w:pPr>
            <w:r>
              <w:rPr>
                <w:rFonts w:ascii="Arial" w:cs="Arial" w:eastAsia="Arial" w:hAnsi="Arial"/>
                <w:sz w:val="20"/>
                <w:szCs w:val="20"/>
                <w:b w:val="1"/>
                <w:bCs w:val="1"/>
                <w:color w:val="auto"/>
              </w:rPr>
              <w:t>Section 12.19</w:t>
            </w:r>
          </w:p>
        </w:tc>
        <w:tc>
          <w:tcPr>
            <w:tcW w:w="8080" w:type="dxa"/>
            <w:vAlign w:val="bottom"/>
          </w:tcPr>
          <w:p>
            <w:pPr>
              <w:ind w:left="280"/>
              <w:spacing w:after="0"/>
              <w:rPr>
                <w:sz w:val="20"/>
                <w:szCs w:val="20"/>
                <w:color w:val="auto"/>
              </w:rPr>
            </w:pPr>
            <w:r>
              <w:rPr>
                <w:rFonts w:ascii="Arial" w:cs="Arial" w:eastAsia="Arial" w:hAnsi="Arial"/>
                <w:sz w:val="20"/>
                <w:szCs w:val="20"/>
                <w:b w:val="1"/>
                <w:bCs w:val="1"/>
                <w:color w:val="auto"/>
              </w:rPr>
              <w:t>Acknowledgement and Consent to Bail-In of EEA Financial Institutions</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0"/>
          <w:szCs w:val="20"/>
          <w:b w:val="1"/>
          <w:bCs w:val="1"/>
          <w:u w:val="single" w:color="auto"/>
          <w:color w:val="auto"/>
        </w:rPr>
        <w:t>CREDIT AND SECURITY AGREEMENT</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CREDIT AND SECURITY AGREEMENT</w:t>
      </w:r>
      <w:r>
        <w:rPr>
          <w:rFonts w:ascii="Arial" w:cs="Arial" w:eastAsia="Arial" w:hAnsi="Arial"/>
          <w:sz w:val="19"/>
          <w:szCs w:val="19"/>
          <w:color w:val="auto"/>
        </w:rPr>
        <w:t xml:space="preserve"> (as the same may be amended, supplemented, restated or otherwise modified from time to time, the “</w:t>
      </w:r>
      <w:r>
        <w:rPr>
          <w:rFonts w:ascii="Arial" w:cs="Arial" w:eastAsia="Arial" w:hAnsi="Arial"/>
          <w:sz w:val="19"/>
          <w:szCs w:val="19"/>
          <w:b w:val="1"/>
          <w:bCs w:val="1"/>
          <w:color w:val="auto"/>
        </w:rPr>
        <w:t>Agreement</w:t>
      </w:r>
      <w:r>
        <w:rPr>
          <w:rFonts w:ascii="Arial" w:cs="Arial" w:eastAsia="Arial" w:hAnsi="Arial"/>
          <w:sz w:val="19"/>
          <w:szCs w:val="19"/>
          <w:color w:val="auto"/>
        </w:rPr>
        <w:t>”) is dated as of August 5, 2020 (the “</w:t>
      </w:r>
      <w:r>
        <w:rPr>
          <w:rFonts w:ascii="Arial" w:cs="Arial" w:eastAsia="Arial" w:hAnsi="Arial"/>
          <w:sz w:val="19"/>
          <w:szCs w:val="19"/>
          <w:b w:val="1"/>
          <w:bCs w:val="1"/>
          <w:color w:val="auto"/>
        </w:rPr>
        <w:t>Closing Date</w:t>
      </w:r>
      <w:r>
        <w:rPr>
          <w:rFonts w:ascii="Arial" w:cs="Arial" w:eastAsia="Arial" w:hAnsi="Arial"/>
          <w:sz w:val="19"/>
          <w:szCs w:val="19"/>
          <w:color w:val="auto"/>
        </w:rPr>
        <w:t xml:space="preserve">”) by and among </w:t>
      </w:r>
      <w:r>
        <w:rPr>
          <w:rFonts w:ascii="Arial" w:cs="Arial" w:eastAsia="Arial" w:hAnsi="Arial"/>
          <w:sz w:val="19"/>
          <w:szCs w:val="19"/>
          <w:b w:val="1"/>
          <w:bCs w:val="1"/>
          <w:color w:val="auto"/>
        </w:rPr>
        <w:t>APTEVO THERAPEUTICS INC.</w:t>
      </w:r>
      <w:r>
        <w:rPr>
          <w:rFonts w:ascii="Arial" w:cs="Arial" w:eastAsia="Arial" w:hAnsi="Arial"/>
          <w:sz w:val="19"/>
          <w:szCs w:val="19"/>
          <w:color w:val="auto"/>
        </w:rPr>
        <w:t>, a Delaware corporation (“</w:t>
      </w:r>
      <w:r>
        <w:rPr>
          <w:rFonts w:ascii="Arial" w:cs="Arial" w:eastAsia="Arial" w:hAnsi="Arial"/>
          <w:sz w:val="19"/>
          <w:szCs w:val="19"/>
          <w:b w:val="1"/>
          <w:bCs w:val="1"/>
          <w:color w:val="auto"/>
        </w:rPr>
        <w:t>Aptevo Therapeutics</w:t>
      </w:r>
      <w:r>
        <w:rPr>
          <w:rFonts w:ascii="Arial" w:cs="Arial" w:eastAsia="Arial" w:hAnsi="Arial"/>
          <w:sz w:val="19"/>
          <w:szCs w:val="19"/>
          <w:color w:val="auto"/>
        </w:rPr>
        <w:t xml:space="preserve">”), </w:t>
      </w:r>
      <w:r>
        <w:rPr>
          <w:rFonts w:ascii="Arial" w:cs="Arial" w:eastAsia="Arial" w:hAnsi="Arial"/>
          <w:sz w:val="19"/>
          <w:szCs w:val="19"/>
          <w:b w:val="1"/>
          <w:bCs w:val="1"/>
          <w:color w:val="auto"/>
        </w:rPr>
        <w:t>APTEVO RESEARCH AND DEVELOPMENT LLC</w:t>
      </w:r>
      <w:r>
        <w:rPr>
          <w:rFonts w:ascii="Arial" w:cs="Arial" w:eastAsia="Arial" w:hAnsi="Arial"/>
          <w:sz w:val="19"/>
          <w:szCs w:val="19"/>
          <w:color w:val="auto"/>
        </w:rPr>
        <w:t>, a Delaware limited liability company (“</w:t>
      </w:r>
      <w:r>
        <w:rPr>
          <w:rFonts w:ascii="Arial" w:cs="Arial" w:eastAsia="Arial" w:hAnsi="Arial"/>
          <w:sz w:val="19"/>
          <w:szCs w:val="19"/>
          <w:b w:val="1"/>
          <w:bCs w:val="1"/>
          <w:color w:val="auto"/>
        </w:rPr>
        <w:t>Aptevo R&amp;D</w:t>
      </w:r>
      <w:r>
        <w:rPr>
          <w:rFonts w:ascii="Arial" w:cs="Arial" w:eastAsia="Arial" w:hAnsi="Arial"/>
          <w:sz w:val="19"/>
          <w:szCs w:val="19"/>
          <w:color w:val="auto"/>
        </w:rPr>
        <w:t>”) and any additional borrower that may hereafter be added to this Agreement (each, individually as a “</w:t>
      </w:r>
      <w:r>
        <w:rPr>
          <w:rFonts w:ascii="Arial" w:cs="Arial" w:eastAsia="Arial" w:hAnsi="Arial"/>
          <w:sz w:val="19"/>
          <w:szCs w:val="19"/>
          <w:b w:val="1"/>
          <w:bCs w:val="1"/>
          <w:color w:val="auto"/>
        </w:rPr>
        <w:t>Borrower</w:t>
      </w:r>
      <w:r>
        <w:rPr>
          <w:rFonts w:ascii="Arial" w:cs="Arial" w:eastAsia="Arial" w:hAnsi="Arial"/>
          <w:sz w:val="19"/>
          <w:szCs w:val="19"/>
          <w:color w:val="auto"/>
        </w:rPr>
        <w:t>”, and collectively with any entities that become party hereto as Borrower and each of their successors and permitted assigns, the “</w:t>
      </w:r>
      <w:r>
        <w:rPr>
          <w:rFonts w:ascii="Arial" w:cs="Arial" w:eastAsia="Arial" w:hAnsi="Arial"/>
          <w:sz w:val="19"/>
          <w:szCs w:val="19"/>
          <w:b w:val="1"/>
          <w:bCs w:val="1"/>
          <w:color w:val="auto"/>
        </w:rPr>
        <w:t>Borrowers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MIDCAP FINANCIAL TRUST, </w:t>
      </w:r>
      <w:r>
        <w:rPr>
          <w:rFonts w:ascii="Arial" w:cs="Arial" w:eastAsia="Arial" w:hAnsi="Arial"/>
          <w:sz w:val="19"/>
          <w:szCs w:val="19"/>
          <w:color w:val="auto"/>
        </w:rPr>
        <w:t>a Delaware statutory trust, individually as a Lender, and as Agent, and the financial institutions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entities from time to time parties hereto, each as a Lender.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Borrowers have requested that Lenders make available to Borrowers the financing facilities as described herein. Lenders are willing to extend such credit to Borrowers under the terms and conditions herein set forth.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194"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the agreements, provisions and covenants herein contained, Borrowers, Lenders</w:t>
      </w:r>
      <w:r>
        <w:rPr>
          <w:rFonts w:ascii="Arial" w:cs="Arial" w:eastAsia="Arial" w:hAnsi="Arial"/>
          <w:sz w:val="20"/>
          <w:szCs w:val="20"/>
          <w:b w:val="1"/>
          <w:bCs w:val="1"/>
          <w:color w:val="auto"/>
        </w:rPr>
        <w:t xml:space="preserve"> </w:t>
      </w:r>
      <w:r>
        <w:rPr>
          <w:rFonts w:ascii="Arial" w:cs="Arial" w:eastAsia="Arial" w:hAnsi="Arial"/>
          <w:sz w:val="20"/>
          <w:szCs w:val="20"/>
          <w:color w:val="auto"/>
        </w:rPr>
        <w:t>and Agent agree as follows:</w:t>
      </w:r>
    </w:p>
    <w:p>
      <w:pPr>
        <w:spacing w:after="0" w:line="163" w:lineRule="exact"/>
        <w:rPr>
          <w:sz w:val="20"/>
          <w:szCs w:val="20"/>
          <w:color w:val="auto"/>
        </w:rPr>
      </w:pPr>
    </w:p>
    <w:p>
      <w:pPr>
        <w:ind w:left="4060"/>
        <w:spacing w:after="0"/>
        <w:tabs>
          <w:tab w:leader="none" w:pos="5740" w:val="left"/>
        </w:tabs>
        <w:rPr>
          <w:sz w:val="20"/>
          <w:szCs w:val="20"/>
          <w:color w:val="auto"/>
        </w:rPr>
      </w:pPr>
      <w:r>
        <w:rPr>
          <w:rFonts w:ascii="Arial" w:cs="Arial" w:eastAsia="Arial" w:hAnsi="Arial"/>
          <w:sz w:val="20"/>
          <w:szCs w:val="20"/>
          <w:b w:val="1"/>
          <w:bCs w:val="1"/>
          <w:color w:val="auto"/>
        </w:rPr>
        <w:t>ARTICLE 1</w:t>
      </w:r>
      <w:r>
        <w:rPr>
          <w:sz w:val="20"/>
          <w:szCs w:val="20"/>
          <w:color w:val="auto"/>
        </w:rPr>
        <w:tab/>
      </w:r>
      <w:r>
        <w:rPr>
          <w:rFonts w:ascii="Arial" w:cs="Arial" w:eastAsia="Arial" w:hAnsi="Arial"/>
          <w:sz w:val="20"/>
          <w:szCs w:val="20"/>
          <w:b w:val="1"/>
          <w:bCs w:val="1"/>
          <w:color w:val="auto"/>
        </w:rPr>
        <w:t>- DEFINITIONS</w:t>
      </w:r>
    </w:p>
    <w:p>
      <w:pPr>
        <w:spacing w:after="0" w:line="217"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Certain Defined Terms</w:t>
      </w:r>
      <w:r>
        <w:rPr>
          <w:rFonts w:ascii="Arial" w:cs="Arial" w:eastAsia="Arial" w:hAnsi="Arial"/>
          <w:sz w:val="19"/>
          <w:szCs w:val="19"/>
          <w:color w:val="auto"/>
        </w:rPr>
        <w:t>. The following terms have the following meanings:</w:t>
      </w:r>
    </w:p>
    <w:p>
      <w:pPr>
        <w:spacing w:after="0" w:line="22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Acceleration Event</w:t>
      </w:r>
      <w:r>
        <w:rPr>
          <w:rFonts w:ascii="Arial" w:cs="Arial" w:eastAsia="Arial" w:hAnsi="Arial"/>
          <w:sz w:val="20"/>
          <w:szCs w:val="20"/>
          <w:color w:val="auto"/>
        </w:rPr>
        <w:t>” means the occurrence of an Event of Default (a) in respect of which Agent has declared all or any portion of the Obligations to be immediately due and payable pursuant to Section 10.2, and/or (b) pursuant to either Section 10.1(e) and/or Section 10.1(f).</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means “account debtor”, as defined in Article 9 of the UCC, and any other obligor in respect of an Account.</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Accounts</w:t>
      </w:r>
      <w:r>
        <w:rPr>
          <w:rFonts w:ascii="Arial" w:cs="Arial" w:eastAsia="Arial" w:hAnsi="Arial"/>
          <w:sz w:val="19"/>
          <w:szCs w:val="19"/>
          <w:color w:val="auto"/>
        </w:rPr>
        <w:t>” means, collectively, (a) any right to payment of a monetary obligation, whether or not earned by performance,</w:t>
      </w:r>
    </w:p>
    <w:p>
      <w:pPr>
        <w:spacing w:after="0" w:line="33" w:lineRule="exact"/>
        <w:rPr>
          <w:sz w:val="20"/>
          <w:szCs w:val="20"/>
          <w:color w:val="auto"/>
        </w:rPr>
      </w:pPr>
    </w:p>
    <w:p>
      <w:pPr>
        <w:jc w:val="both"/>
        <w:ind w:firstLine="8"/>
        <w:spacing w:after="0" w:line="270" w:lineRule="auto"/>
        <w:tabs>
          <w:tab w:leader="none" w:pos="3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without duplication, any “account” (as defined in the UCC), any accounts receivable (whether in the form of payments for services rendered or goods sold, rents, license fees or otherwise), any “health-care-insurance receivables” (as defined in the UCC),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Financing Documents in respect of the foregoing, (d) all information and data compiled or derived by any Borrower or to which any Borrower is entitled in respect of or related to the foregoing, and (e) all proceeds of any of the foregoing.</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Titled Agents</w:t>
      </w:r>
      <w:r>
        <w:rPr>
          <w:rFonts w:ascii="Arial" w:cs="Arial" w:eastAsia="Arial" w:hAnsi="Arial"/>
          <w:sz w:val="20"/>
          <w:szCs w:val="20"/>
          <w:color w:val="auto"/>
        </w:rPr>
        <w:t>” has the meaning set forth in Section 11.15.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19" w:name="page120"/>
    <w:bookmarkEnd w:id="119"/>
    <w:p>
      <w:pPr>
        <w:jc w:val="both"/>
        <w:ind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 any Person that directly or indirectly controls such Person, (b) any Person which is controlled by or is under common control with such controlling Person, and (c) each of such Person’s (other than, with respect to any Lender, any Lender’s) officers or directors (or Persons functioning in substantially similar roles) and the spouses, parents, descendants and siblings of such officers, directors or other Persons. As used in this definition, the term “control” of a Person means the possession, directly or indirectly, of the power to vote ten percent (10%) or more of any class of voting securities of such Person or to direct or cause the direction of the management or policies of a Person, whether through the ownership of voting securities, by contract or otherwise.</w:t>
      </w:r>
    </w:p>
    <w:p>
      <w:pPr>
        <w:spacing w:after="0" w:line="16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w:t>
      </w:r>
      <w:r>
        <w:rPr>
          <w:rFonts w:ascii="Arial" w:cs="Arial" w:eastAsia="Arial" w:hAnsi="Arial"/>
          <w:sz w:val="20"/>
          <w:szCs w:val="20"/>
          <w:color w:val="auto"/>
        </w:rPr>
        <w:t>” means MCF, in its capacity as administrative agent for itself and for Lenders hereunder, as such capacity is established in, and subject to the provisions of, Article 11, and the successors and permitted assigns of MCF in such capacity.</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Anti-Terrorism Laws</w:t>
      </w:r>
      <w:r>
        <w:rPr>
          <w:rFonts w:ascii="Arial" w:cs="Arial" w:eastAsia="Arial" w:hAnsi="Arial"/>
          <w:sz w:val="20"/>
          <w:szCs w:val="20"/>
          <w:color w:val="auto"/>
        </w:rPr>
        <w:t>” means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Margin</w:t>
      </w:r>
      <w:r>
        <w:rPr>
          <w:rFonts w:ascii="Arial" w:cs="Arial" w:eastAsia="Arial" w:hAnsi="Arial"/>
          <w:sz w:val="20"/>
          <w:szCs w:val="20"/>
          <w:color w:val="auto"/>
        </w:rPr>
        <w:t>” means six and one quarter percent (6.25%).</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Aptevo R&amp;D</w:t>
      </w:r>
      <w:r>
        <w:rPr>
          <w:rFonts w:ascii="Arial" w:cs="Arial" w:eastAsia="Arial" w:hAnsi="Arial"/>
          <w:sz w:val="20"/>
          <w:szCs w:val="20"/>
          <w:color w:val="auto"/>
        </w:rPr>
        <w:t>” has the meaning given such term in the preamble</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Aptevo Therapeutics</w:t>
      </w:r>
      <w:r>
        <w:rPr>
          <w:rFonts w:ascii="Arial" w:cs="Arial" w:eastAsia="Arial" w:hAnsi="Arial"/>
          <w:sz w:val="20"/>
          <w:szCs w:val="20"/>
          <w:color w:val="auto"/>
        </w:rPr>
        <w:t>” has the meaning given such term in the preamble.</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Asset Disposition</w:t>
      </w:r>
      <w:r>
        <w:rPr>
          <w:rFonts w:ascii="Arial" w:cs="Arial" w:eastAsia="Arial" w:hAnsi="Arial"/>
          <w:sz w:val="20"/>
          <w:szCs w:val="20"/>
          <w:color w:val="auto"/>
        </w:rPr>
        <w:t>” means any sale, lease, license, transfer, assignment or other consensual disposition (including by merger, allocation of assets (including allocation of assets to any series of a limited liability company), division, consolidation or amalgamation) by any Credit Party or any Subsidiary thereof of any asset of such Credit Party or such Subsidiary.</w:t>
      </w:r>
    </w:p>
    <w:p>
      <w:pPr>
        <w:spacing w:after="0" w:line="177"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Bankruptcy Code</w:t>
      </w:r>
      <w:r>
        <w:rPr>
          <w:rFonts w:ascii="Arial" w:cs="Arial" w:eastAsia="Arial" w:hAnsi="Arial"/>
          <w:sz w:val="20"/>
          <w:szCs w:val="20"/>
          <w:color w:val="auto"/>
        </w:rPr>
        <w:t>” means Title 11 of the United States Code entitled “Bankruptcy”, as the same may be amended, modified or supplemented from time to time, and any successor statute thereto.</w:t>
      </w:r>
    </w:p>
    <w:p>
      <w:pPr>
        <w:spacing w:after="0" w:line="163"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LIBOR Rate</w:t>
      </w:r>
      <w:r>
        <w:rPr>
          <w:rFonts w:ascii="Arial" w:cs="Arial" w:eastAsia="Arial" w:hAnsi="Arial"/>
          <w:sz w:val="18"/>
          <w:szCs w:val="18"/>
          <w:color w:val="auto"/>
        </w:rPr>
        <w:t xml:space="preserve">” means, for each Interest Period, the rate per annum, determined by Agent in accordance with its customary procedures, and utilizing such electronic or other quotation sources as it considers appropriate (rounded upwards, if necessary, to the next 1/100%), to be the rate at which Dollar deposits (for delivery on the first day of such Interest Period) in the amount of $1,000,000 are offered to major banks in the London interbank market on or about 11:00 a.m. (London time) two (2) Business Days prior to the commencement of such Interest Period, for a term comparable to such Interest Period, which determination shall be conclusive in the absence of manifest error;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if (a) the supervisor for the administrator responsible for determining and publishing such rate per annum (or any</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thereof) or any Governmental Authority having jurisdiction over the Agent has made a public announcement identifying a date certain on or after which such rate (or any component thereof) shall no longer be provided or published, as the case may be; or (b) if the Agent shall have determined in good faith, and shall have forthwith given notice of such determination to the Borrower Representative, that timely, adequate and reasonable means do not exist for ascertaining such rate, and the circumstances giving rise to the Agent’s inability to ascertain LIBOR are unlikely to be temporary, then Agent (acting reasonably) may, upon prior written notice to Borrower Representative, in consultation with Borrower, (i)</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jc w:val="both"/>
        <w:spacing w:after="0" w:line="271" w:lineRule="auto"/>
        <w:rPr>
          <w:sz w:val="20"/>
          <w:szCs w:val="20"/>
          <w:color w:val="auto"/>
        </w:rPr>
      </w:pPr>
      <w:r>
        <w:rPr>
          <w:rFonts w:ascii="Arial" w:cs="Arial" w:eastAsia="Arial" w:hAnsi="Arial"/>
          <w:sz w:val="18"/>
          <w:szCs w:val="18"/>
          <w:color w:val="auto"/>
        </w:rPr>
        <w:t>establish a reasonably comparable index or source that gives due consideration to the then prevailing market convention for determining a rate of interest for similar loans in the United States at such time together with corresponding adjustments to “Applicable Margin” or scale factor or floor to such index that Agent, in its reasonable discretion, has determined is necessary to preserve the current all-in yield (including interest rate margins, any interest rate floors, original issue discount and upfront fees, but without regard to future fluctuations of such alternative index, it being acknowledged and agreed that neither Agent nor any Lender shall have any liability whatsoever from such future fluctuations) to use as the basis for Base LIBOR Rate and (ii) amend this Agreement to reflect such alternative rate of interest and such other changes to this Agreement as may be applicable (including, without limitation, operational, term, conforming and other related changes). Notwithstanding anything to the contrary in this Agreement, such amendment shall become effective without any further action or consent of any other party to this Agreement so long as Agent shall not have received, within five (5) Business Days of the date such amendment is provided to the Lenders, written notice from the Required Lenders stating that such Required Lenders object to such amendment.</w:t>
      </w:r>
    </w:p>
    <w:p>
      <w:pPr>
        <w:spacing w:after="0" w:line="16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Base Rate</w:t>
      </w:r>
      <w:r>
        <w:rPr>
          <w:rFonts w:ascii="Arial" w:cs="Arial" w:eastAsia="Arial" w:hAnsi="Arial"/>
          <w:sz w:val="19"/>
          <w:szCs w:val="19"/>
          <w:color w:val="auto"/>
        </w:rPr>
        <w:t>” means a per annum rate of interest equal to the rate of interest announced, from time to time, within Wells Fargo Bank, National Association (“</w:t>
      </w:r>
      <w:r>
        <w:rPr>
          <w:rFonts w:ascii="Arial" w:cs="Arial" w:eastAsia="Arial" w:hAnsi="Arial"/>
          <w:sz w:val="19"/>
          <w:szCs w:val="19"/>
          <w:b w:val="1"/>
          <w:bCs w:val="1"/>
          <w:color w:val="auto"/>
        </w:rPr>
        <w:t>Wells Fargo</w:t>
      </w:r>
      <w:r>
        <w:rPr>
          <w:rFonts w:ascii="Arial" w:cs="Arial" w:eastAsia="Arial" w:hAnsi="Arial"/>
          <w:sz w:val="19"/>
          <w:szCs w:val="19"/>
          <w:color w:val="auto"/>
        </w:rPr>
        <w:t xml:space="preserve">”)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Agent may, upon prior written notice to Borrower, choose a reasonably comparable index or source to use as the basis for the Base Rate.</w:t>
      </w:r>
    </w:p>
    <w:p>
      <w:pPr>
        <w:spacing w:after="0" w:line="173"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Person</w:t>
      </w:r>
      <w:r>
        <w:rPr>
          <w:rFonts w:ascii="Arial" w:cs="Arial" w:eastAsia="Arial" w:hAnsi="Arial"/>
          <w:sz w:val="18"/>
          <w:szCs w:val="18"/>
          <w:color w:val="auto"/>
        </w:rPr>
        <w:t>” 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 or is named as a “listed person” or “listed entity” on other lists made under any Anti-Terrorism Law.</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w:t>
      </w:r>
      <w:r>
        <w:rPr>
          <w:rFonts w:ascii="Arial" w:cs="Arial" w:eastAsia="Arial" w:hAnsi="Arial"/>
          <w:sz w:val="20"/>
          <w:szCs w:val="20"/>
          <w:color w:val="auto"/>
        </w:rPr>
        <w:t>” and “</w:t>
      </w:r>
      <w:r>
        <w:rPr>
          <w:rFonts w:ascii="Arial" w:cs="Arial" w:eastAsia="Arial" w:hAnsi="Arial"/>
          <w:sz w:val="20"/>
          <w:szCs w:val="20"/>
          <w:b w:val="1"/>
          <w:bCs w:val="1"/>
          <w:color w:val="auto"/>
        </w:rPr>
        <w:t>Borrowers</w:t>
      </w:r>
      <w:r>
        <w:rPr>
          <w:rFonts w:ascii="Arial" w:cs="Arial" w:eastAsia="Arial" w:hAnsi="Arial"/>
          <w:sz w:val="20"/>
          <w:szCs w:val="20"/>
          <w:color w:val="auto"/>
        </w:rPr>
        <w:t>” has the meaning set forth in the introductory paragraph hereto.</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 Representative</w:t>
      </w:r>
      <w:r>
        <w:rPr>
          <w:rFonts w:ascii="Arial" w:cs="Arial" w:eastAsia="Arial" w:hAnsi="Arial"/>
          <w:sz w:val="20"/>
          <w:szCs w:val="20"/>
          <w:color w:val="auto"/>
        </w:rPr>
        <w:t>” means Aptevo Therapeutics, in its capacity as Borrower Representative pursuant to the provisions of Section 2.9, or any successor Borrower Representative selected by Borrowers and approved by Agent.</w:t>
      </w:r>
    </w:p>
    <w:p>
      <w:pPr>
        <w:spacing w:after="0" w:line="163"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Sunday or other day on which either the New York Stock Exchange is closed, or on which commercial banks in Washington, DC and New York City are authorized by law to close and, in the case of a Business Day which relates to a determination of the LIBOR Rate, a day on which dealings are carried on in the London interbank eurodollar market.</w:t>
      </w:r>
    </w:p>
    <w:p>
      <w:pPr>
        <w:spacing w:after="0" w:line="144"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CERCLA</w:t>
      </w:r>
      <w:r>
        <w:rPr>
          <w:rFonts w:ascii="Arial" w:cs="Arial" w:eastAsia="Arial" w:hAnsi="Arial"/>
          <w:sz w:val="20"/>
          <w:szCs w:val="20"/>
          <w:color w:val="auto"/>
        </w:rPr>
        <w:t xml:space="preserve">” means the Comprehensive Environmental Response, Compensation and Liability Act of 1980, 42 U.S.C.A. § 9601 </w:t>
      </w:r>
      <w:r>
        <w:rPr>
          <w:rFonts w:ascii="Arial" w:cs="Arial" w:eastAsia="Arial" w:hAnsi="Arial"/>
          <w:sz w:val="20"/>
          <w:szCs w:val="20"/>
          <w:i w:val="1"/>
          <w:iCs w:val="1"/>
          <w:color w:val="auto"/>
        </w:rPr>
        <w:t>et</w:t>
      </w:r>
      <w:r>
        <w:rPr>
          <w:rFonts w:ascii="Arial" w:cs="Arial" w:eastAsia="Arial" w:hAnsi="Arial"/>
          <w:sz w:val="20"/>
          <w:szCs w:val="20"/>
          <w:color w:val="auto"/>
        </w:rPr>
        <w:t xml:space="preserve"> </w:t>
      </w:r>
      <w:r>
        <w:rPr>
          <w:rFonts w:ascii="Arial" w:cs="Arial" w:eastAsia="Arial" w:hAnsi="Arial"/>
          <w:sz w:val="20"/>
          <w:szCs w:val="20"/>
          <w:i w:val="1"/>
          <w:iCs w:val="1"/>
          <w:color w:val="auto"/>
        </w:rPr>
        <w:t>seq</w:t>
      </w:r>
      <w:r>
        <w:rPr>
          <w:rFonts w:ascii="Arial" w:cs="Arial" w:eastAsia="Arial" w:hAnsi="Arial"/>
          <w:sz w:val="20"/>
          <w:szCs w:val="20"/>
          <w:color w:val="auto"/>
        </w:rPr>
        <w:t>., as the same may be amended from time to time.</w:t>
      </w:r>
    </w:p>
    <w:p>
      <w:pPr>
        <w:spacing w:after="0" w:line="163"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any of the following events: (a) any Person (other than another Borrower) or two or more Persons acting in concert shall have acquired beneficial ownership, directly or indirectly, of, or shall have acquired by contract or otherwise, or shall have entered into a contract or arrangement that, upon consummation, will result in its or their acquisition of or control over, voting stock of any Borrower (or other securities convertible into such voting stock) representing more than 50%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1" w:name="page122"/>
    <w:bookmarkEnd w:id="121"/>
    <w:p>
      <w:pPr>
        <w:jc w:val="both"/>
        <w:spacing w:after="0" w:line="278" w:lineRule="auto"/>
        <w:rPr>
          <w:sz w:val="20"/>
          <w:szCs w:val="20"/>
          <w:color w:val="auto"/>
        </w:rPr>
      </w:pPr>
      <w:r>
        <w:rPr>
          <w:rFonts w:ascii="Arial" w:cs="Arial" w:eastAsia="Arial" w:hAnsi="Arial"/>
          <w:sz w:val="18"/>
          <w:szCs w:val="18"/>
          <w:color w:val="auto"/>
        </w:rPr>
        <w:t>of the combined voting power of all voting stock of any Borrower; (b) any Borrower ceases to own, directly or indirectly, 100% of the capital stock of any of its Subsidiaries (with the exception of any Subsidiaries permitted to be dissolved, merged or otherwise disposed of to the extent otherwise permitted by this Agreement); or (c) the occurrence of a “Change of Control” or “Change in Control” or terms of similar import under any document or instrument governing or relating to Debt of or equity in such Person. As used herein, “beneficial ownership” shall have the meaning provided in Rule 13d-3 of the Securities and Exchange Commission under the Securities Exchange Act of 1934.</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has the meaning set forth in the introductory paragraph hereto.</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CMS</w:t>
      </w:r>
      <w:r>
        <w:rPr>
          <w:rFonts w:ascii="Arial" w:cs="Arial" w:eastAsia="Arial" w:hAnsi="Arial"/>
          <w:sz w:val="20"/>
          <w:szCs w:val="20"/>
          <w:color w:val="auto"/>
        </w:rPr>
        <w:t>” means the federal Centers for Medicare and Medicaid Services (formerly the federal Health Care Financing Administration), and any successor Governmental Authority.</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 from time to time, any successor statutes thereto, and applicable U.S. Department of Treasury regulations issued pursuant thereto in temporary or final form.</w:t>
      </w:r>
    </w:p>
    <w:p>
      <w:pPr>
        <w:spacing w:after="0" w:line="16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w:t>
      </w:r>
      <w:r>
        <w:rPr>
          <w:rFonts w:ascii="Arial" w:cs="Arial" w:eastAsia="Arial" w:hAnsi="Arial"/>
          <w:sz w:val="19"/>
          <w:szCs w:val="19"/>
          <w:color w:val="auto"/>
        </w:rPr>
        <w:t xml:space="preserve">” means all property, now existing or hereafter acquired, mortgaged or pledged to, or purported to be subjected to a Lien in favor of, Agent, for the benefit of Agent and Lenders, pursuant to this Agreement and the Security Documents, including, without limitation, all of the property described in </w:t>
      </w:r>
      <w:r>
        <w:rPr>
          <w:rFonts w:ascii="Arial" w:cs="Arial" w:eastAsia="Arial" w:hAnsi="Arial"/>
          <w:sz w:val="19"/>
          <w:szCs w:val="19"/>
          <w:u w:val="single" w:color="auto"/>
          <w:color w:val="auto"/>
        </w:rPr>
        <w:t>Schedule 9.1</w:t>
      </w:r>
      <w:r>
        <w:rPr>
          <w:rFonts w:ascii="Arial" w:cs="Arial" w:eastAsia="Arial" w:hAnsi="Arial"/>
          <w:sz w:val="19"/>
          <w:szCs w:val="19"/>
          <w:color w:val="auto"/>
        </w:rPr>
        <w:t xml:space="preserve"> hereto, but excluding any Excluded Property.</w:t>
      </w:r>
    </w:p>
    <w:p>
      <w:pPr>
        <w:spacing w:after="0" w:line="16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Commercial Products</w:t>
      </w:r>
      <w:r>
        <w:rPr>
          <w:rFonts w:ascii="Arial" w:cs="Arial" w:eastAsia="Arial" w:hAnsi="Arial"/>
          <w:sz w:val="20"/>
          <w:szCs w:val="20"/>
          <w:color w:val="auto"/>
        </w:rPr>
        <w:t>” means commercial products developed or in-licensed by the Borrowers in accordance with the terms of this Agreement.</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 Annex</w:t>
      </w:r>
      <w:r>
        <w:rPr>
          <w:rFonts w:ascii="Arial" w:cs="Arial" w:eastAsia="Arial" w:hAnsi="Arial"/>
          <w:sz w:val="20"/>
          <w:szCs w:val="20"/>
          <w:color w:val="auto"/>
        </w:rPr>
        <w:t xml:space="preserve">” means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to this Agreement.</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Compliance Certificate</w:t>
      </w:r>
      <w:r>
        <w:rPr>
          <w:rFonts w:ascii="Arial" w:cs="Arial" w:eastAsia="Arial" w:hAnsi="Arial"/>
          <w:sz w:val="20"/>
          <w:szCs w:val="20"/>
          <w:color w:val="auto"/>
        </w:rPr>
        <w:t xml:space="preserve">” means a certificate, duly executed by a Responsible Officer of Borrower Representative, appropriately completed and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Subsidiary</w:t>
      </w:r>
      <w:r>
        <w:rPr>
          <w:rFonts w:ascii="Arial" w:cs="Arial" w:eastAsia="Arial" w:hAnsi="Arial"/>
          <w:sz w:val="20"/>
          <w:szCs w:val="20"/>
          <w:color w:val="auto"/>
        </w:rPr>
        <w:t>” means, at any date, any Subsidiary the accounts of which would be consolidated with those of “parent” Borrower (or any other Person, as the context may require hereunder) in its consolidated financial statements if such statements were prepared as of such date.</w:t>
      </w:r>
    </w:p>
    <w:p>
      <w:pPr>
        <w:spacing w:after="0" w:line="17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means, with respect to any Person, any direct or indirect liability of such Person: (a) with respect to any Debt of another Person (a “</w:t>
      </w:r>
      <w:r>
        <w:rPr>
          <w:rFonts w:ascii="Arial" w:cs="Arial" w:eastAsia="Arial" w:hAnsi="Arial"/>
          <w:sz w:val="18"/>
          <w:szCs w:val="18"/>
          <w:b w:val="1"/>
          <w:bCs w:val="1"/>
          <w:color w:val="auto"/>
        </w:rPr>
        <w:t>Third Party Obligation</w:t>
      </w:r>
      <w:r>
        <w:rPr>
          <w:rFonts w:ascii="Arial" w:cs="Arial" w:eastAsia="Arial" w:hAnsi="Arial"/>
          <w:sz w:val="18"/>
          <w:szCs w:val="18"/>
          <w:color w:val="auto"/>
        </w:rPr>
        <w:t>”) if the purpose or intent of such Person incurring such liability, or the effect thereof, is to provide assurance to the obligee of such Third Party Obligation that such Third Party Obligation will be paid or discharged, or that any agreement relating thereto will be complied with, or that any holder of such Third Party Obligation will be protected, in whole or in part, against loss with respect thereto; (b) with respect to any undrawn portion of any letter of credit issued for the account of such Person or as to which such Person is otherwise liable for the reimbursement of any drawing; (c) under any Swap Contract, to the extent not yet due and payable; (d) to make take-or-pay or similar payments if required regardless of nonperformance by any other party or parties to an agreement; or (e) for any obligations of another Person pursuant to any Guarantee or pursuant to any agreement to purchase, repurchase or otherwise acquire any obligation or any property constituting security therefor, to provide funds for the payment or discharge of such obligation or to preserve the solvency, financial condition or level of income of another Person. The amount of any Contingent Obligation shall be equal to the amount of the obligation so Guaranteed or otherwise supported or, if not a fixed and determinable amount, the maximum amount so Guaranteed or otherwise supported.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2" w:name="page123"/>
    <w:bookmarkEnd w:id="122"/>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Controlled Group</w:t>
      </w:r>
      <w:r>
        <w:rPr>
          <w:rFonts w:ascii="Arial" w:cs="Arial" w:eastAsia="Arial" w:hAnsi="Arial"/>
          <w:sz w:val="20"/>
          <w:szCs w:val="20"/>
          <w:color w:val="auto"/>
        </w:rPr>
        <w:t>” means all members of any group of corporations and all members of a group of trades or businesses (whether or not incorporated) under common control which, together with any Borrower, are treated as a single employer under Section 414(b), (c), (m) or (o) of the Code or Section 4001(b) of ERISA.</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Correction</w:t>
      </w:r>
      <w:r>
        <w:rPr>
          <w:rFonts w:ascii="Arial" w:cs="Arial" w:eastAsia="Arial" w:hAnsi="Arial"/>
          <w:sz w:val="20"/>
          <w:szCs w:val="20"/>
          <w:color w:val="auto"/>
        </w:rPr>
        <w:t>” means repair, modification, adjustment, relabeling, destruction or inspection (including patient monitoring) that is outside of routine monitoring and monitoring required under applicable Laws of a product without its physical removal to some other location.</w:t>
      </w:r>
    </w:p>
    <w:p>
      <w:pPr>
        <w:spacing w:after="0" w:line="17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Exposure</w:t>
      </w:r>
      <w:r>
        <w:rPr>
          <w:rFonts w:ascii="Arial" w:cs="Arial" w:eastAsia="Arial" w:hAnsi="Arial"/>
          <w:sz w:val="20"/>
          <w:szCs w:val="20"/>
          <w:color w:val="auto"/>
        </w:rPr>
        <w:t xml:space="preserve">” means, at any time, any portion of the Term Loan Commitments, the Loans or any other portion of the Obligations that remains outstanding;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no Credit Exposure shall be deemed to exist solely due to the existence of contingent indemnification liability, absent the assertion of a claim, or the known existence of a claim reasonably likely to be asserted, with respect thereto.</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Party</w:t>
      </w:r>
      <w:r>
        <w:rPr>
          <w:rFonts w:ascii="Arial" w:cs="Arial" w:eastAsia="Arial" w:hAnsi="Arial"/>
          <w:sz w:val="20"/>
          <w:szCs w:val="20"/>
          <w:color w:val="auto"/>
        </w:rPr>
        <w:t>” means each Borrower and each Guarantor and “</w:t>
      </w:r>
      <w:r>
        <w:rPr>
          <w:rFonts w:ascii="Arial" w:cs="Arial" w:eastAsia="Arial" w:hAnsi="Arial"/>
          <w:sz w:val="20"/>
          <w:szCs w:val="20"/>
          <w:b w:val="1"/>
          <w:bCs w:val="1"/>
          <w:color w:val="auto"/>
        </w:rPr>
        <w:t>Credit Parties</w:t>
      </w:r>
      <w:r>
        <w:rPr>
          <w:rFonts w:ascii="Arial" w:cs="Arial" w:eastAsia="Arial" w:hAnsi="Arial"/>
          <w:sz w:val="20"/>
          <w:szCs w:val="20"/>
          <w:color w:val="auto"/>
        </w:rPr>
        <w:t>” means all such Persons.</w:t>
      </w:r>
    </w:p>
    <w:p>
      <w:pPr>
        <w:spacing w:after="0" w:line="21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of a Person means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in the Ordinary Course of Business and which do not remain unpaid more than ninety (90) days past the invoice date, (d) all capital leases of such Person, (e) all non-contingent obligations of such Person to reimburse any bank or other Person in respect of amounts paid under a letter of credit, banker’s acceptance or similar instrument, (f) all equity securities of such Person subject to repurchase or redemption other than at the sole option of such Person, (g) all obligations secured by a Lien on any asset of such Person, whether or not such obligation is otherwise an obligation of such Person,</w:t>
      </w:r>
    </w:p>
    <w:p>
      <w:pPr>
        <w:spacing w:after="0" w:line="5" w:lineRule="exact"/>
        <w:rPr>
          <w:sz w:val="20"/>
          <w:szCs w:val="20"/>
          <w:color w:val="auto"/>
        </w:rPr>
      </w:pPr>
    </w:p>
    <w:p>
      <w:pPr>
        <w:jc w:val="both"/>
        <w:ind w:firstLine="8"/>
        <w:spacing w:after="0"/>
        <w:tabs>
          <w:tab w:leader="none" w:pos="291" w:val="left"/>
        </w:tabs>
        <w:numPr>
          <w:ilvl w:val="0"/>
          <w:numId w:val="68"/>
        </w:numPr>
        <w:rPr>
          <w:rFonts w:ascii="Arial" w:cs="Arial" w:eastAsia="Arial" w:hAnsi="Arial"/>
          <w:sz w:val="20"/>
          <w:szCs w:val="20"/>
          <w:color w:val="auto"/>
        </w:rPr>
      </w:pPr>
      <w:r>
        <w:rPr>
          <w:rFonts w:ascii="Arial" w:cs="Arial" w:eastAsia="Arial" w:hAnsi="Arial"/>
          <w:sz w:val="20"/>
          <w:szCs w:val="20"/>
          <w:color w:val="auto"/>
        </w:rPr>
        <w:t>“earnouts”, purchase price adjustments, profit sharing arrangements, deferred purchase money amounts and similar payment obligations or continuing obligations of any nature of such Person arising out of purchase and sale contracts but in each case solely to the extent carried on the balance sheet of such Person as a liability in accordance with GAAP, (i) all Debt of others Guaranteed by such Person, and (j) the principal balance outstanding under any synthetic lease, tax retention operating lease, off-balance sheet loan or similar off-balance sheet financing product.</w:t>
      </w:r>
    </w:p>
    <w:p>
      <w:pPr>
        <w:spacing w:after="0" w:line="192"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w:t>
      </w:r>
      <w:r>
        <w:rPr>
          <w:rFonts w:ascii="Arial" w:cs="Arial" w:eastAsia="Arial" w:hAnsi="Arial"/>
          <w:sz w:val="20"/>
          <w:szCs w:val="20"/>
          <w:color w:val="auto"/>
        </w:rPr>
        <w:t>” means any condition or event which with the giving of notice or lapse of time or both would, unless cured or waived, become an Event of Default.</w:t>
      </w:r>
    </w:p>
    <w:p>
      <w:pPr>
        <w:spacing w:after="0" w:line="163"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 Account</w:t>
      </w:r>
      <w:r>
        <w:rPr>
          <w:rFonts w:ascii="Arial" w:cs="Arial" w:eastAsia="Arial" w:hAnsi="Arial"/>
          <w:sz w:val="20"/>
          <w:szCs w:val="20"/>
          <w:color w:val="auto"/>
        </w:rPr>
        <w:t>” means a “deposit account” (as defined in Article 9 of the UCC), an investment account, or other account in which funds are held or invested for credit to or for the benefit of any Credit Party.</w:t>
      </w:r>
    </w:p>
    <w:p>
      <w:pPr>
        <w:spacing w:after="0" w:line="163" w:lineRule="exact"/>
        <w:rPr>
          <w:sz w:val="20"/>
          <w:szCs w:val="20"/>
          <w:color w:val="auto"/>
        </w:rPr>
      </w:pPr>
    </w:p>
    <w:p>
      <w:pPr>
        <w:ind w:firstLine="864"/>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 Control Agreement</w:t>
      </w:r>
      <w:r>
        <w:rPr>
          <w:rFonts w:ascii="Arial" w:cs="Arial" w:eastAsia="Arial" w:hAnsi="Arial"/>
          <w:sz w:val="18"/>
          <w:szCs w:val="18"/>
          <w:color w:val="auto"/>
        </w:rPr>
        <w:t>” means an agreement, in form and substance reasonably satisfactory to Agent, among Agent, any Borrower and each financial institution in which such Borrower maintains a Deposit Account, which agreement provides that</w:t>
      </w:r>
    </w:p>
    <w:p>
      <w:pPr>
        <w:spacing w:after="0" w:line="1" w:lineRule="exact"/>
        <w:rPr>
          <w:sz w:val="20"/>
          <w:szCs w:val="20"/>
          <w:color w:val="auto"/>
        </w:rPr>
      </w:pPr>
    </w:p>
    <w:p>
      <w:pPr>
        <w:jc w:val="both"/>
        <w:ind w:firstLine="8"/>
        <w:spacing w:after="0" w:line="257" w:lineRule="auto"/>
        <w:tabs>
          <w:tab w:leader="none" w:pos="283" w:val="left"/>
        </w:tabs>
        <w:numPr>
          <w:ilvl w:val="0"/>
          <w:numId w:val="69"/>
        </w:numPr>
        <w:rPr>
          <w:rFonts w:ascii="Arial" w:cs="Arial" w:eastAsia="Arial" w:hAnsi="Arial"/>
          <w:sz w:val="19"/>
          <w:szCs w:val="19"/>
          <w:color w:val="auto"/>
        </w:rPr>
      </w:pPr>
      <w:r>
        <w:rPr>
          <w:rFonts w:ascii="Arial" w:cs="Arial" w:eastAsia="Arial" w:hAnsi="Arial"/>
          <w:sz w:val="19"/>
          <w:szCs w:val="19"/>
          <w:color w:val="auto"/>
        </w:rPr>
        <w:t>such financial institution shall comply with instructions originated by Agent directing disposition of the funds in such Deposit Account without further consent by the applicable Borrower, and (b) such financial institution shall agree that it shall have no Lien on, or right of setoff or recoupment against, such Deposit Account or the contents thereof, other than in respect of usual and customary service fees and returned items, and containing such other terms and conditions as Agent may reasonably require.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Distribution</w:t>
      </w:r>
      <w:r>
        <w:rPr>
          <w:rFonts w:ascii="Arial" w:cs="Arial" w:eastAsia="Arial" w:hAnsi="Arial"/>
          <w:sz w:val="16"/>
          <w:szCs w:val="16"/>
          <w:color w:val="auto"/>
        </w:rPr>
        <w:t>” means as to any Person (a) any dividend or other distribution (whether in cash, securities or other property) on any equity interest in such Person (except those payable solely in its equity interests of the same class), or (b) any payment by such Person on account of</w:t>
      </w:r>
    </w:p>
    <w:p>
      <w:pPr>
        <w:spacing w:after="0" w:line="1" w:lineRule="exact"/>
        <w:rPr>
          <w:sz w:val="20"/>
          <w:szCs w:val="20"/>
          <w:color w:val="auto"/>
        </w:rPr>
      </w:pPr>
    </w:p>
    <w:p>
      <w:pPr>
        <w:jc w:val="both"/>
        <w:ind w:firstLine="8"/>
        <w:spacing w:after="0" w:line="241" w:lineRule="auto"/>
        <w:tabs>
          <w:tab w:leader="none" w:pos="241"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Dollars</w:t>
      </w:r>
      <w:r>
        <w:rPr>
          <w:rFonts w:ascii="Arial" w:cs="Arial" w:eastAsia="Arial" w:hAnsi="Arial"/>
          <w:sz w:val="20"/>
          <w:szCs w:val="20"/>
          <w:color w:val="auto"/>
        </w:rPr>
        <w:t>” or “</w:t>
      </w:r>
      <w:r>
        <w:rPr>
          <w:rFonts w:ascii="Arial" w:cs="Arial" w:eastAsia="Arial" w:hAnsi="Arial"/>
          <w:sz w:val="20"/>
          <w:szCs w:val="20"/>
          <w:b w:val="1"/>
          <w:bCs w:val="1"/>
          <w:color w:val="auto"/>
        </w:rPr>
        <w:t>$</w:t>
      </w:r>
      <w:r>
        <w:rPr>
          <w:rFonts w:ascii="Arial" w:cs="Arial" w:eastAsia="Arial" w:hAnsi="Arial"/>
          <w:sz w:val="20"/>
          <w:szCs w:val="20"/>
          <w:color w:val="auto"/>
        </w:rPr>
        <w:t>” means the lawful currency of the United States of America.</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Drug Application</w:t>
      </w:r>
      <w:r>
        <w:rPr>
          <w:rFonts w:ascii="Arial" w:cs="Arial" w:eastAsia="Arial" w:hAnsi="Arial"/>
          <w:sz w:val="18"/>
          <w:szCs w:val="18"/>
          <w:color w:val="auto"/>
        </w:rPr>
        <w:t>” means a biologic license application for any Product, as appropriate, as that term is defined in the FDCA.</w:t>
      </w:r>
    </w:p>
    <w:p>
      <w:pPr>
        <w:spacing w:after="0" w:line="239"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xml:space="preserve">” means any present and future federal, state and local laws, statutes, ordinances, rules, regulations, standards, policies and other governmental directives or requirements pertaining to the environment, natural resources, pollution, health (including any environmental clean-up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that apply to any Borrower and relate to Hazardous Materials, including, without limitation, the Comprehensive Environmental Response, Compensation and Liability Act of 1980 (42 U.S.C. §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Resource Conservation and Recovery Act of 1976 (42 U.S.C. §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Federal Water Pollution Control Act (33 U.S.C. § 1251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Hazardous Materials Transportation Act (49 U.S.C. § 5101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Air Act (42 U.S.C. §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Federal Insecticide, Fungicide and Rodenticide Act (7 U.S.C. § 136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Emergency Planning and Community Right-to-Know Act (42 U.S.C. § 11001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Occupational Safety and Health Act (29 U.S.C. § 651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Residential Lead-Based Paint Hazard Reduction Act (42 U.S.C. § 4851 </w:t>
      </w:r>
      <w:r>
        <w:rPr>
          <w:rFonts w:ascii="Arial" w:cs="Arial" w:eastAsia="Arial" w:hAnsi="Arial"/>
          <w:sz w:val="18"/>
          <w:szCs w:val="18"/>
          <w:i w:val="1"/>
          <w:iCs w:val="1"/>
          <w:color w:val="auto"/>
        </w:rPr>
        <w:t>et seq.</w:t>
      </w:r>
      <w:r>
        <w:rPr>
          <w:rFonts w:ascii="Arial" w:cs="Arial" w:eastAsia="Arial" w:hAnsi="Arial"/>
          <w:sz w:val="18"/>
          <w:szCs w:val="18"/>
          <w:color w:val="auto"/>
        </w:rPr>
        <w:t>), any analogous state or local laws, any amendments thereto, and the regulations promulgated pursuant to said laws, together with all amendments from time to time to any of the foregoing.</w:t>
      </w:r>
    </w:p>
    <w:p>
      <w:pPr>
        <w:spacing w:after="0" w:line="165" w:lineRule="exact"/>
        <w:rPr>
          <w:sz w:val="20"/>
          <w:szCs w:val="20"/>
          <w:color w:val="auto"/>
        </w:rPr>
      </w:pPr>
    </w:p>
    <w:p>
      <w:pPr>
        <w:jc w:val="both"/>
        <w:ind w:right="20" w:firstLine="864"/>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the same may be amended, modified or supplemented from time to time, and any successor statute thereto, and any and all rules or regulations promulgated from time to time thereunder.</w:t>
      </w:r>
    </w:p>
    <w:p>
      <w:pPr>
        <w:spacing w:after="0" w:line="118"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Plan</w:t>
      </w:r>
      <w:r>
        <w:rPr>
          <w:rFonts w:ascii="Arial" w:cs="Arial" w:eastAsia="Arial" w:hAnsi="Arial"/>
          <w:sz w:val="18"/>
          <w:szCs w:val="18"/>
          <w:color w:val="auto"/>
        </w:rPr>
        <w:t>” means any “employee benefit plan”, as such term is defined in Section 3(3) of ERISA (other than a Multiemployer Plan), which any Borrower maintains, sponsors or contributes to, or, in the case of an employee benefit plan which is subject to Section 412 of the Code or Title IV of ERISA, to which any Borrower (including as a result of its membership of the Controlled Group) may have 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4" w:name="page125"/>
    <w:bookmarkEnd w:id="124"/>
    <w:p>
      <w:pPr>
        <w:jc w:val="both"/>
        <w:spacing w:after="0" w:line="287" w:lineRule="auto"/>
        <w:rPr>
          <w:sz w:val="20"/>
          <w:szCs w:val="20"/>
          <w:color w:val="auto"/>
        </w:rPr>
      </w:pPr>
      <w:r>
        <w:rPr>
          <w:rFonts w:ascii="Arial" w:cs="Arial" w:eastAsia="Arial" w:hAnsi="Arial"/>
          <w:sz w:val="19"/>
          <w:szCs w:val="19"/>
          <w:color w:val="auto"/>
        </w:rPr>
        <w:t>liability, including any liability by reason of having been a substantial employer within the meaning of Section 4063 of ERISA at any time during the preceding five (5) years, or by reason of being deemed to be a contributing sponsor under Section 4069 of ERISA.</w:t>
      </w:r>
    </w:p>
    <w:p>
      <w:pPr>
        <w:spacing w:after="0" w:line="14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Default</w:t>
      </w:r>
      <w:r>
        <w:rPr>
          <w:rFonts w:ascii="Arial" w:cs="Arial" w:eastAsia="Arial" w:hAnsi="Arial"/>
          <w:sz w:val="20"/>
          <w:szCs w:val="20"/>
          <w:color w:val="auto"/>
        </w:rPr>
        <w:t>” has the meaning set forth in Section 10.1.</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Accounts</w:t>
      </w:r>
      <w:r>
        <w:rPr>
          <w:rFonts w:ascii="Arial" w:cs="Arial" w:eastAsia="Arial" w:hAnsi="Arial"/>
          <w:sz w:val="20"/>
          <w:szCs w:val="20"/>
          <w:color w:val="auto"/>
        </w:rPr>
        <w:t>” has the meaning set forth in Section 5.14.</w:t>
      </w:r>
    </w:p>
    <w:p>
      <w:pPr>
        <w:spacing w:after="0" w:line="21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Domestic Holdco</w:t>
      </w:r>
      <w:r>
        <w:rPr>
          <w:rFonts w:ascii="Arial" w:cs="Arial" w:eastAsia="Arial" w:hAnsi="Arial"/>
          <w:sz w:val="20"/>
          <w:szCs w:val="20"/>
          <w:color w:val="auto"/>
        </w:rPr>
        <w:t>” means a wholly-owned Subsidiary of Borrower substantially all the assets of which consist of capital stock or other equity interests and debt interests in the Excluded Foreign Subsidiary held directly or indirectly by such Subsidiary and that does not engage in any business, operations or activity other than that of a holding company. For the avoidance of doubt, it is understood and agreed that no Excluded Domestic Holdcos exist as of the Closing Date.</w:t>
      </w:r>
    </w:p>
    <w:p>
      <w:pPr>
        <w:spacing w:after="0" w:line="183"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Foreign Subsidiaries</w:t>
      </w:r>
      <w:r>
        <w:rPr>
          <w:rFonts w:ascii="Arial" w:cs="Arial" w:eastAsia="Arial" w:hAnsi="Arial"/>
          <w:sz w:val="20"/>
          <w:szCs w:val="20"/>
          <w:color w:val="auto"/>
        </w:rPr>
        <w:t>” means, collectively, each Subsidiary of Borrower not organized under the laws of the United States, a state thereof, or the District of Columbia (a “</w:t>
      </w:r>
      <w:r>
        <w:rPr>
          <w:rFonts w:ascii="Arial" w:cs="Arial" w:eastAsia="Arial" w:hAnsi="Arial"/>
          <w:sz w:val="20"/>
          <w:szCs w:val="20"/>
          <w:b w:val="1"/>
          <w:bCs w:val="1"/>
          <w:color w:val="auto"/>
        </w:rPr>
        <w:t>Foreign Subsidiary</w:t>
      </w:r>
      <w:r>
        <w:rPr>
          <w:rFonts w:ascii="Arial" w:cs="Arial" w:eastAsia="Arial" w:hAnsi="Arial"/>
          <w:sz w:val="20"/>
          <w:szCs w:val="20"/>
          <w:color w:val="auto"/>
        </w:rPr>
        <w:t>”) to the extent a 956 Impact (as defined below) exists with respect to such Subsidiary. A “</w:t>
      </w:r>
      <w:r>
        <w:rPr>
          <w:rFonts w:ascii="Arial" w:cs="Arial" w:eastAsia="Arial" w:hAnsi="Arial"/>
          <w:sz w:val="20"/>
          <w:szCs w:val="20"/>
          <w:b w:val="1"/>
          <w:bCs w:val="1"/>
          <w:color w:val="auto"/>
        </w:rPr>
        <w:t>956 Impact”</w:t>
      </w:r>
      <w:r>
        <w:rPr>
          <w:rFonts w:ascii="Arial" w:cs="Arial" w:eastAsia="Arial" w:hAnsi="Arial"/>
          <w:sz w:val="20"/>
          <w:szCs w:val="20"/>
          <w:color w:val="auto"/>
        </w:rPr>
        <w:t xml:space="preserve"> will be deemed to exist to the extent the issuance of a guaranty by, grant of a Lien by, or pledge of greater than two-thirds of the voting stock of, a Foreign Subsidiary would in the reasonable judgment of the Borrowers results in material incremental income tax liability as a result of the application of Section 956 of the Code, taking into account actual anticipated repatriation of funds, foreign tax credits and other relevant factors.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Property”</w:t>
      </w:r>
      <w:r>
        <w:rPr>
          <w:rFonts w:ascii="Arial" w:cs="Arial" w:eastAsia="Arial" w:hAnsi="Arial"/>
          <w:sz w:val="20"/>
          <w:szCs w:val="20"/>
          <w:color w:val="auto"/>
        </w:rPr>
        <w:t xml:space="preserve"> means, collectively:</w:t>
      </w:r>
    </w:p>
    <w:p>
      <w:pPr>
        <w:spacing w:after="0" w:line="222" w:lineRule="exact"/>
        <w:rPr>
          <w:sz w:val="20"/>
          <w:szCs w:val="20"/>
          <w:color w:val="auto"/>
        </w:rPr>
      </w:pPr>
    </w:p>
    <w:p>
      <w:pPr>
        <w:jc w:val="both"/>
        <w:ind w:firstLine="1735"/>
        <w:spacing w:after="0" w:line="250" w:lineRule="auto"/>
        <w:tabs>
          <w:tab w:leader="none" w:pos="2595" w:val="left"/>
        </w:tabs>
        <w:numPr>
          <w:ilvl w:val="0"/>
          <w:numId w:val="71"/>
        </w:numPr>
        <w:rPr>
          <w:rFonts w:ascii="Arial" w:cs="Arial" w:eastAsia="Arial" w:hAnsi="Arial"/>
          <w:sz w:val="20"/>
          <w:szCs w:val="20"/>
          <w:color w:val="auto"/>
        </w:rPr>
      </w:pPr>
      <w:r>
        <w:rPr>
          <w:rFonts w:ascii="Arial" w:cs="Arial" w:eastAsia="Arial" w:hAnsi="Arial"/>
          <w:sz w:val="20"/>
          <w:szCs w:val="20"/>
          <w:color w:val="auto"/>
        </w:rPr>
        <w:t>voting shares of any (A) Excluded Foreign Subsidiary of Borrower or (B) Excluded Domestic Holdco, in each case, in excess of 65% of all of the issued and outstanding voting shares of capital stock of such subsidiary if, in each case, a pledge of a greater percentage would result in a 956 Impact existing;</w:t>
      </w:r>
    </w:p>
    <w:p>
      <w:pPr>
        <w:spacing w:after="0" w:line="185" w:lineRule="exact"/>
        <w:rPr>
          <w:rFonts w:ascii="Arial" w:cs="Arial" w:eastAsia="Arial" w:hAnsi="Arial"/>
          <w:sz w:val="20"/>
          <w:szCs w:val="20"/>
          <w:color w:val="auto"/>
        </w:rPr>
      </w:pPr>
    </w:p>
    <w:p>
      <w:pPr>
        <w:jc w:val="both"/>
        <w:ind w:firstLine="1735"/>
        <w:spacing w:after="0" w:line="271" w:lineRule="auto"/>
        <w:tabs>
          <w:tab w:leader="none" w:pos="260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any lease, license, contract, property right (including without limitation any jointly owned or jointly developed Intellectual Property rights) or agreement as to which, if and to the extent that, and only for so long as the grant of a security interest therein shall (1) constitute or result in a breach, termination or default under any such lease, license, contract, property right or agreement or render it unenforceable, (2) be prohibited by any applicable Law or (3) require the consent of any third party that cannot be obtained after the use of commercially reasonable efforts to obtain such consent (in each case of clauses (1), (2) and (3), other than to the extent that any such breach, termination, default, prohibition or requirement for consent would be rendered ineffective pursuant to Sections 9-406 or 9-408 of the UCC of any relevant jurisdiction or any other applicable Law); provided that such security interest shall attach immediately to each portion of such lease, license, contract, property rights or agreement that does not result in any of the consequences specified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Ruxience Royalty Agreement, the IXINITY Royalty Agreement, the Ruxience Sale Agreement or any Accounts arising under or in connection with either of the foregoing constitute Excluded Property under this clause (b) except to the extent actually sold or otherwise disposed of in a Permitted Royalty Stream Disposition;</w:t>
      </w:r>
    </w:p>
    <w:p>
      <w:pPr>
        <w:spacing w:after="0" w:line="169" w:lineRule="exact"/>
        <w:rPr>
          <w:rFonts w:ascii="Arial" w:cs="Arial" w:eastAsia="Arial" w:hAnsi="Arial"/>
          <w:sz w:val="18"/>
          <w:szCs w:val="18"/>
          <w:color w:val="auto"/>
        </w:rPr>
      </w:pPr>
    </w:p>
    <w:p>
      <w:pPr>
        <w:ind w:left="2600" w:hanging="865"/>
        <w:spacing w:after="0"/>
        <w:tabs>
          <w:tab w:leader="none" w:pos="26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Excluded Accounts;</w:t>
      </w:r>
    </w:p>
    <w:p>
      <w:pPr>
        <w:spacing w:after="0" w:line="215" w:lineRule="exact"/>
        <w:rPr>
          <w:rFonts w:ascii="Arial" w:cs="Arial" w:eastAsia="Arial" w:hAnsi="Arial"/>
          <w:sz w:val="20"/>
          <w:szCs w:val="20"/>
          <w:color w:val="auto"/>
        </w:rPr>
      </w:pPr>
    </w:p>
    <w:p>
      <w:pPr>
        <w:ind w:left="2620" w:hanging="885"/>
        <w:spacing w:after="0"/>
        <w:tabs>
          <w:tab w:leader="none" w:pos="26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intent to use trademark applications or service mark applications;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5" w:name="page126"/>
    <w:bookmarkEnd w:id="125"/>
    <w:p>
      <w:pPr>
        <w:ind w:firstLine="1735"/>
        <w:spacing w:after="0" w:line="316" w:lineRule="auto"/>
        <w:tabs>
          <w:tab w:leader="none" w:pos="25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property which, subject to the terms of Section 5.4, is subject to a Lien of the type described in clause (i) of the definition of Permitted Lien pursuant to documents which prohibit a Borrower from granting any other Liens on such property;</w:t>
      </w:r>
    </w:p>
    <w:p>
      <w:pPr>
        <w:spacing w:after="0" w:line="129" w:lineRule="exact"/>
        <w:rPr>
          <w:rFonts w:ascii="Arial" w:cs="Arial" w:eastAsia="Arial" w:hAnsi="Arial"/>
          <w:sz w:val="18"/>
          <w:szCs w:val="18"/>
          <w:color w:val="auto"/>
        </w:rPr>
      </w:pPr>
    </w:p>
    <w:p>
      <w:pPr>
        <w:jc w:val="both"/>
        <w:ind w:firstLine="1735"/>
        <w:spacing w:after="0" w:line="269" w:lineRule="auto"/>
        <w:tabs>
          <w:tab w:leader="none" w:pos="2573"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certificates, licenses and other authorizations issued by any Governmental Authority to the extent that an applicable Law prohibits the granting of a security interest therein (other than to the extent that any such prohibition would be rendered ineffective pursuant to Sections 9-406 or 9-408 of the UCC of any relevant jurisdiction or any other applicable Law); and</w:t>
      </w:r>
    </w:p>
    <w:p>
      <w:pPr>
        <w:spacing w:after="0" w:line="169" w:lineRule="exact"/>
        <w:rPr>
          <w:rFonts w:ascii="Arial" w:cs="Arial" w:eastAsia="Arial" w:hAnsi="Arial"/>
          <w:sz w:val="19"/>
          <w:szCs w:val="19"/>
          <w:color w:val="auto"/>
        </w:rPr>
      </w:pPr>
    </w:p>
    <w:p>
      <w:pPr>
        <w:ind w:firstLine="1735"/>
        <w:spacing w:after="0" w:line="260" w:lineRule="auto"/>
        <w:tabs>
          <w:tab w:leader="none" w:pos="2606" w:val="left"/>
        </w:tabs>
        <w:numPr>
          <w:ilvl w:val="0"/>
          <w:numId w:val="72"/>
        </w:numPr>
        <w:rPr>
          <w:rFonts w:ascii="Arial" w:cs="Arial" w:eastAsia="Arial" w:hAnsi="Arial"/>
          <w:sz w:val="20"/>
          <w:szCs w:val="20"/>
          <w:color w:val="auto"/>
        </w:rPr>
      </w:pPr>
      <w:r>
        <w:rPr>
          <w:rFonts w:ascii="Arial" w:cs="Arial" w:eastAsia="Arial" w:hAnsi="Arial"/>
          <w:sz w:val="20"/>
          <w:szCs w:val="20"/>
          <w:color w:val="auto"/>
        </w:rPr>
        <w:t>at all times during the Wells Fargo LC Period, the Wells Fargo LC Cash Collateral Account, all cash and cash equivalents deposited therein and all identifiable proceeds thereof;</w:t>
      </w:r>
    </w:p>
    <w:p>
      <w:pPr>
        <w:spacing w:after="0" w:line="171"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i w:val="1"/>
          <w:iCs w:val="1"/>
          <w:color w:val="auto"/>
        </w:rPr>
        <w:t>provided, however</w:t>
      </w:r>
      <w:r>
        <w:rPr>
          <w:rFonts w:ascii="Arial" w:cs="Arial" w:eastAsia="Arial" w:hAnsi="Arial"/>
          <w:sz w:val="20"/>
          <w:szCs w:val="20"/>
          <w:color w:val="auto"/>
        </w:rPr>
        <w:t>, “</w:t>
      </w:r>
      <w:r>
        <w:rPr>
          <w:rFonts w:ascii="Arial" w:cs="Arial" w:eastAsia="Arial" w:hAnsi="Arial"/>
          <w:sz w:val="20"/>
          <w:szCs w:val="20"/>
          <w:b w:val="1"/>
          <w:bCs w:val="1"/>
          <w:color w:val="auto"/>
        </w:rPr>
        <w:t>Excluded Property</w:t>
      </w:r>
      <w:r>
        <w:rPr>
          <w:rFonts w:ascii="Arial" w:cs="Arial" w:eastAsia="Arial" w:hAnsi="Arial"/>
          <w:sz w:val="20"/>
          <w:szCs w:val="20"/>
          <w:color w:val="auto"/>
        </w:rPr>
        <w:t>” shall not include any proceeds, products, substitutions, receivables or</w:t>
      </w:r>
      <w:r>
        <w:rPr>
          <w:rFonts w:ascii="Arial" w:cs="Arial" w:eastAsia="Arial" w:hAnsi="Arial"/>
          <w:sz w:val="20"/>
          <w:szCs w:val="20"/>
          <w:i w:val="1"/>
          <w:iCs w:val="1"/>
          <w:color w:val="auto"/>
        </w:rPr>
        <w:t xml:space="preserve"> </w:t>
      </w:r>
      <w:r>
        <w:rPr>
          <w:rFonts w:ascii="Arial" w:cs="Arial" w:eastAsia="Arial" w:hAnsi="Arial"/>
          <w:sz w:val="20"/>
          <w:szCs w:val="20"/>
          <w:color w:val="auto"/>
        </w:rPr>
        <w:t>replacements of Excluded Property (unless such proceeds, products, substitutions, receivables or replacements would otherwise constitute Excluded Property).</w:t>
      </w:r>
    </w:p>
    <w:p>
      <w:pPr>
        <w:spacing w:after="0" w:line="17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 means any of the following Taxes imposed on or with respect to Agent, any Lender or any other recipient of any payment to be made by or on behalf of any obligation of Credit Parties hereunder or the Obligations or required to be withheld or deducted from a payment to Agent, such Lender or such recipient (including any interest and penalties thereon): (a) Taxes to the extent imposed on or measured by Agent’s, any Lender’s or such recipient’s net income (however denominated), branch profits Taxes, and franchise Taxes and similar Taxes, in each case, (i) imposed by the jurisdiction (or any political subdivision thereof) under which Agent, such Lender or such recipient is organized, has its principal office or conducts business with respect to entering into any of the Financing Documents or taking any action thereunder or (ii) that are Other Connection Taxes; (b) in the case of a Lender, United States withholding Taxes imposed on amounts payable to or for the account of such Lender with respect to an applicable interest in the Loans pursuant to a Law in effect on the date on which (i) such Lender becomes a party to this Agreement other than as a result of an assignment requested by a Credit Party under the terms hereof or (ii) such Lender changes its lending office for funding its Loan, except in each case to the extent that, pursuant to Section 2.8, amounts with respect to such Taxes were payable either to such Lender’s assignor immediately before such Lender acquired the applicable interest in a Loan or Term Loan Commitment or to such Lender immediately before it changed its lending office; (c) Taxes attributable to such Lender’s failure to comply with Section 2.8(c); and (d) any U.S. federal withholding taxes imposed in respect of a Lender under FATCA.</w:t>
      </w:r>
    </w:p>
    <w:p>
      <w:pPr>
        <w:spacing w:after="0" w:line="179"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intergovernmental agreement (and any associated rules or regulations promulgated thereunder) entered into in connection therewith, and any agreement entered into pursuant to Section 1471(b)(1) of the Code.</w:t>
      </w:r>
    </w:p>
    <w:p>
      <w:pPr>
        <w:spacing w:after="0" w:line="169"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Food and Drug Administration of the United States of America, any comparable state or local Governmental Authority, any comparable Governmental Authority in any non-United States jurisdiction, and any successor agency of any of the foregoing.</w:t>
      </w:r>
    </w:p>
    <w:p>
      <w:pPr>
        <w:spacing w:after="0" w:line="118"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FDCA</w:t>
      </w:r>
      <w:r>
        <w:rPr>
          <w:rFonts w:ascii="Arial" w:cs="Arial" w:eastAsia="Arial" w:hAnsi="Arial"/>
          <w:sz w:val="20"/>
          <w:szCs w:val="20"/>
          <w:color w:val="auto"/>
        </w:rPr>
        <w:t>” means the Federal Food, Drug and Cosmetic Act, as amended, 21 U.S.C. Section 301 et seq., and all regulations promulgated thereunder.</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 Letter</w:t>
      </w:r>
      <w:r>
        <w:rPr>
          <w:rFonts w:ascii="Arial" w:cs="Arial" w:eastAsia="Arial" w:hAnsi="Arial"/>
          <w:sz w:val="20"/>
          <w:szCs w:val="20"/>
          <w:color w:val="auto"/>
        </w:rPr>
        <w:t>” means each agreement between Agent and Borrowers relating to fees payable to Agent and/or Lenders in connection with this Agreement or the other Financing Documents.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6" w:name="page127"/>
    <w:bookmarkEnd w:id="126"/>
    <w:p>
      <w:pPr>
        <w:jc w:val="both"/>
        <w:ind w:firstLine="86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Financing Documents</w:t>
      </w:r>
      <w:r>
        <w:rPr>
          <w:rFonts w:ascii="Arial" w:cs="Arial" w:eastAsia="Arial" w:hAnsi="Arial"/>
          <w:sz w:val="19"/>
          <w:szCs w:val="19"/>
          <w:color w:val="auto"/>
        </w:rPr>
        <w:t>” means this Agreement, any Notes, the Security Documents, each Fee Letter, each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 in accordance with the terms hereof.</w:t>
      </w:r>
    </w:p>
    <w:p>
      <w:pPr>
        <w:spacing w:after="0" w:line="171"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Amendment</w:t>
      </w:r>
      <w:r>
        <w:rPr>
          <w:rFonts w:ascii="Arial" w:cs="Arial" w:eastAsia="Arial" w:hAnsi="Arial"/>
          <w:sz w:val="20"/>
          <w:szCs w:val="20"/>
          <w:color w:val="auto"/>
        </w:rPr>
        <w:t>” means that certain First Amendment to Credit and Security Agreement, dated as of March 30, 2021, among Borrower, Agent and Lenders.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Amendment Effective Date</w:t>
      </w:r>
      <w:r>
        <w:rPr>
          <w:rFonts w:ascii="Arial" w:cs="Arial" w:eastAsia="Arial" w:hAnsi="Arial"/>
          <w:sz w:val="20"/>
          <w:szCs w:val="20"/>
          <w:color w:val="auto"/>
        </w:rPr>
        <w:t>” means March 30, 2021.</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Lender</w:t>
      </w:r>
      <w:r>
        <w:rPr>
          <w:rFonts w:ascii="Arial" w:cs="Arial" w:eastAsia="Arial" w:hAnsi="Arial"/>
          <w:sz w:val="20"/>
          <w:szCs w:val="20"/>
          <w:color w:val="auto"/>
        </w:rPr>
        <w:t>” has the meaning set forth in Section 2.8(c)(i).</w:t>
      </w:r>
    </w:p>
    <w:p>
      <w:pPr>
        <w:spacing w:after="0" w:line="216"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w:t>
      </w:r>
    </w:p>
    <w:p>
      <w:pPr>
        <w:spacing w:after="0" w:line="169"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General Intangible</w:t>
      </w:r>
      <w:r>
        <w:rPr>
          <w:rFonts w:ascii="Arial" w:cs="Arial" w:eastAsia="Arial" w:hAnsi="Arial"/>
          <w:sz w:val="20"/>
          <w:szCs w:val="20"/>
          <w:color w:val="auto"/>
        </w:rPr>
        <w:t>” means any “general intangible” as defined in Article 9 of the UCC, and any personal property, including things in action, other than accounts, chattel paper, commercial tort claims, deposit accounts, documents, goods, instruments, investment property, letter-of-credit rights, letters of credit, money, and oil, gas or other minerals before extraction, but including payment intangibles and software.</w:t>
      </w:r>
    </w:p>
    <w:p>
      <w:pPr>
        <w:spacing w:after="0" w:line="18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Manufacturing Practices</w:t>
      </w:r>
      <w:r>
        <w:rPr>
          <w:rFonts w:ascii="Arial" w:cs="Arial" w:eastAsia="Arial" w:hAnsi="Arial"/>
          <w:sz w:val="20"/>
          <w:szCs w:val="20"/>
          <w:color w:val="auto"/>
        </w:rPr>
        <w:t>” means current good manufacturing practices, as set forth in 21 C.F.R. Parts 210 and 211 in the United States, or as otherwise defined under applicable Healthcare Law.</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nation or government, any state, local or other political subdivision thereof, and any agency, department or Person exercising executive, legislative, judicial, regulatory or administrative functions of or pertaining to government.</w:t>
      </w:r>
    </w:p>
    <w:p>
      <w:pPr>
        <w:spacing w:after="0" w:line="177"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 (a) to purchase or pay (or advance or supply funds for the purchase or payment of) such Debt or other obligation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Debt or other obligation of the payment thereof or to protect such obligee against loss in respect thereof (in whole or in part),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 Guarantee shall not include endorsements for collection or deposit in the Ordinary Course of Business. The term “</w:t>
      </w:r>
      <w:r>
        <w:rPr>
          <w:rFonts w:ascii="Arial" w:cs="Arial" w:eastAsia="Arial" w:hAnsi="Arial"/>
          <w:sz w:val="18"/>
          <w:szCs w:val="18"/>
          <w:b w:val="1"/>
          <w:bCs w:val="1"/>
          <w:color w:val="auto"/>
        </w:rPr>
        <w:t>Guarantee</w:t>
      </w:r>
      <w:r>
        <w:rPr>
          <w:rFonts w:ascii="Arial" w:cs="Arial" w:eastAsia="Arial" w:hAnsi="Arial"/>
          <w:sz w:val="18"/>
          <w:szCs w:val="18"/>
          <w:color w:val="auto"/>
        </w:rPr>
        <w:t>” used as a verb has a corresponding meaning.</w:t>
      </w:r>
    </w:p>
    <w:p>
      <w:pPr>
        <w:spacing w:after="0" w:line="16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w:t>
      </w:r>
      <w:r>
        <w:rPr>
          <w:rFonts w:ascii="Arial" w:cs="Arial" w:eastAsia="Arial" w:hAnsi="Arial"/>
          <w:sz w:val="20"/>
          <w:szCs w:val="20"/>
          <w:color w:val="auto"/>
        </w:rPr>
        <w:t>” means any Credit Party that has executed or delivered, or shall in the future execute or deliver, any Guarantee of any portion of the Obligations.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7" w:name="page128"/>
    <w:bookmarkEnd w:id="127"/>
    <w:p>
      <w:pPr>
        <w:jc w:val="both"/>
        <w:ind w:firstLine="864"/>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petroleum and petroleum products and compounds containing them, including gasoline, diesel fuel and oil; explosives, flammable materials; radioactive materials; polychlorinated biphenyls and compounds containing them; lead and lead-based paint; asbestos or asbestos-containing materials; underground or above-ground storage tanks, whether empty or containing any substance; any substance the presence of which is prohibited by any Environmental Laws; toxic mold, any substance that requires special handling; and any other material or substance now or in the future defined as a “hazardous substance,” “hazardous material,” “hazardous waste,” “toxic substance,” “toxic pollutant,” “contaminant,” “pollutant” or other words of similar import within the meaning of any Environmental Law, including: (a) any “hazardous substance” defined as such in (or for purposes of) CERCLA, or any so-called “superfund” or “superlien” Law, including the judicial interpretation thereof; (b) any “pollutant or contaminant” as defined in 42 U.S.C.A.</w:t>
      </w:r>
    </w:p>
    <w:p>
      <w:pPr>
        <w:spacing w:after="0" w:line="2" w:lineRule="exact"/>
        <w:rPr>
          <w:sz w:val="20"/>
          <w:szCs w:val="20"/>
          <w:color w:val="auto"/>
        </w:rPr>
      </w:pPr>
    </w:p>
    <w:p>
      <w:pPr>
        <w:jc w:val="both"/>
        <w:ind w:firstLine="8"/>
        <w:spacing w:after="0" w:line="255" w:lineRule="auto"/>
        <w:tabs>
          <w:tab w:leader="none" w:pos="155" w:val="left"/>
        </w:tabs>
        <w:numPr>
          <w:ilvl w:val="0"/>
          <w:numId w:val="73"/>
        </w:numPr>
        <w:rPr>
          <w:rFonts w:ascii="Arial" w:cs="Arial" w:eastAsia="Arial" w:hAnsi="Arial"/>
          <w:sz w:val="19"/>
          <w:szCs w:val="19"/>
          <w:color w:val="auto"/>
        </w:rPr>
      </w:pPr>
      <w:r>
        <w:rPr>
          <w:rFonts w:ascii="Arial" w:cs="Arial" w:eastAsia="Arial" w:hAnsi="Arial"/>
          <w:sz w:val="19"/>
          <w:szCs w:val="19"/>
          <w:color w:val="auto"/>
        </w:rPr>
        <w:t>9601(33); (c) any material now defined as “hazardous waste” pursuant to 40 C.F.R. Part 260; (d) any petroleum or petroleum by-products, including crude oil or any fraction thereof; (e) natural gas, natural gas liquids, liquefied natural gas, or synthetic gas usable for fuel; (f) any “hazardous chemical” as defined pursuant to 29 C.F.R. Part 1910; (g) any toxic or harmful substances, wastes, materials, pollutants or contaminants (including, without limitation, asbestos, polychlorinated biphenyls, flammable explosives, radioactive materials, infectious substances, materials containing lead-based paint or raw materials which include hazardous constituents); and (h) any other toxic substance or contaminant that is subject to any Environmental Laws.</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Healthcare Laws</w:t>
      </w:r>
      <w:r>
        <w:rPr>
          <w:rFonts w:ascii="Arial" w:cs="Arial" w:eastAsia="Arial" w:hAnsi="Arial"/>
          <w:sz w:val="20"/>
          <w:szCs w:val="20"/>
          <w:color w:val="auto"/>
        </w:rPr>
        <w:t>” means all applicable Laws relating to the procurement, development, provision, clinical and non-clinical evaluation or investigation, product approval, manufacture, production, analysis, distribution, importation, exportation, use, handling, quality, reimbursement, sale, labeling, advertising, promotion, or postmarket requirements of any biologic, Product, or other product (including, without limitation, any ingredient or component of the foregoing products) subject to regulation under the Federal Food, Drug, and Cosmetic Act (21 U.S.C. et seq.) and similar state or foreign laws, pharmacy laws, Medicare, Medicaid, and all Laws pursuant to which Permits are issued, in each case, as the same may be amended from time to time.</w:t>
      </w:r>
    </w:p>
    <w:p>
      <w:pPr>
        <w:spacing w:after="0" w:line="18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Borrowers or any other Credit Party under any Financing Documents and (b) to the extent not otherwise described in (a), Other Taxes.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Instrument</w:t>
      </w:r>
      <w:r>
        <w:rPr>
          <w:rFonts w:ascii="Arial" w:cs="Arial" w:eastAsia="Arial" w:hAnsi="Arial"/>
          <w:sz w:val="20"/>
          <w:szCs w:val="20"/>
          <w:color w:val="auto"/>
        </w:rPr>
        <w:t>” means “instrument”, as defined in Article 9 of the UCC.</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all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trade names, service marks, mask works, rights of use of any name, domain names, or any other similar rights, any applications therefor, whether registered or not, know-how, operating manuals, trade secret rights, clinical and non-clinical data, rights to unpatented inventions, and any claims for damage by way of any past, present, or future infringement of any of the foregoing.</w:t>
      </w:r>
    </w:p>
    <w:p>
      <w:pPr>
        <w:spacing w:after="0" w:line="17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Security Agreement</w:t>
      </w:r>
      <w:r>
        <w:rPr>
          <w:rFonts w:ascii="Arial" w:cs="Arial" w:eastAsia="Arial" w:hAnsi="Arial"/>
          <w:sz w:val="20"/>
          <w:szCs w:val="20"/>
          <w:color w:val="auto"/>
        </w:rPr>
        <w:t>” means that certain Intellectual Property Security Agreement, dated as of the Closing Date, by and among the Borrowers and the Agent.</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any period commencing on the first day of a calendar month and ending on the last day of such calendar</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month.</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Inventory</w:t>
      </w:r>
      <w:r>
        <w:rPr>
          <w:rFonts w:ascii="Arial" w:cs="Arial" w:eastAsia="Arial" w:hAnsi="Arial"/>
          <w:sz w:val="20"/>
          <w:szCs w:val="20"/>
          <w:color w:val="auto"/>
        </w:rPr>
        <w:t>” means “inventory” as defined in Article 9 of the UCC.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jc w:val="both"/>
        <w:ind w:firstLine="86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Investment</w:t>
      </w:r>
      <w:r>
        <w:rPr>
          <w:rFonts w:ascii="Arial" w:cs="Arial" w:eastAsia="Arial" w:hAnsi="Arial"/>
          <w:sz w:val="20"/>
          <w:szCs w:val="20"/>
          <w:color w:val="auto"/>
        </w:rPr>
        <w:t>” means, with respect to any Person, directly or indirectly, (a) to purchase or acquire any stock or stock equivalents, or any obligations or other securities of, or any interest in, any Person, including the establishment or creation of a Subsidiary, (b) to make or commit to make any acquisition (including through licensing or by way of merger, consolidation or combination with another Person) of (i) of all or substantially all of the assets of another Person, or (ii) any business, Product, Intellectual Property, business line or product line, division or other unit operation of or from any Person or (c) make, purchase or hold any advance, loan, extension of credit or capital contribution to or in, or any other investment in, any Person. The amount of any Investment shall be the original cost of such Investment plus the cost of all additions thereto, without any adjustments for increases or decreases in value, or write-ups, write-downs or write-offs with respect thereto.</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IRS</w:t>
      </w:r>
      <w:r>
        <w:rPr>
          <w:rFonts w:ascii="Arial" w:cs="Arial" w:eastAsia="Arial" w:hAnsi="Arial"/>
          <w:sz w:val="20"/>
          <w:szCs w:val="20"/>
          <w:color w:val="auto"/>
        </w:rPr>
        <w:t>” has the meaning set forth in Section 2.8(c)(i).</w:t>
      </w:r>
    </w:p>
    <w:p>
      <w:pPr>
        <w:spacing w:after="0" w:line="21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IXINITY Royalty Agreement</w:t>
      </w:r>
      <w:r>
        <w:rPr>
          <w:rFonts w:ascii="Arial" w:cs="Arial" w:eastAsia="Arial" w:hAnsi="Arial"/>
          <w:sz w:val="19"/>
          <w:szCs w:val="19"/>
          <w:color w:val="auto"/>
        </w:rPr>
        <w:t>” means certain LLC Purchase Agreement, dated as of February 28, 2020, between Medexus Pharma, Inc. and Aptevo Therapeutics, as amended, supplemented or otherwise modified from time to time prior to the Closing Date and as thereafter amended, supplemented or otherwise modified from time to time in accordance with the terms of this Agreement.</w:t>
      </w:r>
    </w:p>
    <w:p>
      <w:pPr>
        <w:spacing w:after="0" w:line="16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IXINITY Royalty Excluded Deposit Account</w:t>
      </w:r>
      <w:r>
        <w:rPr>
          <w:rFonts w:ascii="Arial" w:cs="Arial" w:eastAsia="Arial" w:hAnsi="Arial"/>
          <w:sz w:val="18"/>
          <w:szCs w:val="18"/>
          <w:color w:val="auto"/>
        </w:rPr>
        <w:t>” means a segregated Deposit Account of Borrower that may be established for the sole purpose of collecting payments under the IXINITY Royalty Agreement, which payments have been sold as part of a Permitted IXINITY Royalty Stream Disposition (the “</w:t>
      </w:r>
      <w:r>
        <w:rPr>
          <w:rFonts w:ascii="Arial" w:cs="Arial" w:eastAsia="Arial" w:hAnsi="Arial"/>
          <w:sz w:val="18"/>
          <w:szCs w:val="18"/>
          <w:b w:val="1"/>
          <w:bCs w:val="1"/>
          <w:color w:val="auto"/>
        </w:rPr>
        <w:t>Transferred IXINITY Royalty Payments</w:t>
      </w:r>
      <w:r>
        <w:rPr>
          <w:rFonts w:ascii="Arial" w:cs="Arial" w:eastAsia="Arial" w:hAnsi="Arial"/>
          <w:sz w:val="18"/>
          <w:szCs w:val="18"/>
          <w:color w:val="auto"/>
        </w:rPr>
        <w:t xml:space="preserve">”), on behalf of the purchaser of such payments;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in no event shall the IXINITY Royalty Excluded Deposit Account contain, at any time, any funds of Borrowers 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any other amounts other than the Transferred IXINITY Royalty Payments, and (b) all funds collected in respect of the Transferred IXINITY Royalty Payments shall be disbursed to the purchaser of such Transferred IXINITY Royalty Payments within five (5) Business Days of Borrower’s receipt thereof (or such later date as may be permitted by Agent in its reasonable discretion).</w:t>
      </w:r>
    </w:p>
    <w:p>
      <w:pPr>
        <w:spacing w:after="0" w:line="162"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IXINITY Royalty Stream</w:t>
      </w:r>
      <w:r>
        <w:rPr>
          <w:rFonts w:ascii="Arial" w:cs="Arial" w:eastAsia="Arial" w:hAnsi="Arial"/>
          <w:sz w:val="20"/>
          <w:szCs w:val="20"/>
          <w:color w:val="auto"/>
        </w:rPr>
        <w:t>” means all rights to receive Royalties and all other amounts to be paid to or on behalf of Borrowers or any of their Subsidiaries under or pursuant to the IXINITY Royalty Agreement or any other agreement or document entered into in connection therewith and all other Royalties in respect of IXINITY (coagulation factor IX (recombinant)) or any “Product” (as defined in the IXINITY Royalty Agreement).</w:t>
      </w:r>
    </w:p>
    <w:p>
      <w:pPr>
        <w:spacing w:after="0" w:line="18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Laws</w:t>
      </w:r>
      <w:r>
        <w:rPr>
          <w:rFonts w:ascii="Arial" w:cs="Arial" w:eastAsia="Arial" w:hAnsi="Arial"/>
          <w:sz w:val="20"/>
          <w:szCs w:val="20"/>
          <w:color w:val="auto"/>
        </w:rPr>
        <w:t>” means any and all federal, state, provincial, territorial, local and foreign statutes, laws, judicial decisions, regulations, ordinances, rules, judgments, orders, decrees, codes, injunctions, permits, governmental agreements and governmental restrictions, whether now or hereafter in effect, which are applicable to any Credit Party in any particular circumstance. “</w:t>
      </w:r>
      <w:r>
        <w:rPr>
          <w:rFonts w:ascii="Arial" w:cs="Arial" w:eastAsia="Arial" w:hAnsi="Arial"/>
          <w:sz w:val="20"/>
          <w:szCs w:val="20"/>
          <w:b w:val="1"/>
          <w:bCs w:val="1"/>
          <w:color w:val="auto"/>
        </w:rPr>
        <w:t>Laws</w:t>
      </w:r>
      <w:r>
        <w:rPr>
          <w:rFonts w:ascii="Arial" w:cs="Arial" w:eastAsia="Arial" w:hAnsi="Arial"/>
          <w:sz w:val="20"/>
          <w:szCs w:val="20"/>
          <w:color w:val="auto"/>
        </w:rPr>
        <w:t>” includes, without limitation, Healthcare Laws and Environmental Laws.</w:t>
      </w:r>
    </w:p>
    <w:p>
      <w:pPr>
        <w:spacing w:after="0" w:line="18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w:t>
      </w:r>
      <w:r>
        <w:rPr>
          <w:rFonts w:ascii="Arial" w:cs="Arial" w:eastAsia="Arial" w:hAnsi="Arial"/>
          <w:sz w:val="20"/>
          <w:szCs w:val="20"/>
          <w:color w:val="auto"/>
        </w:rPr>
        <w:t>” means each of (a) MCF, in its capacity as a lender hereunder, (b) each other Person party hereto in its capacity as a lender hereunder, (c) each other Person that becomes a party hereto as Lender pursuant to and as permitted by Section 11.17, and (d) the respective successors of all of the foregoing, and “</w:t>
      </w:r>
      <w:r>
        <w:rPr>
          <w:rFonts w:ascii="Arial" w:cs="Arial" w:eastAsia="Arial" w:hAnsi="Arial"/>
          <w:sz w:val="20"/>
          <w:szCs w:val="20"/>
          <w:b w:val="1"/>
          <w:bCs w:val="1"/>
          <w:color w:val="auto"/>
        </w:rPr>
        <w:t>Lenders</w:t>
      </w:r>
      <w:r>
        <w:rPr>
          <w:rFonts w:ascii="Arial" w:cs="Arial" w:eastAsia="Arial" w:hAnsi="Arial"/>
          <w:sz w:val="20"/>
          <w:szCs w:val="20"/>
          <w:color w:val="auto"/>
        </w:rPr>
        <w:t>” means all of the foregoing.</w:t>
      </w:r>
    </w:p>
    <w:p>
      <w:pPr>
        <w:spacing w:after="0" w:line="177"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LIBOR Rate</w:t>
      </w:r>
      <w:r>
        <w:rPr>
          <w:rFonts w:ascii="Arial" w:cs="Arial" w:eastAsia="Arial" w:hAnsi="Arial"/>
          <w:sz w:val="20"/>
          <w:szCs w:val="20"/>
          <w:color w:val="auto"/>
        </w:rPr>
        <w:t xml:space="preserve">” means, for each Loan, a per annum rate of interest equal to the greater of (a) one and one half of one percent (1.50)% and (b) the rate determined by Agent (rounded upwards, if necessary, to the next 1/100th%) by </w:t>
      </w:r>
      <w:r>
        <w:rPr>
          <w:rFonts w:ascii="Arial" w:cs="Arial" w:eastAsia="Arial" w:hAnsi="Arial"/>
          <w:sz w:val="20"/>
          <w:szCs w:val="20"/>
          <w:i w:val="1"/>
          <w:iCs w:val="1"/>
          <w:color w:val="auto"/>
        </w:rPr>
        <w:t>dividing</w:t>
      </w:r>
      <w:r>
        <w:rPr>
          <w:rFonts w:ascii="Arial" w:cs="Arial" w:eastAsia="Arial" w:hAnsi="Arial"/>
          <w:sz w:val="20"/>
          <w:szCs w:val="20"/>
          <w:color w:val="auto"/>
        </w:rPr>
        <w:t xml:space="preserve"> (i) the Base LIBOR Rate for the Interest Period, </w:t>
      </w:r>
      <w:r>
        <w:rPr>
          <w:rFonts w:ascii="Arial" w:cs="Arial" w:eastAsia="Arial" w:hAnsi="Arial"/>
          <w:sz w:val="20"/>
          <w:szCs w:val="20"/>
          <w:i w:val="1"/>
          <w:iCs w:val="1"/>
          <w:color w:val="auto"/>
        </w:rPr>
        <w:t>by</w:t>
      </w:r>
      <w:r>
        <w:rPr>
          <w:rFonts w:ascii="Arial" w:cs="Arial" w:eastAsia="Arial" w:hAnsi="Arial"/>
          <w:sz w:val="20"/>
          <w:szCs w:val="20"/>
          <w:color w:val="auto"/>
        </w:rPr>
        <w:t xml:space="preserve"> (ii) the sum of one </w:t>
      </w:r>
      <w:r>
        <w:rPr>
          <w:rFonts w:ascii="Arial" w:cs="Arial" w:eastAsia="Arial" w:hAnsi="Arial"/>
          <w:sz w:val="20"/>
          <w:szCs w:val="20"/>
          <w:i w:val="1"/>
          <w:iCs w:val="1"/>
          <w:color w:val="auto"/>
        </w:rPr>
        <w:t>minus</w:t>
      </w:r>
      <w:r>
        <w:rPr>
          <w:rFonts w:ascii="Arial" w:cs="Arial" w:eastAsia="Arial" w:hAnsi="Arial"/>
          <w:sz w:val="20"/>
          <w:szCs w:val="20"/>
          <w:color w:val="auto"/>
        </w:rPr>
        <w:t xml:space="preserve"> the daily average during such Interest Period of the aggregate maximum reserve requirement (expressed as a decimal) then imposed under Regulation D of the Board of Governors of the Federal Reserve System (or any successor thereto) for “Eurocurrency Liabilities” (as defined therein);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the LIBOR Rate be higher than two and one half of one percent (2.50%).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with respect to any asset, any mortgage, lien, pledge, charge, security interest or encumbrance of any kind, in respect of such asset. For the purposes of this Agreement and the other Financing Documents, any Borrower or any Subsidiary shall be deemed to own subject to a Lien any asset which it has acquired or holds subject to the interest of a vendor or lessor under any conditional sale agreement, capital lease or other title retention agreement relating to such asset.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Litigation</w:t>
      </w:r>
      <w:r>
        <w:rPr>
          <w:rFonts w:ascii="Arial" w:cs="Arial" w:eastAsia="Arial" w:hAnsi="Arial"/>
          <w:sz w:val="20"/>
          <w:szCs w:val="20"/>
          <w:color w:val="auto"/>
        </w:rPr>
        <w:t>” means any action, suit or proceeding before any court, mediator, arbitrator or Governmental Authority.</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Account</w:t>
      </w:r>
      <w:r>
        <w:rPr>
          <w:rFonts w:ascii="Arial" w:cs="Arial" w:eastAsia="Arial" w:hAnsi="Arial"/>
          <w:sz w:val="20"/>
          <w:szCs w:val="20"/>
          <w:color w:val="auto"/>
        </w:rPr>
        <w:t>” has the meaning set forth in Section 2.6(b).</w:t>
      </w:r>
    </w:p>
    <w:p>
      <w:pPr>
        <w:spacing w:after="0" w:line="216"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Loan(s)</w:t>
      </w:r>
      <w:r>
        <w:rPr>
          <w:rFonts w:ascii="Arial" w:cs="Arial" w:eastAsia="Arial" w:hAnsi="Arial"/>
          <w:sz w:val="19"/>
          <w:szCs w:val="19"/>
          <w:color w:val="auto"/>
        </w:rPr>
        <w:t>” means the Term Loan and each and every advance under the Term Loan. All references herein to the “making” of a Loan or words of similar import shall mean, with respect to the Term Loan, the making of any advance in respect of a Term Loan.</w:t>
      </w:r>
    </w:p>
    <w:p>
      <w:pPr>
        <w:spacing w:after="0" w:line="142"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Margin Stock</w:t>
      </w:r>
      <w:r>
        <w:rPr>
          <w:rFonts w:ascii="Arial" w:cs="Arial" w:eastAsia="Arial" w:hAnsi="Arial"/>
          <w:sz w:val="20"/>
          <w:szCs w:val="20"/>
          <w:color w:val="auto"/>
        </w:rPr>
        <w:t>” means “margin stock” as such term is defined in Regulation T, U, or X of the Board of Governors of the Federal Reserve System.</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Market Withdrawal</w:t>
      </w:r>
      <w:r>
        <w:rPr>
          <w:rFonts w:ascii="Arial" w:cs="Arial" w:eastAsia="Arial" w:hAnsi="Arial"/>
          <w:sz w:val="20"/>
          <w:szCs w:val="20"/>
          <w:color w:val="auto"/>
        </w:rPr>
        <w:t>” means a Person’s removal or Correction of a distributed product which involves a minor violation that would not be subject to legal action by the FDA or which involves no violation, e.g., normal stock rotation practices, routine equipment adjustments and repairs, etc.</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xml:space="preserve">”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condition (financial or otherwise), operations, business, properties or prospects of any of the Credit Parties, (b) the rights and remedies of Agent or Lenders under any Financing Document, or the ability of any Credit Party to perform any of its obligations under any Financing Document to which it is a party, (c) the legality, validity or enforceability of any Financing Document, (d) the existence or perfection of any security interest granted in any Financing Document, (e) the value of any material Collateral, or (f) a material impairment of the prospect of repayment of any portion of the Obligations; </w:t>
      </w:r>
      <w:r>
        <w:rPr>
          <w:rFonts w:ascii="Arial" w:cs="Arial" w:eastAsia="Arial" w:hAnsi="Arial"/>
          <w:sz w:val="19"/>
          <w:szCs w:val="19"/>
          <w:i w:val="1"/>
          <w:iCs w:val="1"/>
          <w:color w:val="auto"/>
        </w:rPr>
        <w:t>provided, however</w:t>
      </w:r>
      <w:r>
        <w:rPr>
          <w:rFonts w:ascii="Arial" w:cs="Arial" w:eastAsia="Arial" w:hAnsi="Arial"/>
          <w:sz w:val="19"/>
          <w:szCs w:val="19"/>
          <w:color w:val="auto"/>
        </w:rPr>
        <w:t>, notwithstanding anything to the contrary contained in clauses (a) through (f) hereof, if any of Borrower’s financial statements filed with the SEC contain a disclosure that there is “substantial doubt about the ability of Borrower to continue as a going concern”, such disclosure shall not by itself constitute a Material Adverse Effect.</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Contracts</w:t>
      </w:r>
      <w:r>
        <w:rPr>
          <w:rFonts w:ascii="Arial" w:cs="Arial" w:eastAsia="Arial" w:hAnsi="Arial"/>
          <w:sz w:val="19"/>
          <w:szCs w:val="19"/>
          <w:color w:val="auto"/>
        </w:rPr>
        <w:t>” means (a) the Subordinated Debt Documents, (b) each Royalty Agreement, (c) the Ruxience Sale Agreement, (d) the agreements listed on Schedule 3.17, and (e) each other agreement or contract to which such Credit Party or its Subsidiaries is a party the loss or termination of which would reasonably be expected to result in a Material Adverse Effect.</w:t>
      </w:r>
    </w:p>
    <w:p>
      <w:pPr>
        <w:jc w:val="both"/>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Intangible Assets</w:t>
      </w:r>
      <w:r>
        <w:rPr>
          <w:rFonts w:ascii="Arial" w:cs="Arial" w:eastAsia="Arial" w:hAnsi="Arial"/>
          <w:sz w:val="20"/>
          <w:szCs w:val="20"/>
          <w:color w:val="auto"/>
        </w:rPr>
        <w:t>” means all of (a) Borrower’s Intellectual Property and (b) license or sublicense agreements or other agreements with respect to rights in Intellectual Property, in each case that are material to the condition (financial or other), business or operations of Borrower.</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Maturity Date</w:t>
      </w:r>
      <w:r>
        <w:rPr>
          <w:rFonts w:ascii="Arial" w:cs="Arial" w:eastAsia="Arial" w:hAnsi="Arial"/>
          <w:sz w:val="20"/>
          <w:szCs w:val="20"/>
          <w:color w:val="auto"/>
        </w:rPr>
        <w:t>” means the date that is August 1, 2024.</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Maximum Lawful Rate</w:t>
      </w:r>
      <w:r>
        <w:rPr>
          <w:rFonts w:ascii="Arial" w:cs="Arial" w:eastAsia="Arial" w:hAnsi="Arial"/>
          <w:sz w:val="20"/>
          <w:szCs w:val="20"/>
          <w:color w:val="auto"/>
        </w:rPr>
        <w:t>” has the meaning set forth in Section 2.7.</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MCF</w:t>
      </w:r>
      <w:r>
        <w:rPr>
          <w:rFonts w:ascii="Arial" w:cs="Arial" w:eastAsia="Arial" w:hAnsi="Arial"/>
          <w:sz w:val="20"/>
          <w:szCs w:val="20"/>
          <w:color w:val="auto"/>
        </w:rPr>
        <w:t>” means MidCap Financial Trust, a Delaware statutory trust, and its successors and permitted assigns.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jc w:val="both"/>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Medicaid</w:t>
      </w:r>
      <w:r>
        <w:rPr>
          <w:rFonts w:ascii="Arial" w:cs="Arial" w:eastAsia="Arial" w:hAnsi="Arial"/>
          <w:sz w:val="20"/>
          <w:szCs w:val="20"/>
          <w:color w:val="auto"/>
        </w:rPr>
        <w:t>” means the medical assistance programs administered by state agencies and approved by CMS pursuant to the terms of Title XIX of the Social Security Act, codified at 42 U.S.C. 1396 et seq.</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Medicare</w:t>
      </w:r>
      <w:r>
        <w:rPr>
          <w:rFonts w:ascii="Arial" w:cs="Arial" w:eastAsia="Arial" w:hAnsi="Arial"/>
          <w:sz w:val="20"/>
          <w:szCs w:val="20"/>
          <w:color w:val="auto"/>
        </w:rPr>
        <w:t>” means the program of health benefits for the aged and disabled administered by CMS pursuant to the terms of Title XVIII of the Social Security Act, codified at 42 U.S.C. 1395 et seq.</w:t>
      </w:r>
    </w:p>
    <w:p>
      <w:pPr>
        <w:spacing w:after="0" w:line="1" w:lineRule="exact"/>
        <w:rPr>
          <w:sz w:val="20"/>
          <w:szCs w:val="20"/>
          <w:color w:val="auto"/>
        </w:rPr>
      </w:pPr>
    </w:p>
    <w:p>
      <w:pPr>
        <w:jc w:val="both"/>
        <w:ind w:firstLine="864"/>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Multiemployer Plan</w:t>
      </w:r>
      <w:r>
        <w:rPr>
          <w:rFonts w:ascii="Arial" w:cs="Arial" w:eastAsia="Arial" w:hAnsi="Arial"/>
          <w:sz w:val="20"/>
          <w:szCs w:val="20"/>
          <w:color w:val="auto"/>
        </w:rPr>
        <w:t>” means a multiemployer plan within the meaning of Section 4001(a)(3) of ERISA to which any Borrower or any other member of the Controlled Group (or any Person who in the last five years was a member of the Controlled Group) is making or accruing an obligation to make contributions or has within the preceding five plan years (as determined on the applicable date of determination) made contributions.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Notes</w:t>
      </w:r>
      <w:r>
        <w:rPr>
          <w:rFonts w:ascii="Arial" w:cs="Arial" w:eastAsia="Arial" w:hAnsi="Arial"/>
          <w:sz w:val="20"/>
          <w:szCs w:val="20"/>
          <w:color w:val="auto"/>
        </w:rPr>
        <w:t>” has the meaning set forth in Section 2.3.</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 of Borrowing</w:t>
      </w:r>
      <w:r>
        <w:rPr>
          <w:rFonts w:ascii="Arial" w:cs="Arial" w:eastAsia="Arial" w:hAnsi="Arial"/>
          <w:sz w:val="20"/>
          <w:szCs w:val="20"/>
          <w:color w:val="auto"/>
        </w:rPr>
        <w:t xml:space="preserve">” means a notice of a Responsible Officer of Borrower Representative, appropriately completed and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hereto.</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Obligations</w:t>
      </w:r>
      <w:r>
        <w:rPr>
          <w:rFonts w:ascii="Arial" w:cs="Arial" w:eastAsia="Arial" w:hAnsi="Arial"/>
          <w:sz w:val="20"/>
          <w:szCs w:val="20"/>
          <w:color w:val="auto"/>
        </w:rPr>
        <w:t>” means all obligations, liabilities and indebtedness (monetary (including, without limitation, the payment of interest and other amounts arising after the commencement of any case with respect to any Credit Party under the Bankruptcy Code or any similar statute which would accrue and become due but for the commencement of such case, whether or not such amounts are allowed or allowable in whole or in part in such case) or otherwise) of each Credit Party under this Agreement or any other Financing Document, in each case howsoever created, arising or evidenced, whether direct or indirect, absolute or contingent, now or hereafter existing, or due or to become due.</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OFAC</w:t>
      </w:r>
      <w:r>
        <w:rPr>
          <w:rFonts w:ascii="Arial" w:cs="Arial" w:eastAsia="Arial" w:hAnsi="Arial"/>
          <w:sz w:val="20"/>
          <w:szCs w:val="20"/>
          <w:color w:val="auto"/>
        </w:rPr>
        <w:t>” means the U.S. Department of Treasury Office of Foreign Assets Control.</w:t>
      </w:r>
    </w:p>
    <w:p>
      <w:pPr>
        <w:spacing w:after="0" w:line="194"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OFAC Lists</w:t>
      </w:r>
      <w:r>
        <w:rPr>
          <w:rFonts w:ascii="Arial" w:cs="Arial" w:eastAsia="Arial" w:hAnsi="Arial"/>
          <w:sz w:val="19"/>
          <w:szCs w:val="19"/>
          <w:color w:val="auto"/>
        </w:rPr>
        <w:t>”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62" w:lineRule="exact"/>
        <w:rPr>
          <w:sz w:val="20"/>
          <w:szCs w:val="20"/>
          <w:color w:val="auto"/>
        </w:rPr>
      </w:pPr>
    </w:p>
    <w:p>
      <w:pPr>
        <w:jc w:val="both"/>
        <w:ind w:right="20" w:firstLine="86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Ordinary Course of Business</w:t>
      </w:r>
      <w:r>
        <w:rPr>
          <w:rFonts w:ascii="Arial" w:cs="Arial" w:eastAsia="Arial" w:hAnsi="Arial"/>
          <w:sz w:val="19"/>
          <w:szCs w:val="19"/>
          <w:color w:val="auto"/>
        </w:rPr>
        <w:t>” means, in respect of any transaction involving any Credit Party, the ordinary course of business of such Credit Party, as conducted by such Credit Party in a manner consistent with past practices in all material respects.</w:t>
      </w:r>
    </w:p>
    <w:p>
      <w:pPr>
        <w:spacing w:after="0" w:line="14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Organizational Documents</w:t>
      </w:r>
      <w:r>
        <w:rPr>
          <w:rFonts w:ascii="Arial" w:cs="Arial" w:eastAsia="Arial" w:hAnsi="Arial"/>
          <w:sz w:val="20"/>
          <w:szCs w:val="20"/>
          <w:color w:val="auto"/>
        </w:rPr>
        <w:t>” means, with respect to any Person other than a natural person, the documents by which such Person was organized (such as a certificate of incorporation, certificate of limited partnership or articles of organization, and including, without limitation, any certificates of designation for preferred stock or other forms of preferred equity) and which relate to the internal governance of such Person (such as by-laws, a partnership agreement or an operating agreement, joint venture agreement, limited liability company agreement or members agreement), including any and all shareholder agreements or voting agreements relating to the capital stock or other equity interests of such Person.</w:t>
      </w:r>
    </w:p>
    <w:p>
      <w:pPr>
        <w:spacing w:after="0" w:line="184"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Connection Taxes</w:t>
      </w:r>
      <w:r>
        <w:rPr>
          <w:rFonts w:ascii="Arial" w:cs="Arial" w:eastAsia="Arial" w:hAnsi="Arial"/>
          <w:sz w:val="20"/>
          <w:szCs w:val="20"/>
          <w:color w:val="auto"/>
        </w:rPr>
        <w:t>” means taxes imposed as a result of a present or former connection between Agent or any Lender and the jurisdiction imposing such tax (other than connections arising from Agent or such Lender having executed, delivered, become a party to, performed its obligations under, received payments under, engaged in any other transaction pursuant to or enforced any Financing Document, or sold or assigned an interest in any Loans or any Financing Document).</w:t>
      </w:r>
    </w:p>
    <w:p>
      <w:pPr>
        <w:spacing w:after="0" w:line="183"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Financing Document, except any such taxes that are Other Connection Taxes imposed with respect to an assignment (other than an assignment made pursuant to Section 2.8(i)).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 Register</w:t>
      </w:r>
      <w:r>
        <w:rPr>
          <w:rFonts w:ascii="Arial" w:cs="Arial" w:eastAsia="Arial" w:hAnsi="Arial"/>
          <w:sz w:val="20"/>
          <w:szCs w:val="20"/>
          <w:color w:val="auto"/>
        </w:rPr>
        <w:t>” has the meaning set forth in Section 11.17(a)(iii).</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Payment Account</w:t>
      </w:r>
      <w:r>
        <w:rPr>
          <w:rFonts w:ascii="Arial" w:cs="Arial" w:eastAsia="Arial" w:hAnsi="Arial"/>
          <w:sz w:val="20"/>
          <w:szCs w:val="20"/>
          <w:color w:val="auto"/>
        </w:rPr>
        <w:t>” means the account specified on the signature pages hereof into which all payments by or on behalf of each Borrower to Agent under the Financing Documents shall be made, or such other account as Agent shall from time to time specify by notice to Borrower Representative.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Payment Notification</w:t>
      </w:r>
      <w:r>
        <w:rPr>
          <w:rFonts w:ascii="Arial" w:cs="Arial" w:eastAsia="Arial" w:hAnsi="Arial"/>
          <w:sz w:val="20"/>
          <w:szCs w:val="20"/>
          <w:color w:val="auto"/>
        </w:rPr>
        <w:t xml:space="preserve">” means a written notification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hereto.</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Person succeeding to any or all of its functions under ERISA.</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Plan</w:t>
      </w:r>
      <w:r>
        <w:rPr>
          <w:rFonts w:ascii="Arial" w:cs="Arial" w:eastAsia="Arial" w:hAnsi="Arial"/>
          <w:sz w:val="20"/>
          <w:szCs w:val="20"/>
          <w:color w:val="auto"/>
        </w:rPr>
        <w:t>” means any ERISA Plan that is subject to Section 412 of the Code or Title IV of ERISA.</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Perfection Certificate</w:t>
      </w:r>
      <w:r>
        <w:rPr>
          <w:rFonts w:ascii="Arial" w:cs="Arial" w:eastAsia="Arial" w:hAnsi="Arial"/>
          <w:sz w:val="20"/>
          <w:szCs w:val="20"/>
          <w:color w:val="auto"/>
        </w:rPr>
        <w:t>” means the Perfection Certificate delivered to Agent as of the Closing Date, together with any amendments thereto required under this Agreement.</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w:t>
      </w:r>
      <w:r>
        <w:rPr>
          <w:rFonts w:ascii="Arial" w:cs="Arial" w:eastAsia="Arial" w:hAnsi="Arial"/>
          <w:sz w:val="18"/>
          <w:szCs w:val="18"/>
          <w:color w:val="auto"/>
        </w:rPr>
        <w:t>” means all licenses, certificates, accreditations, product approvals, provider numbers or provider authorizations, supplier numbers, marketing authorizations, drug authorizations and approvals, other authorizations, registrations, permits, consents and approvals required under an applicable Law to be held by a Credit Party, and which are issued or required under Laws applicable to the business of Borrower or any of its Subsidiaries or necessary in the manufacturing, importing, exporting, possession, ownership, warehousing, marketing, promoting, sale, labeling, furnishing, distribution or delivery of goods or services under Laws applicable to the business of Borrower or any of its Subsidiaries. Without limiting the generality of the foregoing, “</w:t>
      </w:r>
      <w:r>
        <w:rPr>
          <w:rFonts w:ascii="Arial" w:cs="Arial" w:eastAsia="Arial" w:hAnsi="Arial"/>
          <w:sz w:val="18"/>
          <w:szCs w:val="18"/>
          <w:b w:val="1"/>
          <w:bCs w:val="1"/>
          <w:color w:val="auto"/>
        </w:rPr>
        <w:t>Permit</w:t>
      </w:r>
      <w:r>
        <w:rPr>
          <w:rFonts w:ascii="Arial" w:cs="Arial" w:eastAsia="Arial" w:hAnsi="Arial"/>
          <w:sz w:val="18"/>
          <w:szCs w:val="18"/>
          <w:color w:val="auto"/>
        </w:rPr>
        <w:t>” includes any Regulatory Required Permit.</w:t>
      </w:r>
    </w:p>
    <w:p>
      <w:pPr>
        <w:spacing w:after="0" w:line="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Asset Dispositions</w:t>
      </w:r>
      <w:r>
        <w:rPr>
          <w:rFonts w:ascii="Arial" w:cs="Arial" w:eastAsia="Arial" w:hAnsi="Arial"/>
          <w:sz w:val="20"/>
          <w:szCs w:val="20"/>
          <w:color w:val="auto"/>
        </w:rPr>
        <w:t xml:space="preserve">” means the following Asset Dispositions,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at the time of such Asset Disposition, no Default or Event of Default exists or would result from such Asset Disposition:</w:t>
      </w:r>
    </w:p>
    <w:p>
      <w:pPr>
        <w:spacing w:after="0" w:line="191" w:lineRule="exact"/>
        <w:rPr>
          <w:sz w:val="20"/>
          <w:szCs w:val="20"/>
          <w:color w:val="auto"/>
        </w:rPr>
      </w:pPr>
    </w:p>
    <w:p>
      <w:pPr>
        <w:ind w:left="2600" w:hanging="865"/>
        <w:spacing w:after="0"/>
        <w:tabs>
          <w:tab w:leader="none" w:pos="26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 and not pursuant to any bulk sale;</w:t>
      </w:r>
    </w:p>
    <w:p>
      <w:pPr>
        <w:spacing w:after="0" w:line="215"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74"/>
        </w:numPr>
        <w:rPr>
          <w:rFonts w:ascii="Arial" w:cs="Arial" w:eastAsia="Arial" w:hAnsi="Arial"/>
          <w:sz w:val="20"/>
          <w:szCs w:val="20"/>
          <w:color w:val="auto"/>
        </w:rPr>
      </w:pPr>
      <w:r>
        <w:rPr>
          <w:rFonts w:ascii="Arial" w:cs="Arial" w:eastAsia="Arial" w:hAnsi="Arial"/>
          <w:sz w:val="20"/>
          <w:szCs w:val="20"/>
          <w:color w:val="auto"/>
        </w:rPr>
        <w:t>dispositions of furniture, fixtures and equipment in the Ordinary Course of Business that the applicable Borrower or Subsidiary determines in good faith is no longer used or useful in, or is surplus to, the business of such Borrower and its Subsidiaries;</w:t>
      </w:r>
    </w:p>
    <w:p>
      <w:pPr>
        <w:spacing w:after="0" w:line="185" w:lineRule="exact"/>
        <w:rPr>
          <w:rFonts w:ascii="Arial" w:cs="Arial" w:eastAsia="Arial" w:hAnsi="Arial"/>
          <w:sz w:val="20"/>
          <w:szCs w:val="20"/>
          <w:color w:val="auto"/>
        </w:rPr>
      </w:pPr>
    </w:p>
    <w:p>
      <w:pPr>
        <w:ind w:left="2600" w:hanging="865"/>
        <w:spacing w:after="0"/>
        <w:tabs>
          <w:tab w:leader="none" w:pos="26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dispositions consisting of, or entry into, Permitted Licenses;</w:t>
      </w:r>
    </w:p>
    <w:p>
      <w:pPr>
        <w:spacing w:after="0" w:line="215" w:lineRule="exact"/>
        <w:rPr>
          <w:rFonts w:ascii="Arial" w:cs="Arial" w:eastAsia="Arial" w:hAnsi="Arial"/>
          <w:sz w:val="20"/>
          <w:szCs w:val="20"/>
          <w:color w:val="auto"/>
        </w:rPr>
      </w:pPr>
    </w:p>
    <w:p>
      <w:pPr>
        <w:ind w:firstLine="1735"/>
        <w:spacing w:after="0" w:line="260" w:lineRule="auto"/>
        <w:tabs>
          <w:tab w:leader="none" w:pos="2606" w:val="left"/>
        </w:tabs>
        <w:numPr>
          <w:ilvl w:val="0"/>
          <w:numId w:val="74"/>
        </w:numPr>
        <w:rPr>
          <w:rFonts w:ascii="Arial" w:cs="Arial" w:eastAsia="Arial" w:hAnsi="Arial"/>
          <w:sz w:val="20"/>
          <w:szCs w:val="20"/>
          <w:color w:val="auto"/>
        </w:rPr>
      </w:pPr>
      <w:r>
        <w:rPr>
          <w:rFonts w:ascii="Arial" w:cs="Arial" w:eastAsia="Arial" w:hAnsi="Arial"/>
          <w:sz w:val="20"/>
          <w:szCs w:val="20"/>
          <w:color w:val="auto"/>
        </w:rPr>
        <w:t>dispositions of obsolete or worn out furniture, fixtures and equipment, whether now owned or hereafter acquired, in the Ordinary Course of Business;</w:t>
      </w:r>
    </w:p>
    <w:p>
      <w:pPr>
        <w:spacing w:after="0" w:line="176" w:lineRule="exact"/>
        <w:rPr>
          <w:rFonts w:ascii="Arial" w:cs="Arial" w:eastAsia="Arial" w:hAnsi="Arial"/>
          <w:sz w:val="20"/>
          <w:szCs w:val="20"/>
          <w:color w:val="auto"/>
        </w:rPr>
      </w:pPr>
    </w:p>
    <w:p>
      <w:pPr>
        <w:ind w:left="2600" w:hanging="865"/>
        <w:spacing w:after="0"/>
        <w:tabs>
          <w:tab w:leader="none" w:pos="26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dispositions approved in writing by Agent;</w:t>
      </w:r>
    </w:p>
    <w:p>
      <w:pPr>
        <w:spacing w:after="0" w:line="215" w:lineRule="exact"/>
        <w:rPr>
          <w:rFonts w:ascii="Arial" w:cs="Arial" w:eastAsia="Arial" w:hAnsi="Arial"/>
          <w:sz w:val="20"/>
          <w:szCs w:val="20"/>
          <w:color w:val="auto"/>
        </w:rPr>
      </w:pPr>
    </w:p>
    <w:p>
      <w:pPr>
        <w:ind w:firstLine="1735"/>
        <w:spacing w:after="0" w:line="260" w:lineRule="auto"/>
        <w:tabs>
          <w:tab w:leader="none" w:pos="2573"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abandonment in the Ordinary Course of Business of Intellectual Property (other than Material Intangible Assets) that is no longer used or useful to Borrowers or their Subsidiaries;</w:t>
      </w:r>
    </w:p>
    <w:p>
      <w:pPr>
        <w:spacing w:after="0" w:line="176" w:lineRule="exact"/>
        <w:rPr>
          <w:rFonts w:ascii="Arial" w:cs="Arial" w:eastAsia="Arial" w:hAnsi="Arial"/>
          <w:sz w:val="20"/>
          <w:szCs w:val="20"/>
          <w:color w:val="auto"/>
        </w:rPr>
      </w:pPr>
    </w:p>
    <w:p>
      <w:pPr>
        <w:ind w:firstLine="1735"/>
        <w:spacing w:after="0" w:line="260" w:lineRule="auto"/>
        <w:tabs>
          <w:tab w:leader="none" w:pos="2606" w:val="left"/>
        </w:tabs>
        <w:numPr>
          <w:ilvl w:val="0"/>
          <w:numId w:val="74"/>
        </w:numPr>
        <w:rPr>
          <w:rFonts w:ascii="Arial" w:cs="Arial" w:eastAsia="Arial" w:hAnsi="Arial"/>
          <w:sz w:val="20"/>
          <w:szCs w:val="20"/>
          <w:color w:val="auto"/>
        </w:rPr>
      </w:pPr>
      <w:r>
        <w:rPr>
          <w:rFonts w:ascii="Arial" w:cs="Arial" w:eastAsia="Arial" w:hAnsi="Arial"/>
          <w:sz w:val="20"/>
          <w:szCs w:val="20"/>
          <w:color w:val="auto"/>
        </w:rPr>
        <w:t>dispositions of Accounts to a third party in connection with the compromise, settlement or collection thereof in the Ordinary Course of Business exclusive of factoring or similar arrangements;</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termination of Swap Contracts in the Ordinary Course of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ind w:left="2580" w:hanging="845"/>
        <w:spacing w:after="0"/>
        <w:tabs>
          <w:tab w:leader="none" w:pos="25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each Permitted Royalty Stream Disposition; and</w:t>
      </w:r>
    </w:p>
    <w:p>
      <w:pPr>
        <w:spacing w:after="0" w:line="215" w:lineRule="exact"/>
        <w:rPr>
          <w:rFonts w:ascii="Arial" w:cs="Arial" w:eastAsia="Arial" w:hAnsi="Arial"/>
          <w:sz w:val="20"/>
          <w:szCs w:val="20"/>
          <w:color w:val="auto"/>
        </w:rPr>
      </w:pPr>
    </w:p>
    <w:p>
      <w:pPr>
        <w:jc w:val="both"/>
        <w:ind w:firstLine="1735"/>
        <w:spacing w:after="0" w:line="259" w:lineRule="auto"/>
        <w:tabs>
          <w:tab w:leader="none" w:pos="2562" w:val="left"/>
        </w:tabs>
        <w:numPr>
          <w:ilvl w:val="0"/>
          <w:numId w:val="75"/>
        </w:numPr>
        <w:rPr>
          <w:rFonts w:ascii="Arial" w:cs="Arial" w:eastAsia="Arial" w:hAnsi="Arial"/>
          <w:sz w:val="19"/>
          <w:szCs w:val="19"/>
          <w:color w:val="auto"/>
        </w:rPr>
      </w:pPr>
      <w:r>
        <w:rPr>
          <w:rFonts w:ascii="Arial" w:cs="Arial" w:eastAsia="Arial" w:hAnsi="Arial"/>
          <w:sz w:val="19"/>
          <w:szCs w:val="19"/>
          <w:color w:val="auto"/>
        </w:rPr>
        <w:t>dispositions of assets other than those described in clauses (a) through (i) above for cash at fair value if all of the following conditions are met: (i) the assets are not Intellectual Property, Royalties or Royalty Agreements, (ii) the applicable Borrower or Subsidiary determines in good faith is no longer used or useful in the business of such Borrower and its Subsidiaries, (iii) the market value of assets sold or otherwise disposed of in any single transaction or series of related transactions does not exceed $250,000 and the aggregate market value of the assets sold or otherwise disposed of in any fiscal year does not exceed $500,000 and (iv) the net cash proceeds of such disposition are applied to the extent required by Section 2.1(a)(ii)(B)(iii).</w:t>
      </w:r>
    </w:p>
    <w:p>
      <w:pPr>
        <w:spacing w:after="0" w:line="17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Contest</w:t>
      </w:r>
      <w:r>
        <w:rPr>
          <w:rFonts w:ascii="Arial" w:cs="Arial" w:eastAsia="Arial" w:hAnsi="Arial"/>
          <w:sz w:val="18"/>
          <w:szCs w:val="18"/>
          <w:color w:val="auto"/>
        </w:rPr>
        <w:t xml:space="preserve">” means, with respect to any tax obligation or other obligation allegedly or potentially owing from any Borrower or its Subsidiary to any governmental tax authority or other third party, a contest maintained in good faith by appropriate proceedings promptly instituted and diligently conducted and with respect to which such reserve or other appropriate provision, if any, as shall be required in conformity with GAAP shall have been made on the books and records and financial statements of the applicable Credit Party(ies);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compliance with the obligation that is the subject of such contest is effectively stayed during such challenge; (b) Borrowers’ and their Subsidiaries’ title to, and its right to use, the Collateral is not adversely affected thereby and Agent’s Lien and priority on the Collateral are not adversely affected, altered or impaired thereby; (c) Borrowers have given Agent notice of the commencement of such contest and upon request by Agent, from time to time, notice of the status of such contest by Borrowers and/or confirmation of the continuing satisfaction of this definition; (d) the Collateral or any part thereof or any interest therein shall not be in any danger of being sold, forfeited or lost by reason of such contest by Borrowers or their Subsidiaries; and (e) upon a final determination of such contest, Borrowers and their Subsidiaries shall promptly comply with the requirements thereof.</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Contingent Obligations</w:t>
      </w:r>
      <w:r>
        <w:rPr>
          <w:rFonts w:ascii="Arial" w:cs="Arial" w:eastAsia="Arial" w:hAnsi="Arial"/>
          <w:sz w:val="20"/>
          <w:szCs w:val="20"/>
          <w:color w:val="auto"/>
        </w:rPr>
        <w:t>” means</w:t>
      </w:r>
    </w:p>
    <w:p>
      <w:pPr>
        <w:spacing w:after="0" w:line="222" w:lineRule="exact"/>
        <w:rPr>
          <w:sz w:val="20"/>
          <w:szCs w:val="20"/>
          <w:color w:val="auto"/>
        </w:rPr>
      </w:pPr>
    </w:p>
    <w:p>
      <w:pPr>
        <w:jc w:val="both"/>
        <w:ind w:firstLine="1735"/>
        <w:spacing w:after="0" w:line="282" w:lineRule="auto"/>
        <w:tabs>
          <w:tab w:leader="none" w:pos="25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Contingent Obligations arising in respect of the Debt under the Financing Documents or with respect to other Permitted Debt (other than pursuant to clause (k) of the definition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Contingent Obligation is subordinated to the Obligations to the same extent as the Debt to which it relates is subordinated to the Obligations and (ii) no Credit Party may incur Contingent Obligations under this clause (a) in respect of Debt incurred by any Person that is not a Borrower or Guarantor;</w:t>
      </w:r>
    </w:p>
    <w:p>
      <w:pPr>
        <w:spacing w:after="0" w:line="161" w:lineRule="exact"/>
        <w:rPr>
          <w:rFonts w:ascii="Arial" w:cs="Arial" w:eastAsia="Arial" w:hAnsi="Arial"/>
          <w:sz w:val="18"/>
          <w:szCs w:val="18"/>
          <w:color w:val="auto"/>
        </w:rPr>
      </w:pPr>
    </w:p>
    <w:p>
      <w:pPr>
        <w:ind w:left="2620" w:hanging="885"/>
        <w:spacing w:after="0"/>
        <w:tabs>
          <w:tab w:leader="none" w:pos="26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Contingent Obligations resulting from endorsements for collection or deposit in the Ordinary Course of</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Business;</w:t>
      </w:r>
    </w:p>
    <w:p>
      <w:pPr>
        <w:spacing w:after="0" w:line="199" w:lineRule="exact"/>
        <w:rPr>
          <w:rFonts w:ascii="Arial" w:cs="Arial" w:eastAsia="Arial" w:hAnsi="Arial"/>
          <w:sz w:val="19"/>
          <w:szCs w:val="19"/>
          <w:color w:val="auto"/>
        </w:rPr>
      </w:pPr>
    </w:p>
    <w:p>
      <w:pPr>
        <w:ind w:left="2600" w:hanging="865"/>
        <w:spacing w:after="0"/>
        <w:tabs>
          <w:tab w:leader="none" w:pos="26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Contingent Obligations outstanding on the Closing Date and set forth on Schedule 5.1 (including any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Permitted Refinancings thereof);</w:t>
      </w:r>
    </w:p>
    <w:p>
      <w:pPr>
        <w:spacing w:after="0" w:line="199" w:lineRule="exact"/>
        <w:rPr>
          <w:rFonts w:ascii="Arial" w:cs="Arial" w:eastAsia="Arial" w:hAnsi="Arial"/>
          <w:sz w:val="19"/>
          <w:szCs w:val="19"/>
          <w:color w:val="auto"/>
        </w:rPr>
      </w:pPr>
    </w:p>
    <w:p>
      <w:pPr>
        <w:ind w:firstLine="1735"/>
        <w:spacing w:after="0" w:line="287" w:lineRule="auto"/>
        <w:tabs>
          <w:tab w:leader="none" w:pos="2606" w:val="left"/>
        </w:tabs>
        <w:numPr>
          <w:ilvl w:val="0"/>
          <w:numId w:val="76"/>
        </w:numPr>
        <w:rPr>
          <w:rFonts w:ascii="Arial" w:cs="Arial" w:eastAsia="Arial" w:hAnsi="Arial"/>
          <w:sz w:val="19"/>
          <w:szCs w:val="19"/>
          <w:color w:val="auto"/>
        </w:rPr>
      </w:pPr>
      <w:r>
        <w:rPr>
          <w:rFonts w:ascii="Arial" w:cs="Arial" w:eastAsia="Arial" w:hAnsi="Arial"/>
          <w:sz w:val="19"/>
          <w:szCs w:val="19"/>
          <w:color w:val="auto"/>
        </w:rPr>
        <w:t>Contingent Obligations incurred in the Ordinary Course of Business with respect to surety and appeal bonds, performance bonds and other similar obligations not to exceed $250,000 in the aggregate at any time outstanding;</w:t>
      </w:r>
    </w:p>
    <w:p>
      <w:pPr>
        <w:spacing w:after="0" w:line="152" w:lineRule="exact"/>
        <w:rPr>
          <w:rFonts w:ascii="Arial" w:cs="Arial" w:eastAsia="Arial" w:hAnsi="Arial"/>
          <w:sz w:val="19"/>
          <w:szCs w:val="19"/>
          <w:color w:val="auto"/>
        </w:rPr>
      </w:pPr>
    </w:p>
    <w:p>
      <w:pPr>
        <w:ind w:left="2600" w:hanging="865"/>
        <w:spacing w:after="0"/>
        <w:tabs>
          <w:tab w:leader="none" w:pos="2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Contingent Obligations arising under indemnity agreements with title insurers to cause such title insurers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issue title insurance policies;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33" w:name="page134"/>
    <w:bookmarkEnd w:id="133"/>
    <w:p>
      <w:pPr>
        <w:ind w:right="20" w:firstLine="1735"/>
        <w:spacing w:after="0" w:line="260" w:lineRule="auto"/>
        <w:tabs>
          <w:tab w:leader="none" w:pos="2573" w:val="left"/>
        </w:tabs>
        <w:numPr>
          <w:ilvl w:val="0"/>
          <w:numId w:val="77"/>
        </w:numPr>
        <w:rPr>
          <w:rFonts w:ascii="Arial" w:cs="Arial" w:eastAsia="Arial" w:hAnsi="Arial"/>
          <w:sz w:val="20"/>
          <w:szCs w:val="20"/>
          <w:color w:val="auto"/>
        </w:rPr>
      </w:pPr>
      <w:r>
        <w:rPr>
          <w:rFonts w:ascii="Arial" w:cs="Arial" w:eastAsia="Arial" w:hAnsi="Arial"/>
          <w:sz w:val="20"/>
          <w:szCs w:val="20"/>
          <w:color w:val="auto"/>
        </w:rPr>
        <w:t>Contingent Obligations arising with respect to customary indemnification obligations in favor of purchasers in connection with dispositions of personal property assets permitted under Section 5.6;</w:t>
      </w:r>
    </w:p>
    <w:p>
      <w:pPr>
        <w:spacing w:after="0" w:line="176" w:lineRule="exact"/>
        <w:rPr>
          <w:rFonts w:ascii="Arial" w:cs="Arial" w:eastAsia="Arial" w:hAnsi="Arial"/>
          <w:sz w:val="20"/>
          <w:szCs w:val="20"/>
          <w:color w:val="auto"/>
        </w:rPr>
      </w:pPr>
    </w:p>
    <w:p>
      <w:pPr>
        <w:jc w:val="both"/>
        <w:ind w:firstLine="1735"/>
        <w:spacing w:after="0" w:line="282" w:lineRule="auto"/>
        <w:tabs>
          <w:tab w:leader="none" w:pos="2606" w:val="left"/>
        </w:tabs>
        <w:numPr>
          <w:ilvl w:val="0"/>
          <w:numId w:val="77"/>
        </w:numPr>
        <w:rPr>
          <w:rFonts w:ascii="Arial" w:cs="Arial" w:eastAsia="Arial" w:hAnsi="Arial"/>
          <w:sz w:val="18"/>
          <w:szCs w:val="18"/>
          <w:color w:val="auto"/>
        </w:rPr>
      </w:pPr>
      <w:r>
        <w:rPr>
          <w:rFonts w:ascii="Arial" w:cs="Arial" w:eastAsia="Arial" w:hAnsi="Arial"/>
          <w:sz w:val="18"/>
          <w:szCs w:val="18"/>
          <w:color w:val="auto"/>
        </w:rPr>
        <w:t>so long as there exists no Event of Default both immediately before and immediately after giving effect to any such transaction, Contingent Obligations existing or arising under any Swap Contract, provided, however, that such obligations are (or were) entered into by Borrower or an Affiliate in the Ordinary Course of Business for the purpose of directly mitigating risks associated with liabilities, commitments, investments, assets, or property held or reasonably anticipated by such Person and not for purposes of speculation;</w:t>
      </w:r>
    </w:p>
    <w:p>
      <w:pPr>
        <w:spacing w:after="0" w:line="161" w:lineRule="exact"/>
        <w:rPr>
          <w:rFonts w:ascii="Arial" w:cs="Arial" w:eastAsia="Arial" w:hAnsi="Arial"/>
          <w:sz w:val="18"/>
          <w:szCs w:val="18"/>
          <w:color w:val="auto"/>
        </w:rPr>
      </w:pPr>
    </w:p>
    <w:p>
      <w:pPr>
        <w:jc w:val="both"/>
        <w:ind w:firstLine="1735"/>
        <w:spacing w:after="0" w:line="282" w:lineRule="auto"/>
        <w:tabs>
          <w:tab w:leader="none" w:pos="2606"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Contingent Obligations of Borrower, incurred during the Wells Fargo LC Period under or pursuant to the Wells Fargo Standby Letter of Credit Agreement in respect of the Wells Fargo Letters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such Contingent Obligations shall not, at any time, when combined with the Debt set forth in clause (i) of the definition of “Permitted Debt”, exceed (i) $3,000,000 at any time on or prior to December 31, 2021, or (ii) $0 at any time after December 31, 2021; and</w:t>
      </w:r>
    </w:p>
    <w:p>
      <w:pPr>
        <w:spacing w:after="0" w:line="161" w:lineRule="exact"/>
        <w:rPr>
          <w:rFonts w:ascii="Arial" w:cs="Arial" w:eastAsia="Arial" w:hAnsi="Arial"/>
          <w:sz w:val="18"/>
          <w:szCs w:val="18"/>
          <w:color w:val="auto"/>
        </w:rPr>
      </w:pPr>
    </w:p>
    <w:p>
      <w:pPr>
        <w:ind w:firstLine="1735"/>
        <w:spacing w:after="0" w:line="260" w:lineRule="auto"/>
        <w:tabs>
          <w:tab w:leader="none" w:pos="2562" w:val="left"/>
        </w:tabs>
        <w:numPr>
          <w:ilvl w:val="0"/>
          <w:numId w:val="77"/>
        </w:numPr>
        <w:rPr>
          <w:rFonts w:ascii="Arial" w:cs="Arial" w:eastAsia="Arial" w:hAnsi="Arial"/>
          <w:sz w:val="20"/>
          <w:szCs w:val="20"/>
          <w:color w:val="auto"/>
        </w:rPr>
      </w:pPr>
      <w:r>
        <w:rPr>
          <w:rFonts w:ascii="Arial" w:cs="Arial" w:eastAsia="Arial" w:hAnsi="Arial"/>
          <w:sz w:val="20"/>
          <w:szCs w:val="20"/>
          <w:color w:val="auto"/>
        </w:rPr>
        <w:t>other Contingent Obligations not permitted by clauses (a) through (h) above, not to exceed $250,000 in the aggregate at any time outstanding.</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Debt</w:t>
      </w:r>
      <w:r>
        <w:rPr>
          <w:rFonts w:ascii="Arial" w:cs="Arial" w:eastAsia="Arial" w:hAnsi="Arial"/>
          <w:sz w:val="20"/>
          <w:szCs w:val="20"/>
          <w:color w:val="auto"/>
        </w:rPr>
        <w:t>” means:</w:t>
      </w:r>
    </w:p>
    <w:p>
      <w:pPr>
        <w:spacing w:after="0" w:line="222" w:lineRule="exact"/>
        <w:rPr>
          <w:sz w:val="20"/>
          <w:szCs w:val="20"/>
          <w:color w:val="auto"/>
        </w:rPr>
      </w:pPr>
    </w:p>
    <w:p>
      <w:pPr>
        <w:ind w:left="2600" w:hanging="865"/>
        <w:spacing w:after="0"/>
        <w:tabs>
          <w:tab w:leader="none" w:pos="26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Borrowers’ and their Subsidiaries’ Debt to Agent and each Lender under this Agreement and the other</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Financing Documents;</w:t>
      </w:r>
    </w:p>
    <w:p>
      <w:pPr>
        <w:spacing w:after="0" w:line="199" w:lineRule="exact"/>
        <w:rPr>
          <w:rFonts w:ascii="Arial" w:cs="Arial" w:eastAsia="Arial" w:hAnsi="Arial"/>
          <w:sz w:val="19"/>
          <w:szCs w:val="19"/>
          <w:color w:val="auto"/>
        </w:rPr>
      </w:pPr>
    </w:p>
    <w:p>
      <w:pPr>
        <w:ind w:left="2620" w:hanging="885"/>
        <w:spacing w:after="0"/>
        <w:tabs>
          <w:tab w:leader="none" w:pos="2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Debt incurred as a result of endorsing negotiable instruments received in the Ordinary Course of Business;</w:t>
      </w:r>
    </w:p>
    <w:p>
      <w:pPr>
        <w:spacing w:after="0" w:line="238" w:lineRule="exact"/>
        <w:rPr>
          <w:rFonts w:ascii="Arial" w:cs="Arial" w:eastAsia="Arial" w:hAnsi="Arial"/>
          <w:sz w:val="18"/>
          <w:szCs w:val="18"/>
          <w:color w:val="auto"/>
        </w:rPr>
      </w:pPr>
    </w:p>
    <w:p>
      <w:pPr>
        <w:ind w:firstLine="1735"/>
        <w:spacing w:after="0" w:line="287" w:lineRule="auto"/>
        <w:tabs>
          <w:tab w:leader="none" w:pos="2595" w:val="left"/>
        </w:tabs>
        <w:numPr>
          <w:ilvl w:val="0"/>
          <w:numId w:val="78"/>
        </w:numPr>
        <w:rPr>
          <w:rFonts w:ascii="Arial" w:cs="Arial" w:eastAsia="Arial" w:hAnsi="Arial"/>
          <w:sz w:val="19"/>
          <w:szCs w:val="19"/>
          <w:color w:val="auto"/>
        </w:rPr>
      </w:pPr>
      <w:r>
        <w:rPr>
          <w:rFonts w:ascii="Arial" w:cs="Arial" w:eastAsia="Arial" w:hAnsi="Arial"/>
          <w:sz w:val="19"/>
          <w:szCs w:val="19"/>
          <w:color w:val="auto"/>
        </w:rPr>
        <w:t>purchase money Debt and capital leases not to exceed $1,000,000 at any time (whether in the form of a loan or a lease) used solely to acquire equipment used in the Ordinary Course of Business and secured only by such equipment;</w:t>
      </w:r>
    </w:p>
    <w:p>
      <w:pPr>
        <w:spacing w:after="0" w:line="152" w:lineRule="exact"/>
        <w:rPr>
          <w:rFonts w:ascii="Arial" w:cs="Arial" w:eastAsia="Arial" w:hAnsi="Arial"/>
          <w:sz w:val="19"/>
          <w:szCs w:val="19"/>
          <w:color w:val="auto"/>
        </w:rPr>
      </w:pPr>
    </w:p>
    <w:p>
      <w:pPr>
        <w:ind w:left="2620" w:hanging="885"/>
        <w:spacing w:after="0"/>
        <w:tabs>
          <w:tab w:leader="none" w:pos="2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Debt existing on the Closing Date and described on Schedule 5.1 (including any Permitted Refinancings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thereof);</w:t>
      </w:r>
    </w:p>
    <w:p>
      <w:pPr>
        <w:spacing w:after="0" w:line="199" w:lineRule="exact"/>
        <w:rPr>
          <w:rFonts w:ascii="Arial" w:cs="Arial" w:eastAsia="Arial" w:hAnsi="Arial"/>
          <w:sz w:val="18"/>
          <w:szCs w:val="18"/>
          <w:color w:val="auto"/>
        </w:rPr>
      </w:pPr>
    </w:p>
    <w:p>
      <w:pPr>
        <w:jc w:val="both"/>
        <w:ind w:firstLine="1735"/>
        <w:spacing w:after="0" w:line="282" w:lineRule="auto"/>
        <w:tabs>
          <w:tab w:leader="none" w:pos="25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so long as there exists no Event of Default both immediately before and immediately after giving effect to any such transaction, Debt existing or arising under any Swap Contract,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obligations are (or were) entered into by Borrower or an Affiliate in the Ordinary Course of Business for the purpose of directly mitigating risks associated with liabilities, commitments, investments, assets, or property held or reasonably anticipated by such Person and not for purposes of speculation;</w:t>
      </w:r>
    </w:p>
    <w:p>
      <w:pPr>
        <w:spacing w:after="0" w:line="161" w:lineRule="exact"/>
        <w:rPr>
          <w:rFonts w:ascii="Arial" w:cs="Arial" w:eastAsia="Arial" w:hAnsi="Arial"/>
          <w:sz w:val="18"/>
          <w:szCs w:val="18"/>
          <w:color w:val="auto"/>
        </w:rPr>
      </w:pPr>
    </w:p>
    <w:p>
      <w:pPr>
        <w:jc w:val="both"/>
        <w:ind w:firstLine="1735"/>
        <w:spacing w:after="0" w:line="246" w:lineRule="auto"/>
        <w:tabs>
          <w:tab w:leader="none" w:pos="2573" w:val="left"/>
        </w:tabs>
        <w:numPr>
          <w:ilvl w:val="0"/>
          <w:numId w:val="78"/>
        </w:numPr>
        <w:rPr>
          <w:rFonts w:ascii="Arial" w:cs="Arial" w:eastAsia="Arial" w:hAnsi="Arial"/>
          <w:sz w:val="20"/>
          <w:szCs w:val="20"/>
          <w:color w:val="auto"/>
        </w:rPr>
      </w:pPr>
      <w:r>
        <w:rPr>
          <w:rFonts w:ascii="Arial" w:cs="Arial" w:eastAsia="Arial" w:hAnsi="Arial"/>
          <w:sz w:val="20"/>
          <w:szCs w:val="20"/>
          <w:color w:val="auto"/>
        </w:rPr>
        <w:t>Debt owed to any Person providing property, casualty, liability, or other insurance to the Credit Parties, including to finance insurance premiums, so long as the amount of such Debt is not in excess of the amount of the unpaid cost of, and shall be incurred only to defer the cost of, such insurance for the policy year in which such Debt is incurred and such Debt is outstanding only during such policy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4" w:name="page135"/>
    <w:bookmarkEnd w:id="134"/>
    <w:p>
      <w:pPr>
        <w:ind w:right="20" w:firstLine="1735"/>
        <w:spacing w:after="0" w:line="260" w:lineRule="auto"/>
        <w:tabs>
          <w:tab w:leader="none" w:pos="2606" w:val="left"/>
        </w:tabs>
        <w:numPr>
          <w:ilvl w:val="1"/>
          <w:numId w:val="79"/>
        </w:numPr>
        <w:rPr>
          <w:rFonts w:ascii="Arial" w:cs="Arial" w:eastAsia="Arial" w:hAnsi="Arial"/>
          <w:sz w:val="20"/>
          <w:szCs w:val="20"/>
          <w:color w:val="auto"/>
        </w:rPr>
      </w:pPr>
      <w:r>
        <w:rPr>
          <w:rFonts w:ascii="Arial" w:cs="Arial" w:eastAsia="Arial" w:hAnsi="Arial"/>
          <w:sz w:val="20"/>
          <w:szCs w:val="20"/>
          <w:color w:val="auto"/>
        </w:rPr>
        <w:t>trade accounts payable arising and which do not remain unpaid more than ninety (90) days past the invoice date and in the Ordinary Course of Business, or which are the subject of a Permitted Contest;</w:t>
      </w:r>
    </w:p>
    <w:p>
      <w:pPr>
        <w:spacing w:after="0" w:line="176" w:lineRule="exact"/>
        <w:rPr>
          <w:rFonts w:ascii="Arial" w:cs="Arial" w:eastAsia="Arial" w:hAnsi="Arial"/>
          <w:sz w:val="20"/>
          <w:szCs w:val="20"/>
          <w:color w:val="auto"/>
        </w:rPr>
      </w:pPr>
    </w:p>
    <w:p>
      <w:pPr>
        <w:jc w:val="both"/>
        <w:ind w:firstLine="1735"/>
        <w:spacing w:after="0" w:line="246" w:lineRule="auto"/>
        <w:tabs>
          <w:tab w:leader="none" w:pos="2606" w:val="left"/>
        </w:tabs>
        <w:numPr>
          <w:ilvl w:val="1"/>
          <w:numId w:val="79"/>
        </w:numPr>
        <w:rPr>
          <w:rFonts w:ascii="Arial" w:cs="Arial" w:eastAsia="Arial" w:hAnsi="Arial"/>
          <w:sz w:val="20"/>
          <w:szCs w:val="20"/>
          <w:color w:val="auto"/>
        </w:rPr>
      </w:pPr>
      <w:r>
        <w:rPr>
          <w:rFonts w:ascii="Arial" w:cs="Arial" w:eastAsia="Arial" w:hAnsi="Arial"/>
          <w:sz w:val="20"/>
          <w:szCs w:val="20"/>
          <w:color w:val="auto"/>
        </w:rPr>
        <w:t>without limiting the provisions of Section 5.7 with respect to any Investment by a Credit Party, Debt consisting of unsecured intercompany loans and advances (i) incurred by any Borrower owing to one or more other Borrowers, or (ii) incurred by any Excluded Foreign Subsidiary owing to any Borrower in an aggregate amount for all Excluded Foreign Subsidiaries not to exceed $100,000 incurred in any fiscal year;</w:t>
      </w:r>
    </w:p>
    <w:p>
      <w:pPr>
        <w:spacing w:after="0" w:line="191" w:lineRule="exact"/>
        <w:rPr>
          <w:rFonts w:ascii="Arial" w:cs="Arial" w:eastAsia="Arial" w:hAnsi="Arial"/>
          <w:sz w:val="20"/>
          <w:szCs w:val="20"/>
          <w:color w:val="auto"/>
        </w:rPr>
      </w:pPr>
    </w:p>
    <w:p>
      <w:pPr>
        <w:jc w:val="both"/>
        <w:ind w:firstLine="1735"/>
        <w:spacing w:after="0" w:line="272" w:lineRule="auto"/>
        <w:tabs>
          <w:tab w:leader="none" w:pos="2562"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Debt of Borrower incurred during the Wells Fargo LC Period under or pursuant to the Wells Fargo Standby Letter of Credit Agreement in respect of the Wells Fargo Letters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such Debt shall not, at any time, when combined with the Contingent Obligations set forth in clause (h) of the definition of “Permitted Contingent Obligations”, exceed</w:t>
      </w:r>
    </w:p>
    <w:p>
      <w:pPr>
        <w:ind w:left="240" w:hanging="232"/>
        <w:spacing w:after="0"/>
        <w:tabs>
          <w:tab w:leader="none" w:pos="2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$3,000,000 at any time on or prior to December 31, 2021, or (ii) $0 at any time after December 31, 2021;</w:t>
      </w:r>
    </w:p>
    <w:p>
      <w:pPr>
        <w:spacing w:after="0" w:line="199" w:lineRule="exact"/>
        <w:rPr>
          <w:rFonts w:ascii="Arial" w:cs="Arial" w:eastAsia="Arial" w:hAnsi="Arial"/>
          <w:sz w:val="20"/>
          <w:szCs w:val="20"/>
          <w:color w:val="auto"/>
        </w:rPr>
      </w:pPr>
    </w:p>
    <w:p>
      <w:pPr>
        <w:ind w:left="2580" w:hanging="845"/>
        <w:spacing w:after="0"/>
        <w:tabs>
          <w:tab w:leader="none" w:pos="2580" w:val="left"/>
        </w:tabs>
        <w:numPr>
          <w:ilvl w:val="1"/>
          <w:numId w:val="80"/>
        </w:numPr>
        <w:rPr>
          <w:rFonts w:ascii="Arial" w:cs="Arial" w:eastAsia="Arial" w:hAnsi="Arial"/>
          <w:sz w:val="20"/>
          <w:szCs w:val="20"/>
          <w:color w:val="auto"/>
        </w:rPr>
      </w:pPr>
      <w:r>
        <w:rPr>
          <w:rFonts w:ascii="Arial" w:cs="Arial" w:eastAsia="Arial" w:hAnsi="Arial"/>
          <w:sz w:val="20"/>
          <w:szCs w:val="20"/>
          <w:color w:val="auto"/>
        </w:rPr>
        <w:t>any Subordinated Debt;</w:t>
      </w:r>
    </w:p>
    <w:p>
      <w:pPr>
        <w:spacing w:after="0" w:line="215" w:lineRule="exact"/>
        <w:rPr>
          <w:rFonts w:ascii="Arial" w:cs="Arial" w:eastAsia="Arial" w:hAnsi="Arial"/>
          <w:sz w:val="20"/>
          <w:szCs w:val="20"/>
          <w:color w:val="auto"/>
        </w:rPr>
      </w:pPr>
    </w:p>
    <w:p>
      <w:pPr>
        <w:ind w:left="2620" w:hanging="885"/>
        <w:spacing w:after="0"/>
        <w:tabs>
          <w:tab w:leader="none" w:pos="2620" w:val="left"/>
        </w:tabs>
        <w:numPr>
          <w:ilvl w:val="1"/>
          <w:numId w:val="80"/>
        </w:numPr>
        <w:rPr>
          <w:rFonts w:ascii="Arial" w:cs="Arial" w:eastAsia="Arial" w:hAnsi="Arial"/>
          <w:sz w:val="20"/>
          <w:szCs w:val="20"/>
          <w:color w:val="auto"/>
        </w:rPr>
      </w:pPr>
      <w:r>
        <w:rPr>
          <w:rFonts w:ascii="Arial" w:cs="Arial" w:eastAsia="Arial" w:hAnsi="Arial"/>
          <w:sz w:val="20"/>
          <w:szCs w:val="20"/>
          <w:color w:val="auto"/>
        </w:rPr>
        <w:t>Debt consisting of Permitted Contingent Obligations;</w:t>
      </w:r>
    </w:p>
    <w:p>
      <w:pPr>
        <w:spacing w:after="0" w:line="215" w:lineRule="exact"/>
        <w:rPr>
          <w:rFonts w:ascii="Arial" w:cs="Arial" w:eastAsia="Arial" w:hAnsi="Arial"/>
          <w:sz w:val="20"/>
          <w:szCs w:val="20"/>
          <w:color w:val="auto"/>
        </w:rPr>
      </w:pPr>
    </w:p>
    <w:p>
      <w:pPr>
        <w:jc w:val="both"/>
        <w:ind w:firstLine="1735"/>
        <w:spacing w:after="0" w:line="246" w:lineRule="auto"/>
        <w:tabs>
          <w:tab w:leader="none" w:pos="2562" w:val="left"/>
        </w:tabs>
        <w:numPr>
          <w:ilvl w:val="1"/>
          <w:numId w:val="80"/>
        </w:numPr>
        <w:rPr>
          <w:rFonts w:ascii="Arial" w:cs="Arial" w:eastAsia="Arial" w:hAnsi="Arial"/>
          <w:sz w:val="20"/>
          <w:szCs w:val="20"/>
          <w:color w:val="auto"/>
        </w:rPr>
      </w:pPr>
      <w:r>
        <w:rPr>
          <w:rFonts w:ascii="Arial" w:cs="Arial" w:eastAsia="Arial" w:hAnsi="Arial"/>
          <w:sz w:val="20"/>
          <w:szCs w:val="20"/>
          <w:color w:val="auto"/>
        </w:rPr>
        <w:t>intercompany Debt arising from loans made (i) by a Borrower or Secured Guarantor to another Borrower or Secured Guarantor, (ii) by a non-Credit Party Subsidiary of a Borrower to another non-Credit Party Subsidiary of a Borrower, or (iii) any non-Credit Party Subsidiary to a Credit Party (so long as such Debt is subordinated to the Obligations owed by the Credit Parties under the Financing Documents);</w:t>
      </w:r>
    </w:p>
    <w:p>
      <w:pPr>
        <w:spacing w:after="0" w:line="191" w:lineRule="exact"/>
        <w:rPr>
          <w:rFonts w:ascii="Arial" w:cs="Arial" w:eastAsia="Arial" w:hAnsi="Arial"/>
          <w:sz w:val="20"/>
          <w:szCs w:val="20"/>
          <w:color w:val="auto"/>
        </w:rPr>
      </w:pPr>
    </w:p>
    <w:p>
      <w:pPr>
        <w:ind w:left="2660" w:hanging="925"/>
        <w:spacing w:after="0"/>
        <w:tabs>
          <w:tab w:leader="none" w:pos="2660" w:val="left"/>
        </w:tabs>
        <w:numPr>
          <w:ilvl w:val="1"/>
          <w:numId w:val="80"/>
        </w:numPr>
        <w:rPr>
          <w:rFonts w:ascii="Arial" w:cs="Arial" w:eastAsia="Arial" w:hAnsi="Arial"/>
          <w:sz w:val="20"/>
          <w:szCs w:val="20"/>
          <w:color w:val="auto"/>
        </w:rPr>
      </w:pPr>
      <w:r>
        <w:rPr>
          <w:rFonts w:ascii="Arial" w:cs="Arial" w:eastAsia="Arial" w:hAnsi="Arial"/>
          <w:sz w:val="20"/>
          <w:szCs w:val="20"/>
          <w:color w:val="auto"/>
        </w:rPr>
        <w:t>Debt arising from the honoring of an Instrument drawn against insufficient funds;</w:t>
      </w:r>
    </w:p>
    <w:p>
      <w:pPr>
        <w:spacing w:after="0" w:line="215" w:lineRule="exact"/>
        <w:rPr>
          <w:rFonts w:ascii="Arial" w:cs="Arial" w:eastAsia="Arial" w:hAnsi="Arial"/>
          <w:sz w:val="20"/>
          <w:szCs w:val="20"/>
          <w:color w:val="auto"/>
        </w:rPr>
      </w:pPr>
    </w:p>
    <w:p>
      <w:pPr>
        <w:ind w:firstLine="1735"/>
        <w:spacing w:after="0" w:line="260" w:lineRule="auto"/>
        <w:tabs>
          <w:tab w:leader="none" w:pos="2606" w:val="left"/>
        </w:tabs>
        <w:numPr>
          <w:ilvl w:val="1"/>
          <w:numId w:val="80"/>
        </w:numPr>
        <w:rPr>
          <w:rFonts w:ascii="Arial" w:cs="Arial" w:eastAsia="Arial" w:hAnsi="Arial"/>
          <w:sz w:val="20"/>
          <w:szCs w:val="20"/>
          <w:color w:val="auto"/>
        </w:rPr>
      </w:pPr>
      <w:r>
        <w:rPr>
          <w:rFonts w:ascii="Arial" w:cs="Arial" w:eastAsia="Arial" w:hAnsi="Arial"/>
          <w:sz w:val="20"/>
          <w:szCs w:val="20"/>
          <w:color w:val="auto"/>
        </w:rPr>
        <w:t>Debt related to commercial credit cards that, in the aggregate outstanding at any one time, does not exceed $400,000 and is secured solely by cash collateral maintained in a Credit Card Cash Collateral Account;</w:t>
      </w:r>
    </w:p>
    <w:p>
      <w:pPr>
        <w:spacing w:after="0" w:line="176" w:lineRule="exact"/>
        <w:rPr>
          <w:rFonts w:ascii="Arial" w:cs="Arial" w:eastAsia="Arial" w:hAnsi="Arial"/>
          <w:sz w:val="20"/>
          <w:szCs w:val="20"/>
          <w:color w:val="auto"/>
        </w:rPr>
      </w:pPr>
    </w:p>
    <w:p>
      <w:pPr>
        <w:ind w:firstLine="1735"/>
        <w:spacing w:after="0" w:line="260" w:lineRule="auto"/>
        <w:tabs>
          <w:tab w:leader="none" w:pos="2606" w:val="left"/>
        </w:tabs>
        <w:numPr>
          <w:ilvl w:val="1"/>
          <w:numId w:val="80"/>
        </w:numPr>
        <w:rPr>
          <w:rFonts w:ascii="Arial" w:cs="Arial" w:eastAsia="Arial" w:hAnsi="Arial"/>
          <w:sz w:val="20"/>
          <w:szCs w:val="20"/>
          <w:color w:val="auto"/>
        </w:rPr>
      </w:pPr>
      <w:r>
        <w:rPr>
          <w:rFonts w:ascii="Arial" w:cs="Arial" w:eastAsia="Arial" w:hAnsi="Arial"/>
          <w:sz w:val="20"/>
          <w:szCs w:val="20"/>
          <w:color w:val="auto"/>
        </w:rPr>
        <w:t>Debt in respect of taxes, assessments, or government charges to the extent not resulting in an Event of Default and which is the subject of a Permitted Contest; and</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unsecured debt not included in clauses (a) through (o) above that in the aggregate outstanding at any time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does not exceed $500,000.</w:t>
      </w:r>
    </w:p>
    <w:p>
      <w:pPr>
        <w:spacing w:after="0" w:line="19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Distributions</w:t>
      </w:r>
      <w:r>
        <w:rPr>
          <w:rFonts w:ascii="Arial" w:cs="Arial" w:eastAsia="Arial" w:hAnsi="Arial"/>
          <w:sz w:val="20"/>
          <w:szCs w:val="20"/>
          <w:color w:val="auto"/>
        </w:rPr>
        <w:t xml:space="preserve">” means the following Distributions: (a) dividends by any Subsidiary of any Borrower or Secured Guarantor to such parent Borrower or Secured Guarantor; (b) dividends payable solely in common stock; and (c) repurchases of stock of former employees, directors or consultants pursuant to stock purchase agreements so long as an Event of Default does not exist at the time of such repurchase and would not exist after giving effect to such repurchase,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such repurchase does not exceed $250,000 in the aggregate per fiscal year.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Investments</w:t>
      </w:r>
      <w:r>
        <w:rPr>
          <w:rFonts w:ascii="Arial" w:cs="Arial" w:eastAsia="Arial" w:hAnsi="Arial"/>
          <w:sz w:val="20"/>
          <w:szCs w:val="20"/>
          <w:color w:val="auto"/>
        </w:rPr>
        <w:t>” means:</w:t>
      </w:r>
    </w:p>
    <w:p>
      <w:pPr>
        <w:spacing w:after="0" w:line="238" w:lineRule="exact"/>
        <w:rPr>
          <w:sz w:val="20"/>
          <w:szCs w:val="20"/>
          <w:color w:val="auto"/>
        </w:rPr>
      </w:pPr>
    </w:p>
    <w:p>
      <w:pPr>
        <w:ind w:left="2600" w:hanging="865"/>
        <w:spacing w:after="0"/>
        <w:tabs>
          <w:tab w:leader="none" w:pos="2600" w:val="left"/>
        </w:tabs>
        <w:numPr>
          <w:ilvl w:val="0"/>
          <w:numId w:val="81"/>
        </w:numPr>
        <w:rPr>
          <w:rFonts w:ascii="Arial" w:cs="Arial" w:eastAsia="Arial" w:hAnsi="Arial"/>
          <w:sz w:val="20"/>
          <w:szCs w:val="20"/>
          <w:color w:val="auto"/>
        </w:rPr>
      </w:pPr>
      <w:r>
        <w:rPr>
          <w:rFonts w:ascii="Arial" w:cs="Arial" w:eastAsia="Arial" w:hAnsi="Arial"/>
          <w:sz w:val="18"/>
          <w:szCs w:val="18"/>
          <w:color w:val="auto"/>
        </w:rPr>
        <w:t>Investments shown on Schedule 5.7 and existing on the Closing Date;</w:t>
      </w:r>
    </w:p>
    <w:p>
      <w:pPr>
        <w:spacing w:after="0" w:line="215" w:lineRule="exact"/>
        <w:rPr>
          <w:rFonts w:ascii="Arial" w:cs="Arial" w:eastAsia="Arial" w:hAnsi="Arial"/>
          <w:sz w:val="20"/>
          <w:szCs w:val="20"/>
          <w:color w:val="auto"/>
        </w:rPr>
      </w:pPr>
    </w:p>
    <w:p>
      <w:pPr>
        <w:ind w:left="2620" w:hanging="885"/>
        <w:spacing w:after="0"/>
        <w:tabs>
          <w:tab w:leader="none" w:pos="2620" w:val="left"/>
        </w:tabs>
        <w:numPr>
          <w:ilvl w:val="0"/>
          <w:numId w:val="81"/>
        </w:numPr>
        <w:rPr>
          <w:rFonts w:ascii="Arial" w:cs="Arial" w:eastAsia="Arial" w:hAnsi="Arial"/>
          <w:sz w:val="20"/>
          <w:szCs w:val="20"/>
          <w:color w:val="auto"/>
        </w:rPr>
      </w:pPr>
      <w:r>
        <w:rPr>
          <w:rFonts w:ascii="Arial" w:cs="Arial" w:eastAsia="Arial" w:hAnsi="Arial"/>
          <w:sz w:val="18"/>
          <w:szCs w:val="18"/>
          <w:color w:val="auto"/>
        </w:rPr>
        <w:t>to the extent constituting an Investment, cash and cash equivalents owned by such Person;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35" w:name="page136"/>
    <w:bookmarkEnd w:id="135"/>
    <w:p>
      <w:pPr>
        <w:ind w:left="2600" w:hanging="865"/>
        <w:spacing w:after="0"/>
        <w:tabs>
          <w:tab w:leader="none" w:pos="2600" w:val="left"/>
        </w:tabs>
        <w:numPr>
          <w:ilvl w:val="0"/>
          <w:numId w:val="82"/>
        </w:numPr>
        <w:rPr>
          <w:rFonts w:ascii="Arial" w:cs="Arial" w:eastAsia="Arial" w:hAnsi="Arial"/>
          <w:sz w:val="18"/>
          <w:szCs w:val="18"/>
          <w:color w:val="auto"/>
        </w:rPr>
      </w:pPr>
      <w:r>
        <w:rPr>
          <w:rFonts w:ascii="Arial" w:cs="Arial" w:eastAsia="Arial" w:hAnsi="Arial"/>
          <w:sz w:val="16"/>
          <w:szCs w:val="16"/>
          <w:color w:val="auto"/>
        </w:rPr>
        <w:t>Investments consisting of the endorsement of negotiable instruments for deposit or collection or similar transactions in</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Ordinary Course of Business;</w:t>
      </w:r>
    </w:p>
    <w:p>
      <w:pPr>
        <w:spacing w:after="0" w:line="222" w:lineRule="exact"/>
        <w:rPr>
          <w:rFonts w:ascii="Arial" w:cs="Arial" w:eastAsia="Arial" w:hAnsi="Arial"/>
          <w:sz w:val="18"/>
          <w:szCs w:val="18"/>
          <w:color w:val="auto"/>
        </w:rPr>
      </w:pPr>
    </w:p>
    <w:p>
      <w:pPr>
        <w:jc w:val="both"/>
        <w:ind w:firstLine="1735"/>
        <w:spacing w:after="0" w:line="250" w:lineRule="auto"/>
        <w:tabs>
          <w:tab w:leader="none" w:pos="2606" w:val="left"/>
        </w:tabs>
        <w:numPr>
          <w:ilvl w:val="0"/>
          <w:numId w:val="82"/>
        </w:numPr>
        <w:rPr>
          <w:rFonts w:ascii="Arial" w:cs="Arial" w:eastAsia="Arial" w:hAnsi="Arial"/>
          <w:sz w:val="20"/>
          <w:szCs w:val="20"/>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Borrowers or their Subsidiaries pursuant to employee stock purchase plans or agreements approved by Borrowers’ Board of Directors (or other governing body), but the aggregate of all such loans outstanding may not exceed $250,000 at any time;</w:t>
      </w:r>
    </w:p>
    <w:p>
      <w:pPr>
        <w:spacing w:after="0" w:line="207" w:lineRule="exact"/>
        <w:rPr>
          <w:rFonts w:ascii="Arial" w:cs="Arial" w:eastAsia="Arial" w:hAnsi="Arial"/>
          <w:sz w:val="20"/>
          <w:szCs w:val="20"/>
          <w:color w:val="auto"/>
        </w:rPr>
      </w:pPr>
    </w:p>
    <w:p>
      <w:pPr>
        <w:ind w:firstLine="1735"/>
        <w:spacing w:after="0" w:line="279" w:lineRule="auto"/>
        <w:tabs>
          <w:tab w:leader="none" w:pos="2595" w:val="left"/>
        </w:tabs>
        <w:numPr>
          <w:ilvl w:val="0"/>
          <w:numId w:val="82"/>
        </w:numPr>
        <w:rPr>
          <w:rFonts w:ascii="Arial" w:cs="Arial" w:eastAsia="Arial" w:hAnsi="Arial"/>
          <w:sz w:val="19"/>
          <w:szCs w:val="19"/>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80" w:lineRule="exact"/>
        <w:rPr>
          <w:rFonts w:ascii="Arial" w:cs="Arial" w:eastAsia="Arial" w:hAnsi="Arial"/>
          <w:sz w:val="19"/>
          <w:szCs w:val="19"/>
          <w:color w:val="auto"/>
        </w:rPr>
      </w:pPr>
    </w:p>
    <w:p>
      <w:pPr>
        <w:jc w:val="both"/>
        <w:ind w:firstLine="1735"/>
        <w:spacing w:after="0" w:line="250" w:lineRule="auto"/>
        <w:tabs>
          <w:tab w:leader="none" w:pos="2573" w:val="left"/>
        </w:tabs>
        <w:numPr>
          <w:ilvl w:val="0"/>
          <w:numId w:val="82"/>
        </w:numPr>
        <w:rPr>
          <w:rFonts w:ascii="Arial" w:cs="Arial" w:eastAsia="Arial" w:hAnsi="Arial"/>
          <w:sz w:val="20"/>
          <w:szCs w:val="20"/>
          <w:color w:val="auto"/>
        </w:rPr>
      </w:pPr>
      <w:r>
        <w:rPr>
          <w:rFonts w:ascii="Arial" w:cs="Arial" w:eastAsia="Arial" w:hAnsi="Arial"/>
          <w:sz w:val="18"/>
          <w:szCs w:val="18"/>
          <w:color w:val="auto"/>
        </w:rPr>
        <w:t xml:space="preserve">Investments consisting of notes receivable of, or prepaid royalties and other credit extensions, to customers and suppliers who are not Affiliates, in the Ordinary Course of Business,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subpart (f) shall not apply to Investments of Borrowers in any Subsidiary;</w:t>
      </w:r>
    </w:p>
    <w:p>
      <w:pPr>
        <w:spacing w:after="0" w:line="206" w:lineRule="exact"/>
        <w:rPr>
          <w:rFonts w:ascii="Arial" w:cs="Arial" w:eastAsia="Arial" w:hAnsi="Arial"/>
          <w:sz w:val="20"/>
          <w:szCs w:val="20"/>
          <w:color w:val="auto"/>
        </w:rPr>
      </w:pPr>
    </w:p>
    <w:p>
      <w:pPr>
        <w:ind w:firstLine="1735"/>
        <w:spacing w:after="0" w:line="250" w:lineRule="auto"/>
        <w:tabs>
          <w:tab w:leader="none" w:pos="2606" w:val="left"/>
        </w:tabs>
        <w:numPr>
          <w:ilvl w:val="0"/>
          <w:numId w:val="82"/>
        </w:numPr>
        <w:rPr>
          <w:rFonts w:ascii="Arial" w:cs="Arial" w:eastAsia="Arial" w:hAnsi="Arial"/>
          <w:sz w:val="20"/>
          <w:szCs w:val="20"/>
          <w:color w:val="auto"/>
        </w:rPr>
      </w:pPr>
      <w:r>
        <w:rPr>
          <w:rFonts w:ascii="Arial" w:cs="Arial" w:eastAsia="Arial" w:hAnsi="Arial"/>
          <w:sz w:val="18"/>
          <w:szCs w:val="18"/>
          <w:color w:val="auto"/>
        </w:rPr>
        <w:t>Investments consisting of Deposit Accounts or Securities Accounts in which Agent has received a Deposit Account Control Agreement or Securities Account Control Agreement, as applicable (other than Excluded Accounts);</w:t>
      </w:r>
    </w:p>
    <w:p>
      <w:pPr>
        <w:spacing w:after="0" w:line="206" w:lineRule="exact"/>
        <w:rPr>
          <w:rFonts w:ascii="Arial" w:cs="Arial" w:eastAsia="Arial" w:hAnsi="Arial"/>
          <w:sz w:val="20"/>
          <w:szCs w:val="20"/>
          <w:color w:val="auto"/>
        </w:rPr>
      </w:pPr>
    </w:p>
    <w:p>
      <w:pPr>
        <w:ind w:left="2620" w:hanging="885"/>
        <w:spacing w:after="0"/>
        <w:tabs>
          <w:tab w:leader="none" w:pos="2620" w:val="left"/>
        </w:tabs>
        <w:numPr>
          <w:ilvl w:val="0"/>
          <w:numId w:val="82"/>
        </w:numPr>
        <w:rPr>
          <w:rFonts w:ascii="Arial" w:cs="Arial" w:eastAsia="Arial" w:hAnsi="Arial"/>
          <w:sz w:val="20"/>
          <w:szCs w:val="20"/>
          <w:color w:val="auto"/>
        </w:rPr>
      </w:pPr>
      <w:r>
        <w:rPr>
          <w:rFonts w:ascii="Arial" w:cs="Arial" w:eastAsia="Arial" w:hAnsi="Arial"/>
          <w:sz w:val="18"/>
          <w:szCs w:val="18"/>
          <w:color w:val="auto"/>
        </w:rPr>
        <w:t>[Reserved];</w:t>
      </w:r>
    </w:p>
    <w:p>
      <w:pPr>
        <w:spacing w:after="0" w:line="215" w:lineRule="exact"/>
        <w:rPr>
          <w:rFonts w:ascii="Arial" w:cs="Arial" w:eastAsia="Arial" w:hAnsi="Arial"/>
          <w:sz w:val="20"/>
          <w:szCs w:val="20"/>
          <w:color w:val="auto"/>
        </w:rPr>
      </w:pPr>
    </w:p>
    <w:p>
      <w:pPr>
        <w:ind w:left="2580" w:hanging="845"/>
        <w:spacing w:after="0"/>
        <w:tabs>
          <w:tab w:leader="none" w:pos="2580" w:val="left"/>
        </w:tabs>
        <w:numPr>
          <w:ilvl w:val="0"/>
          <w:numId w:val="82"/>
        </w:numPr>
        <w:rPr>
          <w:rFonts w:ascii="Arial" w:cs="Arial" w:eastAsia="Arial" w:hAnsi="Arial"/>
          <w:sz w:val="20"/>
          <w:szCs w:val="20"/>
          <w:color w:val="auto"/>
        </w:rPr>
      </w:pPr>
      <w:r>
        <w:rPr>
          <w:rFonts w:ascii="Arial" w:cs="Arial" w:eastAsia="Arial" w:hAnsi="Arial"/>
          <w:sz w:val="18"/>
          <w:szCs w:val="18"/>
          <w:color w:val="auto"/>
        </w:rPr>
        <w:t>Investments by any Borrower or Secured Guarantor in another Borrower or Secured Guarantor;</w:t>
      </w:r>
    </w:p>
    <w:p>
      <w:pPr>
        <w:spacing w:after="0" w:line="215" w:lineRule="exact"/>
        <w:rPr>
          <w:rFonts w:ascii="Arial" w:cs="Arial" w:eastAsia="Arial" w:hAnsi="Arial"/>
          <w:sz w:val="20"/>
          <w:szCs w:val="20"/>
          <w:color w:val="auto"/>
        </w:rPr>
      </w:pPr>
    </w:p>
    <w:p>
      <w:pPr>
        <w:jc w:val="both"/>
        <w:ind w:firstLine="1735"/>
        <w:spacing w:after="0" w:line="268" w:lineRule="auto"/>
        <w:tabs>
          <w:tab w:leader="none" w:pos="2562" w:val="left"/>
        </w:tabs>
        <w:numPr>
          <w:ilvl w:val="0"/>
          <w:numId w:val="82"/>
        </w:numPr>
        <w:rPr>
          <w:rFonts w:ascii="Arial" w:cs="Arial" w:eastAsia="Arial" w:hAnsi="Arial"/>
          <w:sz w:val="19"/>
          <w:szCs w:val="19"/>
          <w:color w:val="auto"/>
        </w:rPr>
      </w:pPr>
      <w:r>
        <w:rPr>
          <w:rFonts w:ascii="Arial" w:cs="Arial" w:eastAsia="Arial" w:hAnsi="Arial"/>
          <w:sz w:val="17"/>
          <w:szCs w:val="17"/>
          <w:color w:val="auto"/>
        </w:rPr>
        <w:t xml:space="preserve">Investments of cash and cash equivalents in an Excluded Foreign Subsidiary (either directly or through an Excluded Domestic Holdco) but solely to the extent that the aggregate amount of such Investments with respect to all Excluded Foreign Subsidiaries does not, at any time, exceed $100,000 in the aggregate in any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aggregate amount of Investments made in any Excluded Foreign Subsidiary exceed the amount necessary (as reasonably determined by the Borrowers) to fund the current and projected annual operating expenses of such Excluded Foreign Subsidiary (taking into account its revenue from other sources);</w:t>
      </w:r>
    </w:p>
    <w:p>
      <w:pPr>
        <w:spacing w:after="0" w:line="192" w:lineRule="exact"/>
        <w:rPr>
          <w:rFonts w:ascii="Arial" w:cs="Arial" w:eastAsia="Arial" w:hAnsi="Arial"/>
          <w:sz w:val="19"/>
          <w:szCs w:val="19"/>
          <w:color w:val="auto"/>
        </w:rPr>
      </w:pPr>
    </w:p>
    <w:p>
      <w:pPr>
        <w:ind w:firstLine="1735"/>
        <w:spacing w:after="0" w:line="250" w:lineRule="auto"/>
        <w:tabs>
          <w:tab w:leader="none" w:pos="2606" w:val="left"/>
        </w:tabs>
        <w:numPr>
          <w:ilvl w:val="0"/>
          <w:numId w:val="82"/>
        </w:numPr>
        <w:rPr>
          <w:rFonts w:ascii="Arial" w:cs="Arial" w:eastAsia="Arial" w:hAnsi="Arial"/>
          <w:sz w:val="20"/>
          <w:szCs w:val="20"/>
          <w:color w:val="auto"/>
        </w:rPr>
      </w:pPr>
      <w:r>
        <w:rPr>
          <w:rFonts w:ascii="Arial" w:cs="Arial" w:eastAsia="Arial" w:hAnsi="Arial"/>
          <w:sz w:val="18"/>
          <w:szCs w:val="18"/>
          <w:color w:val="auto"/>
        </w:rPr>
        <w:t>Investments by any Excluded Foreign Subsidiary or Excluded Domestic Holdco in any other Excluded Foreign Subsidiary or Excluded Domestic Holdco;</w:t>
      </w:r>
    </w:p>
    <w:p>
      <w:pPr>
        <w:spacing w:after="0" w:line="206" w:lineRule="exact"/>
        <w:rPr>
          <w:rFonts w:ascii="Arial" w:cs="Arial" w:eastAsia="Arial" w:hAnsi="Arial"/>
          <w:sz w:val="20"/>
          <w:szCs w:val="20"/>
          <w:color w:val="auto"/>
        </w:rPr>
      </w:pPr>
    </w:p>
    <w:p>
      <w:pPr>
        <w:ind w:left="2580" w:hanging="845"/>
        <w:spacing w:after="0"/>
        <w:tabs>
          <w:tab w:leader="none" w:pos="2580" w:val="left"/>
        </w:tabs>
        <w:numPr>
          <w:ilvl w:val="0"/>
          <w:numId w:val="82"/>
        </w:numPr>
        <w:rPr>
          <w:rFonts w:ascii="Arial" w:cs="Arial" w:eastAsia="Arial" w:hAnsi="Arial"/>
          <w:sz w:val="20"/>
          <w:szCs w:val="20"/>
          <w:color w:val="auto"/>
        </w:rPr>
      </w:pPr>
      <w:r>
        <w:rPr>
          <w:rFonts w:ascii="Arial" w:cs="Arial" w:eastAsia="Arial" w:hAnsi="Arial"/>
          <w:sz w:val="18"/>
          <w:szCs w:val="18"/>
          <w:color w:val="auto"/>
        </w:rPr>
        <w:t>to the extent constituting an Investment, the entering into of any Permitted License;</w:t>
      </w:r>
    </w:p>
    <w:p>
      <w:pPr>
        <w:spacing w:after="0" w:line="215" w:lineRule="exact"/>
        <w:rPr>
          <w:rFonts w:ascii="Arial" w:cs="Arial" w:eastAsia="Arial" w:hAnsi="Arial"/>
          <w:sz w:val="20"/>
          <w:szCs w:val="20"/>
          <w:color w:val="auto"/>
        </w:rPr>
      </w:pPr>
    </w:p>
    <w:p>
      <w:pPr>
        <w:jc w:val="both"/>
        <w:ind w:firstLine="1735"/>
        <w:spacing w:after="0" w:line="250" w:lineRule="auto"/>
        <w:tabs>
          <w:tab w:leader="none" w:pos="2661" w:val="left"/>
        </w:tabs>
        <w:numPr>
          <w:ilvl w:val="0"/>
          <w:numId w:val="82"/>
        </w:numPr>
        <w:rPr>
          <w:rFonts w:ascii="Arial" w:cs="Arial" w:eastAsia="Arial" w:hAnsi="Arial"/>
          <w:sz w:val="20"/>
          <w:szCs w:val="20"/>
          <w:color w:val="auto"/>
        </w:rPr>
      </w:pPr>
      <w:r>
        <w:rPr>
          <w:rFonts w:ascii="Arial" w:cs="Arial" w:eastAsia="Arial" w:hAnsi="Arial"/>
          <w:sz w:val="18"/>
          <w:szCs w:val="18"/>
          <w:color w:val="auto"/>
        </w:rPr>
        <w:t xml:space="preserve">so long as no Event of Default exists or would arise as a result thereof, (i) in-licenses by Borrowers or their Subsidiaries of Intellectual Property (and rights thereto) and other technology solely in furtherance of preclinical research and development in the areas of hematology, infectious diseases and immune-oncology, and (ii) (x) in-licenses by Borrowers or their Subsidiaries of Intellectual Property (and rights thereto) and other technology solely in furtherance of clinical research and development in the areas of hematology, infectious diseases and immune-oncology, and (y) in-licenses by Borrowers or their Subsidiaries of Intellectual Property (and rights thereto) and other technology that a Borrower believes to be reasonably useful or necessary in pursuit of development and/or commercialization of its existing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aggregate consideration paid or payable by Credit Parties or their Subsidiaries in connection with such in-licenses pursuant to this clause (ii) exceed $500,000 in any calendar year;</w:t>
      </w:r>
    </w:p>
    <w:p>
      <w:pPr>
        <w:spacing w:after="0" w:line="208" w:lineRule="exact"/>
        <w:rPr>
          <w:rFonts w:ascii="Arial" w:cs="Arial" w:eastAsia="Arial" w:hAnsi="Arial"/>
          <w:sz w:val="20"/>
          <w:szCs w:val="20"/>
          <w:color w:val="auto"/>
        </w:rPr>
      </w:pPr>
    </w:p>
    <w:p>
      <w:pPr>
        <w:ind w:firstLine="1735"/>
        <w:spacing w:after="0" w:line="250" w:lineRule="auto"/>
        <w:tabs>
          <w:tab w:leader="none" w:pos="2606" w:val="left"/>
        </w:tabs>
        <w:numPr>
          <w:ilvl w:val="0"/>
          <w:numId w:val="82"/>
        </w:numPr>
        <w:rPr>
          <w:rFonts w:ascii="Arial" w:cs="Arial" w:eastAsia="Arial" w:hAnsi="Arial"/>
          <w:sz w:val="20"/>
          <w:szCs w:val="20"/>
          <w:color w:val="auto"/>
        </w:rPr>
      </w:pPr>
      <w:r>
        <w:rPr>
          <w:rFonts w:ascii="Arial" w:cs="Arial" w:eastAsia="Arial" w:hAnsi="Arial"/>
          <w:sz w:val="18"/>
          <w:szCs w:val="18"/>
          <w:color w:val="auto"/>
        </w:rPr>
        <w:t>Investments consisting of extensions of credit in the nature of Accounts or notes receivable arising from the grant of trade credit in the Ordinary Course of Business;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6" w:name="page137"/>
    <w:bookmarkEnd w:id="136"/>
    <w:p>
      <w:pPr>
        <w:ind w:left="2620" w:hanging="885"/>
        <w:spacing w:after="0"/>
        <w:tabs>
          <w:tab w:leader="none" w:pos="2620" w:val="left"/>
        </w:tabs>
        <w:numPr>
          <w:ilvl w:val="0"/>
          <w:numId w:val="83"/>
        </w:numPr>
        <w:rPr>
          <w:rFonts w:ascii="Arial" w:cs="Arial" w:eastAsia="Arial" w:hAnsi="Arial"/>
          <w:sz w:val="20"/>
          <w:szCs w:val="20"/>
          <w:color w:val="auto"/>
        </w:rPr>
      </w:pPr>
      <w:r>
        <w:rPr>
          <w:rFonts w:ascii="Arial" w:cs="Arial" w:eastAsia="Arial" w:hAnsi="Arial"/>
          <w:sz w:val="18"/>
          <w:szCs w:val="18"/>
          <w:color w:val="auto"/>
        </w:rPr>
        <w:t>other Investments of cash and cash equivalents in an amount not exceeding $500,000 in the aggregate.</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IXINITY Royalty Stream Disposition</w:t>
      </w:r>
      <w:r>
        <w:rPr>
          <w:rFonts w:ascii="Arial" w:cs="Arial" w:eastAsia="Arial" w:hAnsi="Arial"/>
          <w:sz w:val="16"/>
          <w:szCs w:val="16"/>
          <w:color w:val="auto"/>
        </w:rPr>
        <w:t xml:space="preserve">” means any bona fide nonrecourse sale of all or any portion of the IXINITY Royalty Stream to a third party or third parties;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unless (i) Agent shall otherwise consent in writing (such consent not to be unreasonably withheld or delayed) or (ii) the proceeds of such sale are used to contemporaneously (and in any event on the same calendar day as such sale) to pay all Obligations in full, no Event of Default has occurred and is continuing at the time such sale is consummated or would result therefrom, (b) Agent shall have received at least three (3) Business Days’ prior notification and substantially complete draft documentation pursuant to which the Permitted IXINITY Royalty Stream Disposition will be consummated, (c) such sale is for fair consideration and is on commercially reasonable terms and has been approved by the Aptevo Therapeutics Board of Directors, (d) the unrestricted net cash proceeds received by Borrowers as an upfront payment (not subject to any contractual right of refund or recoupment) on the date the first such sale is consummated are greater than or equal to $5,000,000, (e) such sale is not prohibited by, or otherwise in violation of, the terms of the IXINITY Royalty Agreement or applicable Law and (f) on the date any such sale is consummated, Borrower has made the required prepayment in accordance with Section 2.1(a)(ii)(B)(vi). Without limiting the foregoing in any way, the parties agree that the Permitted IXINITY Royalty Stream Disposition may involve the creation of an IXINITY Royalty Excluded Deposit Account;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Borrowers and their Subsidiaries shall have no liability to any purchaser or other party for any failure of Medexus Pharma, Inc. or any of its successors or affiliates to make any payments in respect of any portion of the IXINITY Royalty Stream that has been disposed of pursuant to a Permitted IXINITY Royalty Stream Disposition.</w:t>
      </w:r>
    </w:p>
    <w:p>
      <w:pPr>
        <w:spacing w:after="0" w:line="6"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License</w:t>
      </w:r>
      <w:r>
        <w:rPr>
          <w:rFonts w:ascii="Arial" w:cs="Arial" w:eastAsia="Arial" w:hAnsi="Arial"/>
          <w:sz w:val="18"/>
          <w:szCs w:val="18"/>
          <w:color w:val="auto"/>
        </w:rPr>
        <w:t>” means so long as no Event of Default has occurred and is continuing at the time such license is granted or would result from the granting thereof:</w:t>
      </w:r>
    </w:p>
    <w:p>
      <w:pPr>
        <w:spacing w:after="0" w:line="2" w:lineRule="exact"/>
        <w:rPr>
          <w:sz w:val="20"/>
          <w:szCs w:val="20"/>
          <w:color w:val="auto"/>
        </w:rPr>
      </w:pPr>
    </w:p>
    <w:p>
      <w:pPr>
        <w:ind w:left="2600" w:hanging="865"/>
        <w:spacing w:after="0"/>
        <w:tabs>
          <w:tab w:leader="none" w:pos="2600" w:val="left"/>
        </w:tabs>
        <w:numPr>
          <w:ilvl w:val="0"/>
          <w:numId w:val="84"/>
        </w:numPr>
        <w:rPr>
          <w:rFonts w:ascii="Arial" w:cs="Arial" w:eastAsia="Arial" w:hAnsi="Arial"/>
          <w:sz w:val="18"/>
          <w:szCs w:val="18"/>
          <w:color w:val="auto"/>
        </w:rPr>
      </w:pPr>
      <w:r>
        <w:rPr>
          <w:rFonts w:ascii="Arial" w:cs="Arial" w:eastAsia="Arial" w:hAnsi="Arial"/>
          <w:sz w:val="16"/>
          <w:szCs w:val="16"/>
          <w:color w:val="auto"/>
        </w:rPr>
        <w:t>any license or sublicense of Intellectual Property rights (including licenses or sublicenses thereto) of a Credit Party to a</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Borrower or Secured Guarantor;</w:t>
      </w:r>
    </w:p>
    <w:p>
      <w:pPr>
        <w:spacing w:after="0" w:line="222" w:lineRule="exact"/>
        <w:rPr>
          <w:rFonts w:ascii="Arial" w:cs="Arial" w:eastAsia="Arial" w:hAnsi="Arial"/>
          <w:sz w:val="18"/>
          <w:szCs w:val="18"/>
          <w:color w:val="auto"/>
        </w:rPr>
      </w:pPr>
    </w:p>
    <w:p>
      <w:pPr>
        <w:jc w:val="both"/>
        <w:ind w:firstLine="1735"/>
        <w:spacing w:after="0" w:line="250" w:lineRule="auto"/>
        <w:tabs>
          <w:tab w:leader="none" w:pos="2606" w:val="left"/>
        </w:tabs>
        <w:numPr>
          <w:ilvl w:val="0"/>
          <w:numId w:val="84"/>
        </w:numPr>
        <w:rPr>
          <w:rFonts w:ascii="Arial" w:cs="Arial" w:eastAsia="Arial" w:hAnsi="Arial"/>
          <w:sz w:val="20"/>
          <w:szCs w:val="20"/>
          <w:color w:val="auto"/>
        </w:rPr>
      </w:pPr>
      <w:r>
        <w:rPr>
          <w:rFonts w:ascii="Arial" w:cs="Arial" w:eastAsia="Arial" w:hAnsi="Arial"/>
          <w:sz w:val="18"/>
          <w:szCs w:val="18"/>
          <w:color w:val="auto"/>
        </w:rPr>
        <w:t>any non-exclusive license or sublicense of Intellectual Property rights (including licenses or sublicenses thereto) of Borrower or its Subsidiaries so long as all such licenses are granted to third parties or Subsidiaries in the Ordinary Course of Business, do not result in a legal transfer of title to the licensed property, and (except in the case of non-exclusive licenses by a Credit Party to a Subsidiary thereof) have been granted in exchange for fair consideration;</w:t>
      </w:r>
    </w:p>
    <w:p>
      <w:pPr>
        <w:spacing w:after="0" w:line="207" w:lineRule="exact"/>
        <w:rPr>
          <w:rFonts w:ascii="Arial" w:cs="Arial" w:eastAsia="Arial" w:hAnsi="Arial"/>
          <w:sz w:val="20"/>
          <w:szCs w:val="20"/>
          <w:color w:val="auto"/>
        </w:rPr>
      </w:pPr>
    </w:p>
    <w:p>
      <w:pPr>
        <w:jc w:val="both"/>
        <w:ind w:firstLine="1735"/>
        <w:spacing w:after="0" w:line="250" w:lineRule="auto"/>
        <w:tabs>
          <w:tab w:leader="none" w:pos="2682" w:val="left"/>
        </w:tabs>
        <w:numPr>
          <w:ilvl w:val="0"/>
          <w:numId w:val="84"/>
        </w:numPr>
        <w:rPr>
          <w:rFonts w:ascii="Arial" w:cs="Arial" w:eastAsia="Arial" w:hAnsi="Arial"/>
          <w:sz w:val="20"/>
          <w:szCs w:val="20"/>
          <w:color w:val="auto"/>
        </w:rPr>
      </w:pPr>
      <w:r>
        <w:rPr>
          <w:rFonts w:ascii="Arial" w:cs="Arial" w:eastAsia="Arial" w:hAnsi="Arial"/>
          <w:sz w:val="18"/>
          <w:szCs w:val="18"/>
          <w:color w:val="auto"/>
        </w:rPr>
        <w:t>any exclusive license or sublicense of Intellectual Property rights (including licenses or sublicenses thereto) of Borrower or its Subsidiaries to a third party to the extent such Intellectual Property rights relate solely to discrete clinical Products and so long as such licenses do not result in a legal transfer of title to the licensed property, are exclusive solely as to discrete geographical areas outside of North America, and have been granted in exchange for fair consideration;</w:t>
      </w:r>
    </w:p>
    <w:p>
      <w:pPr>
        <w:spacing w:after="0" w:line="207"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84"/>
        </w:numPr>
        <w:rPr>
          <w:rFonts w:ascii="Arial" w:cs="Arial" w:eastAsia="Arial" w:hAnsi="Arial"/>
          <w:sz w:val="20"/>
          <w:szCs w:val="20"/>
          <w:color w:val="auto"/>
        </w:rPr>
      </w:pPr>
      <w:r>
        <w:rPr>
          <w:rFonts w:ascii="Arial" w:cs="Arial" w:eastAsia="Arial" w:hAnsi="Arial"/>
          <w:sz w:val="18"/>
          <w:szCs w:val="18"/>
          <w:color w:val="auto"/>
        </w:rPr>
        <w:t>any exclusive license or sublicense of Intellectual Property rights (including licenses or sublicenses thereto) of Borrower or its Subsidiaries to a third party to the extent such Intellectual Property rights relate solely to discrete preclinical Products (not, for the avoidance of doubt, clinical Products, Commercial Products or any other commercial Product) and so long as such licenses do not result in a legal transfer of title to the licensed property and have been granted in exchange for fair consideration; and</w:t>
      </w:r>
    </w:p>
    <w:p>
      <w:pPr>
        <w:spacing w:after="0" w:line="207" w:lineRule="exact"/>
        <w:rPr>
          <w:rFonts w:ascii="Arial" w:cs="Arial" w:eastAsia="Arial" w:hAnsi="Arial"/>
          <w:sz w:val="20"/>
          <w:szCs w:val="20"/>
          <w:color w:val="auto"/>
        </w:rPr>
      </w:pPr>
    </w:p>
    <w:p>
      <w:pPr>
        <w:jc w:val="both"/>
        <w:ind w:firstLine="1735"/>
        <w:spacing w:after="0" w:line="250" w:lineRule="auto"/>
        <w:tabs>
          <w:tab w:leader="none" w:pos="2595" w:val="left"/>
        </w:tabs>
        <w:numPr>
          <w:ilvl w:val="0"/>
          <w:numId w:val="84"/>
        </w:numPr>
        <w:rPr>
          <w:rFonts w:ascii="Arial" w:cs="Arial" w:eastAsia="Arial" w:hAnsi="Arial"/>
          <w:sz w:val="20"/>
          <w:szCs w:val="20"/>
          <w:color w:val="auto"/>
        </w:rPr>
      </w:pPr>
      <w:r>
        <w:rPr>
          <w:rFonts w:ascii="Arial" w:cs="Arial" w:eastAsia="Arial" w:hAnsi="Arial"/>
          <w:sz w:val="18"/>
          <w:szCs w:val="18"/>
          <w:color w:val="auto"/>
        </w:rPr>
        <w:t xml:space="preserve">to the extent not otherwise permitted pursuant to clauses (a)-(d) above, any exclusive license or sublicense of Intellectual Property rights (including licenses or sublicenses thereto) of Borrower or its Subsidiaries to a third party to the extent such Intellectual Property rights relate solely to discrete clinical Products (not, for the avoidance of doubt, Commercial Products or any other commercial Product) and so long as such licenses do not result in a legal transfer of title to the licensed property and have been granted in exchange for fair consideration;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under this clause (e), Borrower receives a non-refundable net upfront cash payment at the time such license is entered into of at least Ten Million Dollars ($10,000,000) and Borrower has prepaid the Term Loans in accordance with Section 2.1(a)(ii)(B)(iv) on the date Borrower or its Subsidiary enters into such license.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7" w:name="page138"/>
    <w:bookmarkEnd w:id="137"/>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243" w:lineRule="exact"/>
        <w:rPr>
          <w:sz w:val="20"/>
          <w:szCs w:val="20"/>
          <w:color w:val="auto"/>
        </w:rPr>
      </w:pPr>
    </w:p>
    <w:p>
      <w:pPr>
        <w:jc w:val="both"/>
        <w:ind w:firstLine="1735"/>
        <w:spacing w:after="0" w:line="250" w:lineRule="auto"/>
        <w:tabs>
          <w:tab w:leader="none" w:pos="2595" w:val="left"/>
        </w:tabs>
        <w:numPr>
          <w:ilvl w:val="0"/>
          <w:numId w:val="85"/>
        </w:numPr>
        <w:rPr>
          <w:rFonts w:ascii="Arial" w:cs="Arial" w:eastAsia="Arial" w:hAnsi="Arial"/>
          <w:sz w:val="20"/>
          <w:szCs w:val="20"/>
          <w:color w:val="auto"/>
        </w:rPr>
      </w:pPr>
      <w:r>
        <w:rPr>
          <w:rFonts w:ascii="Arial" w:cs="Arial" w:eastAsia="Arial" w:hAnsi="Arial"/>
          <w:sz w:val="18"/>
          <w:szCs w:val="18"/>
          <w:color w:val="auto"/>
        </w:rPr>
        <w:t>deposits or pledges of cash to secure obligations under workmen’s compensation, social security or similar laws, or under unemployment insurance (but excluding Liens arising under ERISA or, with respect to any Pension Plan or Multiemployer Plan, the Code) pertaining to a Borrower’s or its Subsidiary’s employees, if any;</w:t>
      </w:r>
    </w:p>
    <w:p>
      <w:pPr>
        <w:spacing w:after="0" w:line="206"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85"/>
        </w:numPr>
        <w:rPr>
          <w:rFonts w:ascii="Arial" w:cs="Arial" w:eastAsia="Arial" w:hAnsi="Arial"/>
          <w:sz w:val="20"/>
          <w:szCs w:val="20"/>
          <w:color w:val="auto"/>
        </w:rPr>
      </w:pPr>
      <w:r>
        <w:rPr>
          <w:rFonts w:ascii="Arial" w:cs="Arial" w:eastAsia="Arial" w:hAnsi="Arial"/>
          <w:sz w:val="18"/>
          <w:szCs w:val="18"/>
          <w:color w:val="auto"/>
        </w:rPr>
        <w:t>deposits or pledges of cash to secure bids, tenders, contracts (other than contracts for the payment of money or the deferred purchase price of property or services), leases, statutory obligations, surety and appeal bonds and other obligations of like nature arising in the Ordinary Course of Business;</w:t>
      </w:r>
    </w:p>
    <w:p>
      <w:pPr>
        <w:spacing w:after="0" w:line="206" w:lineRule="exact"/>
        <w:rPr>
          <w:rFonts w:ascii="Arial" w:cs="Arial" w:eastAsia="Arial" w:hAnsi="Arial"/>
          <w:sz w:val="20"/>
          <w:szCs w:val="20"/>
          <w:color w:val="auto"/>
        </w:rPr>
      </w:pPr>
    </w:p>
    <w:p>
      <w:pPr>
        <w:ind w:firstLine="1735"/>
        <w:spacing w:after="0" w:line="250" w:lineRule="auto"/>
        <w:tabs>
          <w:tab w:leader="none" w:pos="2595" w:val="left"/>
        </w:tabs>
        <w:numPr>
          <w:ilvl w:val="0"/>
          <w:numId w:val="85"/>
        </w:numPr>
        <w:rPr>
          <w:rFonts w:ascii="Arial" w:cs="Arial" w:eastAsia="Arial" w:hAnsi="Arial"/>
          <w:sz w:val="20"/>
          <w:szCs w:val="20"/>
          <w:color w:val="auto"/>
        </w:rPr>
      </w:pPr>
      <w:r>
        <w:rPr>
          <w:rFonts w:ascii="Arial" w:cs="Arial" w:eastAsia="Arial" w:hAnsi="Arial"/>
          <w:sz w:val="18"/>
          <w:szCs w:val="18"/>
          <w:color w:val="auto"/>
        </w:rPr>
        <w:t>carrier’s, warehousemen’s, mechanic’s, workmen’s, materialmen’s or other like Liens on Collateral arising in the Ordinary Course of Business with respect to obligations which are not due, or which are being contested pursuant to a Permitted Contest;</w:t>
      </w:r>
    </w:p>
    <w:p>
      <w:pPr>
        <w:spacing w:after="0" w:line="206" w:lineRule="exact"/>
        <w:rPr>
          <w:rFonts w:ascii="Arial" w:cs="Arial" w:eastAsia="Arial" w:hAnsi="Arial"/>
          <w:sz w:val="20"/>
          <w:szCs w:val="20"/>
          <w:color w:val="auto"/>
        </w:rPr>
      </w:pPr>
    </w:p>
    <w:p>
      <w:pPr>
        <w:ind w:firstLine="1735"/>
        <w:spacing w:after="0" w:line="250" w:lineRule="auto"/>
        <w:tabs>
          <w:tab w:leader="none" w:pos="2606" w:val="left"/>
        </w:tabs>
        <w:numPr>
          <w:ilvl w:val="0"/>
          <w:numId w:val="85"/>
        </w:numPr>
        <w:rPr>
          <w:rFonts w:ascii="Arial" w:cs="Arial" w:eastAsia="Arial" w:hAnsi="Arial"/>
          <w:sz w:val="20"/>
          <w:szCs w:val="20"/>
          <w:color w:val="auto"/>
        </w:rPr>
      </w:pPr>
      <w:r>
        <w:rPr>
          <w:rFonts w:ascii="Arial" w:cs="Arial" w:eastAsia="Arial" w:hAnsi="Arial"/>
          <w:sz w:val="18"/>
          <w:szCs w:val="18"/>
          <w:color w:val="auto"/>
        </w:rPr>
        <w:t>Liens for taxes or other governmental charges that are not at the time delinquent or thereafter payable without penalty or that are the subject of a Permitted Contest;</w:t>
      </w:r>
    </w:p>
    <w:p>
      <w:pPr>
        <w:spacing w:after="0" w:line="206" w:lineRule="exact"/>
        <w:rPr>
          <w:rFonts w:ascii="Arial" w:cs="Arial" w:eastAsia="Arial" w:hAnsi="Arial"/>
          <w:sz w:val="20"/>
          <w:szCs w:val="20"/>
          <w:color w:val="auto"/>
        </w:rPr>
      </w:pPr>
    </w:p>
    <w:p>
      <w:pPr>
        <w:jc w:val="both"/>
        <w:ind w:firstLine="1735"/>
        <w:spacing w:after="0" w:line="250" w:lineRule="auto"/>
        <w:tabs>
          <w:tab w:leader="none" w:pos="2595" w:val="left"/>
        </w:tabs>
        <w:numPr>
          <w:ilvl w:val="0"/>
          <w:numId w:val="85"/>
        </w:numPr>
        <w:rPr>
          <w:rFonts w:ascii="Arial" w:cs="Arial" w:eastAsia="Arial" w:hAnsi="Arial"/>
          <w:sz w:val="20"/>
          <w:szCs w:val="20"/>
          <w:color w:val="auto"/>
        </w:rPr>
      </w:pPr>
      <w:r>
        <w:rPr>
          <w:rFonts w:ascii="Arial" w:cs="Arial" w:eastAsia="Arial" w:hAnsi="Arial"/>
          <w:sz w:val="18"/>
          <w:szCs w:val="18"/>
          <w:color w:val="auto"/>
        </w:rPr>
        <w:t>attachments, appeal bonds, judgments and other similar Liens on Collateral for sums not exceeding $250,000 in the aggregate arising in connection with court proceedings; provided, however, that the execution or other enforcement of such Liens is effectively stayed and the claims secured thereby are the subject of a Permitted Contest;</w:t>
      </w:r>
    </w:p>
    <w:p>
      <w:pPr>
        <w:spacing w:after="0" w:line="206" w:lineRule="exact"/>
        <w:rPr>
          <w:rFonts w:ascii="Arial" w:cs="Arial" w:eastAsia="Arial" w:hAnsi="Arial"/>
          <w:sz w:val="20"/>
          <w:szCs w:val="20"/>
          <w:color w:val="auto"/>
        </w:rPr>
      </w:pPr>
    </w:p>
    <w:p>
      <w:pPr>
        <w:jc w:val="both"/>
        <w:ind w:firstLine="1735"/>
        <w:spacing w:after="0" w:line="250" w:lineRule="auto"/>
        <w:tabs>
          <w:tab w:leader="none" w:pos="2573" w:val="left"/>
        </w:tabs>
        <w:numPr>
          <w:ilvl w:val="0"/>
          <w:numId w:val="85"/>
        </w:numPr>
        <w:rPr>
          <w:rFonts w:ascii="Arial" w:cs="Arial" w:eastAsia="Arial" w:hAnsi="Arial"/>
          <w:sz w:val="20"/>
          <w:szCs w:val="20"/>
          <w:color w:val="auto"/>
        </w:rPr>
      </w:pPr>
      <w:r>
        <w:rPr>
          <w:rFonts w:ascii="Arial" w:cs="Arial" w:eastAsia="Arial" w:hAnsi="Arial"/>
          <w:sz w:val="18"/>
          <w:szCs w:val="18"/>
          <w:color w:val="auto"/>
        </w:rPr>
        <w:t>Liens with respect to real estate, easements, rights of way, restrictions, minor defects or irregularities of title, none of which, individually or in the aggregate, materially interfere with the benefits of the security intended to be provided by the Security Documents, materially affect the value or marketability of the Collateral, impair the use or operation of the Collateral for the use currently being made thereof or impair Borrowers’ ability to pay the Obligations in a timely manner or impair the use of the Collateral or the ordinary conduct of the business of any Borrower or any Subsidiary and which, in the case of any real estate that is part of the Collateral, are set forth as exceptions to or subordinate matters in the title insurance policy accepted by Agent insuring the lien of the Security Documents;</w:t>
      </w:r>
    </w:p>
    <w:p>
      <w:pPr>
        <w:spacing w:after="0" w:line="207" w:lineRule="exact"/>
        <w:rPr>
          <w:rFonts w:ascii="Arial" w:cs="Arial" w:eastAsia="Arial" w:hAnsi="Arial"/>
          <w:sz w:val="20"/>
          <w:szCs w:val="20"/>
          <w:color w:val="auto"/>
        </w:rPr>
      </w:pPr>
    </w:p>
    <w:p>
      <w:pPr>
        <w:ind w:left="2620" w:hanging="885"/>
        <w:spacing w:after="0"/>
        <w:tabs>
          <w:tab w:leader="none" w:pos="2620" w:val="left"/>
        </w:tabs>
        <w:numPr>
          <w:ilvl w:val="0"/>
          <w:numId w:val="85"/>
        </w:numPr>
        <w:rPr>
          <w:rFonts w:ascii="Arial" w:cs="Arial" w:eastAsia="Arial" w:hAnsi="Arial"/>
          <w:sz w:val="20"/>
          <w:szCs w:val="20"/>
          <w:color w:val="auto"/>
        </w:rPr>
      </w:pPr>
      <w:r>
        <w:rPr>
          <w:rFonts w:ascii="Arial" w:cs="Arial" w:eastAsia="Arial" w:hAnsi="Arial"/>
          <w:sz w:val="18"/>
          <w:szCs w:val="18"/>
          <w:color w:val="auto"/>
        </w:rPr>
        <w:t>Liens and encumbrances in favor of the Agent under the Financing Documents;</w:t>
      </w:r>
    </w:p>
    <w:p>
      <w:pPr>
        <w:spacing w:after="0" w:line="215" w:lineRule="exact"/>
        <w:rPr>
          <w:rFonts w:ascii="Arial" w:cs="Arial" w:eastAsia="Arial" w:hAnsi="Arial"/>
          <w:sz w:val="20"/>
          <w:szCs w:val="20"/>
          <w:color w:val="auto"/>
        </w:rPr>
      </w:pPr>
    </w:p>
    <w:p>
      <w:pPr>
        <w:ind w:left="2620" w:hanging="885"/>
        <w:spacing w:after="0"/>
        <w:tabs>
          <w:tab w:leader="none" w:pos="2620" w:val="left"/>
        </w:tabs>
        <w:numPr>
          <w:ilvl w:val="0"/>
          <w:numId w:val="85"/>
        </w:numPr>
        <w:rPr>
          <w:rFonts w:ascii="Arial" w:cs="Arial" w:eastAsia="Arial" w:hAnsi="Arial"/>
          <w:sz w:val="19"/>
          <w:szCs w:val="19"/>
          <w:color w:val="auto"/>
        </w:rPr>
      </w:pPr>
      <w:r>
        <w:rPr>
          <w:rFonts w:ascii="Arial" w:cs="Arial" w:eastAsia="Arial" w:hAnsi="Arial"/>
          <w:sz w:val="17"/>
          <w:szCs w:val="17"/>
          <w:color w:val="auto"/>
        </w:rPr>
        <w:t>Liens existing on the Closing Date and set forth on Schedule 5.2 (including any Permitted Refinancings thereof);</w:t>
      </w:r>
    </w:p>
    <w:p>
      <w:pPr>
        <w:spacing w:after="0" w:line="227" w:lineRule="exact"/>
        <w:rPr>
          <w:rFonts w:ascii="Arial" w:cs="Arial" w:eastAsia="Arial" w:hAnsi="Arial"/>
          <w:sz w:val="19"/>
          <w:szCs w:val="19"/>
          <w:color w:val="auto"/>
        </w:rPr>
      </w:pPr>
    </w:p>
    <w:p>
      <w:pPr>
        <w:ind w:firstLine="1735"/>
        <w:spacing w:after="0" w:line="250" w:lineRule="auto"/>
        <w:tabs>
          <w:tab w:leader="none" w:pos="2562" w:val="left"/>
        </w:tabs>
        <w:numPr>
          <w:ilvl w:val="0"/>
          <w:numId w:val="85"/>
        </w:numPr>
        <w:rPr>
          <w:rFonts w:ascii="Arial" w:cs="Arial" w:eastAsia="Arial" w:hAnsi="Arial"/>
          <w:sz w:val="20"/>
          <w:szCs w:val="20"/>
          <w:color w:val="auto"/>
        </w:rPr>
      </w:pPr>
      <w:r>
        <w:rPr>
          <w:rFonts w:ascii="Arial" w:cs="Arial" w:eastAsia="Arial" w:hAnsi="Arial"/>
          <w:sz w:val="18"/>
          <w:szCs w:val="18"/>
          <w:color w:val="auto"/>
        </w:rPr>
        <w:t>any Lien on any equipment securing Debt permitted under subpart (c) of the definition of Permitted Debt, provided, however, that such Lien attaches concurrently with or within twenty (20) days after the acquisition thereof;</w:t>
      </w:r>
    </w:p>
    <w:p>
      <w:pPr>
        <w:spacing w:after="0" w:line="206" w:lineRule="exact"/>
        <w:rPr>
          <w:rFonts w:ascii="Arial" w:cs="Arial" w:eastAsia="Arial" w:hAnsi="Arial"/>
          <w:sz w:val="20"/>
          <w:szCs w:val="20"/>
          <w:color w:val="auto"/>
        </w:rPr>
      </w:pPr>
    </w:p>
    <w:p>
      <w:pPr>
        <w:ind w:left="2580" w:hanging="845"/>
        <w:spacing w:after="0"/>
        <w:tabs>
          <w:tab w:leader="none" w:pos="2580" w:val="left"/>
        </w:tabs>
        <w:numPr>
          <w:ilvl w:val="0"/>
          <w:numId w:val="85"/>
        </w:numPr>
        <w:rPr>
          <w:rFonts w:ascii="Arial" w:cs="Arial" w:eastAsia="Arial" w:hAnsi="Arial"/>
          <w:sz w:val="19"/>
          <w:szCs w:val="19"/>
          <w:color w:val="auto"/>
        </w:rPr>
      </w:pPr>
      <w:r>
        <w:rPr>
          <w:rFonts w:ascii="Arial" w:cs="Arial" w:eastAsia="Arial" w:hAnsi="Arial"/>
          <w:sz w:val="17"/>
          <w:szCs w:val="17"/>
          <w:color w:val="auto"/>
        </w:rPr>
        <w:t>Liens and encumbrances of the purchaser of all or a portion of the IXINITY Royalty Stream on the IXINITY Royalty</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Excluded Deposit Account;</w:t>
      </w:r>
    </w:p>
    <w:p>
      <w:pPr>
        <w:spacing w:after="0" w:line="222" w:lineRule="exact"/>
        <w:rPr>
          <w:rFonts w:ascii="Arial" w:cs="Arial" w:eastAsia="Arial" w:hAnsi="Arial"/>
          <w:sz w:val="19"/>
          <w:szCs w:val="19"/>
          <w:color w:val="auto"/>
        </w:rPr>
      </w:pPr>
    </w:p>
    <w:p>
      <w:pPr>
        <w:ind w:left="2620" w:hanging="885"/>
        <w:spacing w:after="0"/>
        <w:tabs>
          <w:tab w:leader="none" w:pos="2620" w:val="left"/>
        </w:tabs>
        <w:numPr>
          <w:ilvl w:val="0"/>
          <w:numId w:val="85"/>
        </w:numPr>
        <w:rPr>
          <w:rFonts w:ascii="Arial" w:cs="Arial" w:eastAsia="Arial" w:hAnsi="Arial"/>
          <w:sz w:val="18"/>
          <w:szCs w:val="18"/>
          <w:color w:val="auto"/>
        </w:rPr>
      </w:pPr>
      <w:r>
        <w:rPr>
          <w:rFonts w:ascii="Arial" w:cs="Arial" w:eastAsia="Arial" w:hAnsi="Arial"/>
          <w:sz w:val="16"/>
          <w:szCs w:val="16"/>
          <w:color w:val="auto"/>
        </w:rPr>
        <w:t>precautionary financing statements in connection with operating leases or consigned goods in the Ordinary Course of</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Business;</w:t>
      </w:r>
    </w:p>
    <w:p>
      <w:pPr>
        <w:spacing w:after="0" w:line="222" w:lineRule="exact"/>
        <w:rPr>
          <w:rFonts w:ascii="Arial" w:cs="Arial" w:eastAsia="Arial" w:hAnsi="Arial"/>
          <w:sz w:val="18"/>
          <w:szCs w:val="18"/>
          <w:color w:val="auto"/>
        </w:rPr>
      </w:pPr>
    </w:p>
    <w:p>
      <w:pPr>
        <w:ind w:left="2580" w:hanging="845"/>
        <w:spacing w:after="0"/>
        <w:tabs>
          <w:tab w:leader="none" w:pos="2580" w:val="left"/>
        </w:tabs>
        <w:numPr>
          <w:ilvl w:val="0"/>
          <w:numId w:val="85"/>
        </w:numPr>
        <w:rPr>
          <w:rFonts w:ascii="Arial" w:cs="Arial" w:eastAsia="Arial" w:hAnsi="Arial"/>
          <w:sz w:val="19"/>
          <w:szCs w:val="19"/>
          <w:color w:val="auto"/>
        </w:rPr>
      </w:pPr>
      <w:r>
        <w:rPr>
          <w:rFonts w:ascii="Arial" w:cs="Arial" w:eastAsia="Arial" w:hAnsi="Arial"/>
          <w:sz w:val="17"/>
          <w:szCs w:val="17"/>
          <w:color w:val="auto"/>
        </w:rPr>
        <w:t>Liens of the applicable depository bank in respect of the Credit Card Cash Collateral Accounts and the amounts</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contained therein;</w:t>
      </w:r>
    </w:p>
    <w:p>
      <w:pPr>
        <w:spacing w:after="0" w:line="222" w:lineRule="exact"/>
        <w:rPr>
          <w:rFonts w:ascii="Arial" w:cs="Arial" w:eastAsia="Arial" w:hAnsi="Arial"/>
          <w:sz w:val="19"/>
          <w:szCs w:val="19"/>
          <w:color w:val="auto"/>
        </w:rPr>
      </w:pPr>
    </w:p>
    <w:p>
      <w:pPr>
        <w:jc w:val="both"/>
        <w:ind w:firstLine="1735"/>
        <w:spacing w:after="0" w:line="293" w:lineRule="auto"/>
        <w:tabs>
          <w:tab w:leader="none" w:pos="2661" w:val="left"/>
        </w:tabs>
        <w:numPr>
          <w:ilvl w:val="0"/>
          <w:numId w:val="85"/>
        </w:numPr>
        <w:rPr>
          <w:rFonts w:ascii="Arial" w:cs="Arial" w:eastAsia="Arial" w:hAnsi="Arial"/>
          <w:sz w:val="18"/>
          <w:szCs w:val="18"/>
          <w:color w:val="auto"/>
        </w:rPr>
      </w:pPr>
      <w:r>
        <w:rPr>
          <w:rFonts w:ascii="Arial" w:cs="Arial" w:eastAsia="Arial" w:hAnsi="Arial"/>
          <w:sz w:val="16"/>
          <w:szCs w:val="16"/>
          <w:color w:val="auto"/>
        </w:rPr>
        <w:t>during the Wells Fargo LC Period, Liens on the Wells Fargo LC Cash Collateral Account and the cash and cash equivalents deposited therein, in an aggregate amount not to exceed (i) $3,000,000 at any time on or prior to December 31, 2021, or (ii) $0 at any time after December 31, 2021, securing Borrower’s obligations under the Wells Fargo Standby Letter of Credit Agreement and the Wells Fargo Letters of Credit;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jc w:val="both"/>
        <w:ind w:firstLine="1735"/>
        <w:spacing w:after="0" w:line="268" w:lineRule="auto"/>
        <w:tabs>
          <w:tab w:leader="none" w:pos="2606" w:val="left"/>
        </w:tabs>
        <w:numPr>
          <w:ilvl w:val="0"/>
          <w:numId w:val="86"/>
        </w:numPr>
        <w:rPr>
          <w:rFonts w:ascii="Arial" w:cs="Arial" w:eastAsia="Arial" w:hAnsi="Arial"/>
          <w:sz w:val="19"/>
          <w:szCs w:val="19"/>
          <w:color w:val="auto"/>
        </w:rPr>
      </w:pPr>
      <w:r>
        <w:rPr>
          <w:rFonts w:ascii="Arial" w:cs="Arial" w:eastAsia="Arial" w:hAnsi="Arial"/>
          <w:sz w:val="17"/>
          <w:szCs w:val="17"/>
          <w:color w:val="auto"/>
        </w:rPr>
        <w:t>Liens granted in the Ordinary Course of Business on the unearned portion of insurance premiums securing the financing of insurance premiums to the extent the financing is permitted under clause (f) of the definition of Permitted Debt; provided that in the case of directors and officers, fiduciary, lawyer professional liability, employees practices liability, crime and product liability insurance, the liens securing such financing may be granted on the applicable policies of insurance and all payments to the insured under or in respect of such policies;</w:t>
      </w:r>
    </w:p>
    <w:p>
      <w:pPr>
        <w:spacing w:after="0" w:line="86" w:lineRule="exact"/>
        <w:rPr>
          <w:rFonts w:ascii="Arial" w:cs="Arial" w:eastAsia="Arial" w:hAnsi="Arial"/>
          <w:sz w:val="19"/>
          <w:szCs w:val="19"/>
          <w:color w:val="auto"/>
        </w:rPr>
      </w:pPr>
    </w:p>
    <w:p>
      <w:pPr>
        <w:ind w:left="2620" w:hanging="885"/>
        <w:spacing w:after="0"/>
        <w:tabs>
          <w:tab w:leader="none" w:pos="2620" w:val="left"/>
        </w:tabs>
        <w:numPr>
          <w:ilvl w:val="0"/>
          <w:numId w:val="86"/>
        </w:numPr>
        <w:rPr>
          <w:rFonts w:ascii="Arial" w:cs="Arial" w:eastAsia="Arial" w:hAnsi="Arial"/>
          <w:sz w:val="18"/>
          <w:szCs w:val="18"/>
          <w:color w:val="auto"/>
        </w:rPr>
      </w:pPr>
      <w:r>
        <w:rPr>
          <w:rFonts w:ascii="Arial" w:cs="Arial" w:eastAsia="Arial" w:hAnsi="Arial"/>
          <w:sz w:val="16"/>
          <w:szCs w:val="16"/>
          <w:color w:val="auto"/>
        </w:rPr>
        <w:t>the Liens granted by Aptevo Therapeutics in favor of Healthcare Royalty Partners IV, L.P. pursuant to the Ruxience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Sale Agreement in respect of the Sold Ruxience Assets;  and</w:t>
      </w:r>
    </w:p>
    <w:p>
      <w:pPr>
        <w:spacing w:after="0" w:line="115" w:lineRule="exact"/>
        <w:rPr>
          <w:sz w:val="20"/>
          <w:szCs w:val="20"/>
          <w:color w:val="auto"/>
        </w:rPr>
      </w:pPr>
    </w:p>
    <w:p>
      <w:pPr>
        <w:ind w:left="2620" w:hanging="885"/>
        <w:spacing w:after="0"/>
        <w:tabs>
          <w:tab w:leader="none" w:pos="2620" w:val="left"/>
        </w:tabs>
        <w:numPr>
          <w:ilvl w:val="0"/>
          <w:numId w:val="87"/>
        </w:numPr>
        <w:rPr>
          <w:rFonts w:ascii="Arial" w:cs="Arial" w:eastAsia="Arial" w:hAnsi="Arial"/>
          <w:sz w:val="20"/>
          <w:szCs w:val="20"/>
          <w:color w:val="auto"/>
        </w:rPr>
      </w:pPr>
      <w:r>
        <w:rPr>
          <w:rFonts w:ascii="Arial" w:cs="Arial" w:eastAsia="Arial" w:hAnsi="Arial"/>
          <w:sz w:val="18"/>
          <w:szCs w:val="18"/>
          <w:color w:val="auto"/>
        </w:rPr>
        <w:t>to the extent constituting the granting of a Lien, the making of a Permitted Asset Disposition.</w:t>
      </w:r>
    </w:p>
    <w:p>
      <w:pPr>
        <w:spacing w:after="0" w:line="194"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Modifications</w:t>
      </w:r>
      <w:r>
        <w:rPr>
          <w:rFonts w:ascii="Arial" w:cs="Arial" w:eastAsia="Arial" w:hAnsi="Arial"/>
          <w:sz w:val="20"/>
          <w:szCs w:val="20"/>
          <w:color w:val="auto"/>
        </w:rPr>
        <w:t>” means (a) such amendments or other modifications to a Borrower’s or Subsidiary’s Organizational Documents as are required under this Agreement or by applicable Law and fully disclosed to Agent within thirty (30) days after such amendments or modifications have become effective, and (b) such amendments or modifications to a Borrower’s or Subsidiary’s Organizational Documents (other than those involving a reorganization of a Borrower or Subsidiary under the laws of a different jurisdiction) that would not adversely affect the rights and interests of Agent or Lenders and fully disclosed to Agent within thirty (30) days after such amendments or modifications have become effective.</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Refinancing</w:t>
      </w:r>
      <w:r>
        <w:rPr>
          <w:rFonts w:ascii="Arial" w:cs="Arial" w:eastAsia="Arial" w:hAnsi="Arial"/>
          <w:sz w:val="18"/>
          <w:szCs w:val="18"/>
          <w:color w:val="auto"/>
        </w:rPr>
        <w:t>” means Debt constituting a refinancing or extension of Debt permitted under clauses (c) or (d) of the definition of Permitted Debt and that (a) has an aggregate outstanding principal amount not greater than the aggregate principal amount of the Debt being refinanced or extended, (b) has a weighted average maturity (measured as of the date of such refinancing or extension) and maturity no shorter than that of the Debt being refinanced or extended, (c) is not entered into as part of a sale leaseback transaction, (d) is not secured by a Lien on any assets other than the collateral securing the Debt being refinanced or extended, (e) the obligors of which are the same as the obligors of the Debt being refinanced or extended and (f) is otherwise on terms no less favorable to Credit Parties and their Subsidiaries, taken as a whole, than those of the Debt being refinanced or extended.</w:t>
      </w:r>
    </w:p>
    <w:p>
      <w:pPr>
        <w:spacing w:after="0" w:line="5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Royalty Stream Disposition</w:t>
      </w:r>
      <w:r>
        <w:rPr>
          <w:rFonts w:ascii="Arial" w:cs="Arial" w:eastAsia="Arial" w:hAnsi="Arial"/>
          <w:sz w:val="20"/>
          <w:szCs w:val="20"/>
          <w:color w:val="auto"/>
        </w:rPr>
        <w:t>” means (a) each Permitted Ruxience Royalty Stream Disposition, and (b) each Permitted IXINITY Royalty Stream Disposition.</w:t>
      </w:r>
    </w:p>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Ruxience Royalty Stream Disposition</w:t>
      </w:r>
      <w:r>
        <w:rPr>
          <w:rFonts w:ascii="Arial" w:cs="Arial" w:eastAsia="Arial" w:hAnsi="Arial"/>
          <w:sz w:val="18"/>
          <w:szCs w:val="18"/>
          <w:color w:val="auto"/>
        </w:rPr>
        <w:t>” means the sale by Aptevo Therapeutics of the Sold Ruxience Assets on the First Amendment Effective Date pursuant to, and on the terms set forth in, that certain Royalty Purchase Agreement, dated as of the First Amendment Effective Date, among Aptevo Therapeutics, as seller, and HealthCare Royalty Partners IV, L.P. as buyer (as amended, supplemented or otherwise modified from time to in accordance with the terms thereof and of this Agreement, the “</w:t>
      </w:r>
      <w:r>
        <w:rPr>
          <w:rFonts w:ascii="Arial" w:cs="Arial" w:eastAsia="Arial" w:hAnsi="Arial"/>
          <w:sz w:val="18"/>
          <w:szCs w:val="18"/>
          <w:b w:val="1"/>
          <w:bCs w:val="1"/>
          <w:color w:val="auto"/>
        </w:rPr>
        <w:t>Ruxience Sale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concurrently therewith Borrower has made the required prepayment in accordance with Section 2.1(a)(ii)(B)(v).</w:t>
      </w:r>
    </w:p>
    <w:p>
      <w:pPr>
        <w:spacing w:after="0" w:line="48"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Piper Sandler Securities Account</w:t>
      </w:r>
      <w:r>
        <w:rPr>
          <w:rFonts w:ascii="Arial" w:cs="Arial" w:eastAsia="Arial" w:hAnsi="Arial"/>
          <w:sz w:val="18"/>
          <w:szCs w:val="18"/>
          <w:color w:val="auto"/>
        </w:rPr>
        <w:t>” means that certain Securities Account of Borrower maintained as a brokerage account at Piper Sandler</w:t>
      </w:r>
    </w:p>
    <w:p>
      <w:pPr>
        <w:spacing w:after="0" w:line="45" w:lineRule="exact"/>
        <w:rPr>
          <w:sz w:val="20"/>
          <w:szCs w:val="20"/>
          <w:color w:val="auto"/>
        </w:rPr>
      </w:pPr>
    </w:p>
    <w:p>
      <w:pPr>
        <w:ind w:firstLine="8"/>
        <w:spacing w:after="0" w:line="269" w:lineRule="auto"/>
        <w:tabs>
          <w:tab w:leader="none" w:pos="2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Co., with an account number of T6A-018841 for purposes of receiving proceeds from the sale of Aptevo Therapeutics’ common stock;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aggregate amount on deposit in such Securities Account shall not at any time exceed $250,000.</w:t>
      </w:r>
    </w:p>
    <w:p>
      <w:pPr>
        <w:spacing w:after="0" w:line="55"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Pledge Agreement</w:t>
      </w:r>
      <w:r>
        <w:rPr>
          <w:rFonts w:ascii="Arial" w:cs="Arial" w:eastAsia="Arial" w:hAnsi="Arial"/>
          <w:sz w:val="20"/>
          <w:szCs w:val="20"/>
          <w:color w:val="auto"/>
        </w:rPr>
        <w:t>” means that certain Pledge Agreement, dated as of the Closing Date, by and among each Pledgor (as defined therein) and Issuer (as defined therein) and the Agent.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9" w:name="page140"/>
    <w:bookmarkEnd w:id="139"/>
    <w:p>
      <w:pPr>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means (a) with respect to a Lender’s obligation to make advances in respect of a Term Loan and such Lender’s right to receive payments of principal and interest with respect to the Term Loans, the Term Loan Commitment Percentage of such Lender, and</w:t>
      </w:r>
    </w:p>
    <w:p>
      <w:pPr>
        <w:spacing w:after="0" w:line="1" w:lineRule="exact"/>
        <w:rPr>
          <w:sz w:val="20"/>
          <w:szCs w:val="20"/>
          <w:color w:val="auto"/>
        </w:rPr>
      </w:pPr>
    </w:p>
    <w:p>
      <w:pPr>
        <w:jc w:val="both"/>
        <w:ind w:firstLine="8"/>
        <w:spacing w:after="0"/>
        <w:tabs>
          <w:tab w:leader="none" w:pos="312"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for all other purposes (including, without limitation, the indemnification obligations arising under Section 11.6) with respect to any Lender, the percentage obtained by </w:t>
      </w:r>
      <w:r>
        <w:rPr>
          <w:rFonts w:ascii="Arial" w:cs="Arial" w:eastAsia="Arial" w:hAnsi="Arial"/>
          <w:sz w:val="20"/>
          <w:szCs w:val="20"/>
          <w:i w:val="1"/>
          <w:iCs w:val="1"/>
          <w:color w:val="auto"/>
        </w:rPr>
        <w:t>dividing</w:t>
      </w:r>
      <w:r>
        <w:rPr>
          <w:rFonts w:ascii="Arial" w:cs="Arial" w:eastAsia="Arial" w:hAnsi="Arial"/>
          <w:sz w:val="20"/>
          <w:szCs w:val="20"/>
          <w:color w:val="auto"/>
        </w:rPr>
        <w:t xml:space="preserve"> (i) the Term Loan Commitment Amount of such Lender (or, in the event the Term Loan Commitment shall have been terminated, such Lender’s then outstanding principal advances of such Lender under the Term Loan), </w:t>
      </w:r>
      <w:r>
        <w:rPr>
          <w:rFonts w:ascii="Arial" w:cs="Arial" w:eastAsia="Arial" w:hAnsi="Arial"/>
          <w:sz w:val="20"/>
          <w:szCs w:val="20"/>
          <w:i w:val="1"/>
          <w:iCs w:val="1"/>
          <w:color w:val="auto"/>
        </w:rPr>
        <w:t>by</w:t>
      </w:r>
      <w:r>
        <w:rPr>
          <w:rFonts w:ascii="Arial" w:cs="Arial" w:eastAsia="Arial" w:hAnsi="Arial"/>
          <w:sz w:val="20"/>
          <w:szCs w:val="20"/>
          <w:color w:val="auto"/>
        </w:rPr>
        <w:t xml:space="preserve"> (ii) the sum of the Term Loan Commitment (or, in the event the Term Loan Commitment shall have been terminated, the then outstanding principal advances of such Lenders under the Term Loan) of all Lenders.</w:t>
      </w:r>
    </w:p>
    <w:p>
      <w:pPr>
        <w:spacing w:after="0" w:line="84"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Products</w:t>
      </w:r>
      <w:r>
        <w:rPr>
          <w:rFonts w:ascii="Arial" w:cs="Arial" w:eastAsia="Arial" w:hAnsi="Arial"/>
          <w:sz w:val="20"/>
          <w:szCs w:val="20"/>
          <w:color w:val="auto"/>
        </w:rPr>
        <w:t>” means, from time to time, any products currently manufactured, sold, developed, tested or marketed by or acquired by any Borrower or any of its Subsidiaries.</w:t>
      </w:r>
    </w:p>
    <w:p>
      <w:pPr>
        <w:spacing w:after="0" w:line="5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Recall</w:t>
      </w:r>
      <w:r>
        <w:rPr>
          <w:rFonts w:ascii="Arial" w:cs="Arial" w:eastAsia="Arial" w:hAnsi="Arial"/>
          <w:sz w:val="20"/>
          <w:szCs w:val="20"/>
          <w:color w:val="auto"/>
        </w:rPr>
        <w:t>” means a Person’s removal or Correction of a marketed product that the FDA considers to be in violation of the laws it administers and against which the FDA would initiate legal action, e.g., seizure.</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w:t>
      </w:r>
      <w:r>
        <w:rPr>
          <w:rFonts w:ascii="Arial" w:cs="Arial" w:eastAsia="Arial" w:hAnsi="Arial"/>
          <w:sz w:val="20"/>
          <w:szCs w:val="20"/>
          <w:color w:val="auto"/>
        </w:rPr>
        <w:t>” has the meaning set forth in Section 11.17(a)(iii).</w:t>
      </w:r>
    </w:p>
    <w:p>
      <w:pPr>
        <w:spacing w:after="0" w:line="108"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Intellectual Property</w:t>
      </w:r>
      <w:r>
        <w:rPr>
          <w:rFonts w:ascii="Arial" w:cs="Arial" w:eastAsia="Arial" w:hAnsi="Arial"/>
          <w:sz w:val="20"/>
          <w:szCs w:val="20"/>
          <w:color w:val="auto"/>
        </w:rPr>
        <w:t>” means any patent, registered trademark or servicemark, registered copyright, registered mask work, or any pending application for any of the foregoing.</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Regulatory Reporting Event</w:t>
      </w:r>
      <w:r>
        <w:rPr>
          <w:rFonts w:ascii="Arial" w:cs="Arial" w:eastAsia="Arial" w:hAnsi="Arial"/>
          <w:sz w:val="20"/>
          <w:szCs w:val="20"/>
          <w:color w:val="auto"/>
        </w:rPr>
        <w:t>” has the meaning set forth in Section 4.17.</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Required Permit</w:t>
      </w:r>
      <w:r>
        <w:rPr>
          <w:rFonts w:ascii="Arial" w:cs="Arial" w:eastAsia="Arial" w:hAnsi="Arial"/>
          <w:sz w:val="18"/>
          <w:szCs w:val="18"/>
          <w:color w:val="auto"/>
        </w:rPr>
        <w:t>” means any and all licenses, approvals and permits issued by the FDA, or any other applicable Governmental Authority, including without limitation Drug Applications, necessary for the testing, manufacture, marketing or sale of any Product by any applicable Borrower(s) and its Subsidiaries as such activities are being conducted by such Borrower and its Subsidiaries with respect to such Product at such time and any drug listings and drug establishment registrations under 21 U.S.C. Section 510 as may be required under applicable Laws, and those issued by state governments for the conduct of Borrower’s or any Subsidiary’s business.</w:t>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Lenders</w:t>
      </w:r>
      <w:r>
        <w:rPr>
          <w:rFonts w:ascii="Arial" w:cs="Arial" w:eastAsia="Arial" w:hAnsi="Arial"/>
          <w:sz w:val="20"/>
          <w:szCs w:val="20"/>
          <w:color w:val="auto"/>
        </w:rPr>
        <w:t>” means at any time Lenders holding (a) fifty percent (50%) or more of the sum of the Term Loan Commitment (taken as a whole), or (b) if the Term Loan Commitment has been terminated, fifty percent (50%) or more of the then aggregate outstanding principal balance of the Loans</w:t>
      </w:r>
      <w:r>
        <w:rPr>
          <w:rFonts w:ascii="Arial" w:cs="Arial" w:eastAsia="Arial" w:hAnsi="Arial"/>
          <w:sz w:val="20"/>
          <w:szCs w:val="20"/>
          <w:i w:val="1"/>
          <w:iCs w:val="1"/>
          <w:color w:val="auto"/>
        </w:rPr>
        <w:t>.</w:t>
      </w:r>
    </w:p>
    <w:p>
      <w:pPr>
        <w:spacing w:after="0" w:line="69"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means any of the Chief Executive Officer, Chief Operating Officer, Chief Financial Officer, Treasurer, Comptroller, Vice President of Finance, or any other officer of the applicable Borrower reasonably acceptable to Agent.</w:t>
      </w:r>
    </w:p>
    <w:p>
      <w:pPr>
        <w:spacing w:after="0" w:line="3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w:t>
      </w:r>
      <w:r>
        <w:rPr>
          <w:rFonts w:ascii="Arial" w:cs="Arial" w:eastAsia="Arial" w:hAnsi="Arial"/>
          <w:sz w:val="18"/>
          <w:szCs w:val="18"/>
          <w:color w:val="auto"/>
        </w:rPr>
        <w:t>” means a royalty, earnout, distribution, license fee or other payment or income or receivable of any type, including any such payments characterized as a share of net profits, up-front or lump sum payment, milestone payment, commission, fee or any other similar amount owed to any Person as a result of such Person’s rights (including in connection with any sale or transfer) in respect of any Intellectual Property, any Product or any device, drug or other biologic or pharmaceutical product or preparation or diagnostic test.</w:t>
      </w:r>
    </w:p>
    <w:p>
      <w:pPr>
        <w:spacing w:after="0" w:line="4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Royalty Agreement</w:t>
      </w:r>
      <w:r>
        <w:rPr>
          <w:rFonts w:ascii="Arial" w:cs="Arial" w:eastAsia="Arial" w:hAnsi="Arial"/>
          <w:sz w:val="20"/>
          <w:szCs w:val="20"/>
          <w:color w:val="auto"/>
        </w:rPr>
        <w:t>” means each of (a) the Ruxience Royalty Agreement, (b) the IXINITY Royalty Agreement, and (c) each other agreement or document pursuant to which Credit Parties or their subsidiaries are reasonably expected to receive Royalties (net of any payments required to be made by the Credit Parties in respect of the sales resulting in such Royalties) in excess of (i) $1,000,000 per year or (ii) $7,500,000 in aggregate during the term of such agreement or document.</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Royalty Stream</w:t>
      </w:r>
      <w:r>
        <w:rPr>
          <w:rFonts w:ascii="Arial" w:cs="Arial" w:eastAsia="Arial" w:hAnsi="Arial"/>
          <w:sz w:val="20"/>
          <w:szCs w:val="20"/>
          <w:color w:val="auto"/>
        </w:rPr>
        <w:t>” means each of the Ruxience Royalty Stream and the IXINITY Royalty Stream.</w:t>
      </w:r>
    </w:p>
    <w:p>
      <w:pPr>
        <w:spacing w:after="0" w:line="10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Ruxience Royalty Agreement</w:t>
      </w:r>
      <w:r>
        <w:rPr>
          <w:rFonts w:ascii="Arial" w:cs="Arial" w:eastAsia="Arial" w:hAnsi="Arial"/>
          <w:sz w:val="20"/>
          <w:szCs w:val="20"/>
          <w:color w:val="auto"/>
        </w:rPr>
        <w:t>” means that certain License and Collaboration Agreement between Wyeth LLC and Aptevo R&amp;D (as successor in interest to Emergent Product Development Seattle, LLC, as successor in interest to Trubion Pharmaceuticals, Inc.), dated as of December 19, 2005,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jc w:val="both"/>
        <w:spacing w:after="0" w:line="260" w:lineRule="auto"/>
        <w:rPr>
          <w:sz w:val="20"/>
          <w:szCs w:val="20"/>
          <w:color w:val="auto"/>
        </w:rPr>
      </w:pPr>
      <w:r>
        <w:rPr>
          <w:rFonts w:ascii="Arial" w:cs="Arial" w:eastAsia="Arial" w:hAnsi="Arial"/>
          <w:sz w:val="20"/>
          <w:szCs w:val="20"/>
          <w:color w:val="auto"/>
        </w:rPr>
        <w:t>as amended, supplemented or otherwise modified from time to time prior to the Closing Date and as thereafter amended, supplemented or otherwise modified from time to time in accordance with the terms of this Agreement.</w:t>
      </w:r>
    </w:p>
    <w:p>
      <w:pPr>
        <w:spacing w:after="0" w:line="6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Ruxience Royalty Stream</w:t>
      </w:r>
      <w:r>
        <w:rPr>
          <w:rFonts w:ascii="Arial" w:cs="Arial" w:eastAsia="Arial" w:hAnsi="Arial"/>
          <w:sz w:val="20"/>
          <w:szCs w:val="20"/>
          <w:color w:val="auto"/>
        </w:rPr>
        <w:t>” means all rights to receive Royalties and all other amounts to be paid to or on behalf of Borrowers or any of their Subsidiaries under or pursuant to the Ruxience Royalty Agreement or any other agreement or document entered into in connection therewith and all other Royalties in respect of Ruxience, any other CD-20 Product (as defined in the Ruxience Royalty Agreement), or any CD20 Biosimilar Product (as defined in the Ruxience Royalty Agreement).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means the United States Securities and Exchange Commission.</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Guarantor</w:t>
      </w:r>
      <w:r>
        <w:rPr>
          <w:rFonts w:ascii="Arial" w:cs="Arial" w:eastAsia="Arial" w:hAnsi="Arial"/>
          <w:sz w:val="20"/>
          <w:szCs w:val="20"/>
          <w:color w:val="auto"/>
        </w:rPr>
        <w:t>” means any Credit Party that has executed or delivered, or shall in the future execute or deliver to Agent, any Guarantee of all or any portion of the Obligations, the obligations under which are secured by all or substantially all of its property of the type described in Schedule 9.1 hereto (other than Excluded Property).</w:t>
      </w:r>
    </w:p>
    <w:p>
      <w:pPr>
        <w:spacing w:after="0" w:line="177"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Account</w:t>
      </w:r>
      <w:r>
        <w:rPr>
          <w:rFonts w:ascii="Arial" w:cs="Arial" w:eastAsia="Arial" w:hAnsi="Arial"/>
          <w:sz w:val="20"/>
          <w:szCs w:val="20"/>
          <w:color w:val="auto"/>
        </w:rPr>
        <w:t>” means a “securities account” (as defined in Article 9 of the UCC), an investment account, or other account in which investment property or securities are held or invested for credit to or for the benefit of any Borrower.</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Account Control Agreement</w:t>
      </w:r>
      <w:r>
        <w:rPr>
          <w:rFonts w:ascii="Arial" w:cs="Arial" w:eastAsia="Arial" w:hAnsi="Arial"/>
          <w:sz w:val="20"/>
          <w:szCs w:val="20"/>
          <w:color w:val="auto"/>
        </w:rPr>
        <w:t>” means an agreement, in form and substance reasonably satisfactory to Agent, among Agent, any applicable Borrower and each securities intermediary in which such Borrower maintains a Securities Account pursuant to which Agent shall obtain “control” (as defined in Article 9 of the UCC) over such Securities Account.</w:t>
      </w:r>
    </w:p>
    <w:p>
      <w:pPr>
        <w:spacing w:after="0" w:line="177"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Security Document</w:t>
      </w:r>
      <w:r>
        <w:rPr>
          <w:rFonts w:ascii="Arial" w:cs="Arial" w:eastAsia="Arial" w:hAnsi="Arial"/>
          <w:sz w:val="19"/>
          <w:szCs w:val="19"/>
          <w:color w:val="auto"/>
        </w:rPr>
        <w:t>” means this Agreement, the Intellectual Property Security Agreement, the Pledge Agreement, each collateral assignment agreement with respect to any Royalty Agreement, and each other agreement, document or instrument executed concurrently herewith or at any time hereafter pursuant to which one or more Credit Parties or any other Person either (a) Guarantees payment or performance of all or any portion of the Obligations, and/or (b) provides, as security for all or any portion of the Obligations, a Lien on any of its assets in favor of Agent for its own benefit and the benefit of the Lenders.</w:t>
      </w:r>
    </w:p>
    <w:p>
      <w:pPr>
        <w:spacing w:after="0" w:line="171"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Sold Ruxience Assets</w:t>
      </w:r>
      <w:r>
        <w:rPr>
          <w:rFonts w:ascii="Arial" w:cs="Arial" w:eastAsia="Arial" w:hAnsi="Arial"/>
          <w:sz w:val="20"/>
          <w:szCs w:val="20"/>
          <w:color w:val="auto"/>
        </w:rPr>
        <w:t>” means the Purchased Assets, as defined in the Ruxience Sale Agreement, as the same is in effect on the First Amendment Effective Date.</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with respect to any Person, that such Person (a) owns and will own assets the fair saleable value of which are</w:t>
      </w:r>
    </w:p>
    <w:p>
      <w:pPr>
        <w:spacing w:after="0" w:line="45" w:lineRule="exact"/>
        <w:rPr>
          <w:sz w:val="20"/>
          <w:szCs w:val="20"/>
          <w:color w:val="auto"/>
        </w:rPr>
      </w:pPr>
    </w:p>
    <w:p>
      <w:pPr>
        <w:jc w:val="both"/>
        <w:ind w:firstLine="8"/>
        <w:spacing w:after="0" w:line="256" w:lineRule="auto"/>
        <w:tabs>
          <w:tab w:leader="none" w:pos="261" w:val="left"/>
        </w:tabs>
        <w:numPr>
          <w:ilvl w:val="0"/>
          <w:numId w:val="90"/>
        </w:numPr>
        <w:rPr>
          <w:rFonts w:ascii="Arial" w:cs="Arial" w:eastAsia="Arial" w:hAnsi="Arial"/>
          <w:sz w:val="19"/>
          <w:szCs w:val="19"/>
          <w:color w:val="auto"/>
        </w:rPr>
      </w:pPr>
      <w:r>
        <w:rPr>
          <w:rFonts w:ascii="Arial" w:cs="Arial" w:eastAsia="Arial" w:hAnsi="Arial"/>
          <w:sz w:val="19"/>
          <w:szCs w:val="19"/>
          <w:color w:val="auto"/>
        </w:rPr>
        <w:t>greater than the total amount of its debts and liabilities (including subordinated and Contingent Obligations), and (ii) greater than the amount that will be required to pay the probable liabilities of its then existing debts as they become absolute and matured considering all financing alternatives and potential asset sales reasonably available to it; (b) has capital that is not unreasonably small in relation to its business as presently conducted or after giving effect to any contemplated transaction; and (c) does not intend to incur and does not believe that it will incur debts beyond its ability to pay such debts as they become due.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Stated Rate</w:t>
      </w:r>
      <w:r>
        <w:rPr>
          <w:rFonts w:ascii="Arial" w:cs="Arial" w:eastAsia="Arial" w:hAnsi="Arial"/>
          <w:sz w:val="20"/>
          <w:szCs w:val="20"/>
          <w:color w:val="auto"/>
        </w:rPr>
        <w:t>” has the meaning set forth in Section 2.7.</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Debt</w:t>
      </w:r>
      <w:r>
        <w:rPr>
          <w:rFonts w:ascii="Arial" w:cs="Arial" w:eastAsia="Arial" w:hAnsi="Arial"/>
          <w:sz w:val="20"/>
          <w:szCs w:val="20"/>
          <w:color w:val="auto"/>
        </w:rPr>
        <w:t>” means any Debt of Borrowers incurred pursuant to the terms of the Subordinated Debt Documents and with the prior written consent of Agent, all of which documents must be in form and substance acceptable to Agent in its sole discretion. As of the Closing Date, there is no Subordinated Debt.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1" w:name="page142"/>
    <w:bookmarkEnd w:id="141"/>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Debt Documents</w:t>
      </w:r>
      <w:r>
        <w:rPr>
          <w:rFonts w:ascii="Arial" w:cs="Arial" w:eastAsia="Arial" w:hAnsi="Arial"/>
          <w:sz w:val="20"/>
          <w:szCs w:val="20"/>
          <w:color w:val="auto"/>
        </w:rPr>
        <w:t>” means any documents evidencing and/or securing Debt governed by a Subordination Agreement, all of which documents must be in form and substance acceptable to Agent in its sole discretion. As of the Closing Date, there are no Subordinated Debt Documents.</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Subordination Agreement</w:t>
      </w:r>
      <w:r>
        <w:rPr>
          <w:rFonts w:ascii="Arial" w:cs="Arial" w:eastAsia="Arial" w:hAnsi="Arial"/>
          <w:sz w:val="19"/>
          <w:szCs w:val="19"/>
          <w:color w:val="auto"/>
        </w:rPr>
        <w:t>” means each agreement between Agent and another creditor of the Credit Parties, as the same may be amended, supplemented, restated or otherwise modified from time to time in accordance with the terms thereof, pursuant to which the Debt owing from any Credit Party and/or the Liens securing such Debt granted by any Credit Party to such creditor are subordinated in any way to the Obligations and the Liens created under the Security Documents, the terms and provisions of such Subordination Agreements to have been agreed to by and be acceptable to Agent in the exercise of its sole discretion.</w:t>
      </w:r>
    </w:p>
    <w:p>
      <w:pPr>
        <w:spacing w:after="0" w:line="17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 any corporation of which an aggregate of more than fifty percent (50%) of the outstanding capital stock having ordinary voting power to elect a majority of the board of directors of such corporation (irrespective of whether, at the time, capital stock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fifty percent (50%) of such capital stock whether by proxy, agreement, operation of law or otherwise, and (b) any partnership or limited liability company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 Unless the context otherwise requires, each reference to a Subsidiary shall be a reference to a Subsidiary of a Borrower.</w:t>
      </w:r>
    </w:p>
    <w:p>
      <w:pPr>
        <w:spacing w:after="0" w:line="16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Swap Contract</w:t>
      </w:r>
      <w:r>
        <w:rPr>
          <w:rFonts w:ascii="Arial" w:cs="Arial" w:eastAsia="Arial" w:hAnsi="Arial"/>
          <w:sz w:val="20"/>
          <w:szCs w:val="20"/>
          <w:color w:val="auto"/>
        </w:rPr>
        <w:t>” means any “swap agreement”, as defined in Section 101 of the Bankruptcy Code, that is obtained by Borrower to provide protection against fluctuations in interest or currency exchange rates, but only if Agent provides its prior written consent to the entry into such “swap agreement”.</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w:t>
      </w:r>
      <w:r>
        <w:rPr>
          <w:rFonts w:ascii="Arial" w:cs="Arial" w:eastAsia="Arial" w:hAnsi="Arial"/>
          <w:sz w:val="20"/>
          <w:szCs w:val="20"/>
          <w:color w:val="auto"/>
        </w:rPr>
        <w:t>” has the meaning set forth in Section 2.1(a)(i).</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Commitment</w:t>
      </w:r>
      <w:r>
        <w:rPr>
          <w:rFonts w:ascii="Arial" w:cs="Arial" w:eastAsia="Arial" w:hAnsi="Arial"/>
          <w:sz w:val="20"/>
          <w:szCs w:val="20"/>
          <w:color w:val="auto"/>
        </w:rPr>
        <w:t>” means the sum of each Lender’s Term Loan Commitment Amount, which is equal to $25,000,000.00 in the aggregate for all such Lender’s as of the Closing Date.</w:t>
      </w:r>
    </w:p>
    <w:p>
      <w:pPr>
        <w:spacing w:after="0" w:line="163"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Amount</w:t>
      </w:r>
      <w:r>
        <w:rPr>
          <w:rFonts w:ascii="Arial" w:cs="Arial" w:eastAsia="Arial" w:hAnsi="Arial"/>
          <w:sz w:val="18"/>
          <w:szCs w:val="18"/>
          <w:color w:val="auto"/>
        </w:rPr>
        <w:t>” means, (a) as to any Lender that is a Lender on the Closing Date, the dollar amount set forth opposite such Lender’s name on the Commitment Annex under the column “Term Loan Commitment Amount”, as such amount may be adjusted from time to time by any amounts assigned (with respect to such Lender’s portion of Term Loans outstanding and its commitment to make advances in respect of the Term Loan) pursuant to the terms of any and all effective assignment agreements to which such Lender is a party, and (b) as to any Lender that becomes a Lender after the Closing Date, the amount of the “Term Loan Commitment Amount(s)” of other Lender(s) assigned to such new Lender pursuant to the terms of the effective assignment agreement(s) pursuant to which such new Lender shall become a Lender, as such amount may be adjusted from time to time by any amounts assigned (with respect to such Lender’s portion of Term Loans outstanding and its commitment to make advances in respect of the Term Loan) pursuant to the terms of any and all effective assignment agreements to which such Lender is a party.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2" w:name="page143"/>
    <w:bookmarkEnd w:id="142"/>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Loan Commitment Percentage</w:t>
      </w:r>
      <w:r>
        <w:rPr>
          <w:rFonts w:ascii="Arial" w:cs="Arial" w:eastAsia="Arial" w:hAnsi="Arial"/>
          <w:sz w:val="20"/>
          <w:szCs w:val="20"/>
          <w:color w:val="auto"/>
        </w:rPr>
        <w:t xml:space="preserve">” means, as to any Lender, (a) on the Closing Date, the percentage set forth opposite such Lender’s name on the Commitment Annex under the column “Term Loan Commitment Percentage” (if such Lender’s name is not so set forth thereon, then, on the Closing Date, such percentage for such Lender shall be deemed to be zero), and (b) on any date following the Closing Date, the percentage equal to the Term Loan Commitment Amount of such Lender on such date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Term Loan Commitment on such date.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means the earliest to occur of (a) the Maturity Date, (b) any date on which the maturity of the Loans is accelerated pursuant to Section 10.2, or (c) the termination date stated in any notice of termination of this Agreement provided by Borrowers in accordance with Section 2.12.</w:t>
      </w:r>
    </w:p>
    <w:p>
      <w:pPr>
        <w:spacing w:after="0" w:line="177"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Payor</w:t>
      </w:r>
      <w:r>
        <w:rPr>
          <w:rFonts w:ascii="Arial" w:cs="Arial" w:eastAsia="Arial" w:hAnsi="Arial"/>
          <w:sz w:val="18"/>
          <w:szCs w:val="18"/>
          <w:color w:val="auto"/>
        </w:rPr>
        <w:t>” means Medicare, Medicaid, TRICARE, and other state or federal health care program, Blue Cross and/or Blue Shield, private insurers, managed care plans and any other Person or entity which presently or in the future maintains Third Party Payor Programs.</w:t>
      </w:r>
    </w:p>
    <w:p>
      <w:pPr>
        <w:spacing w:after="0" w:line="118"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Party Payor Programs</w:t>
      </w:r>
      <w:r>
        <w:rPr>
          <w:rFonts w:ascii="Arial" w:cs="Arial" w:eastAsia="Arial" w:hAnsi="Arial"/>
          <w:sz w:val="20"/>
          <w:szCs w:val="20"/>
          <w:color w:val="auto"/>
        </w:rPr>
        <w:t>” means all payment and reimbursement programs, sponsored by a Third Party Payor, in which a Borrower participates.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TRICARE</w:t>
      </w:r>
      <w:r>
        <w:rPr>
          <w:rFonts w:ascii="Arial" w:cs="Arial" w:eastAsia="Arial" w:hAnsi="Arial"/>
          <w:sz w:val="20"/>
          <w:szCs w:val="20"/>
          <w:color w:val="auto"/>
        </w:rPr>
        <w:t>” means the program administered pursuant to 10 U.S.C. Section 1071 et. seq, Sections 1320a-7 and 1320a-7a of Title 42 of the United States Code and the regulations promulgated pursuant to such statutes.</w:t>
      </w:r>
    </w:p>
    <w:p>
      <w:pPr>
        <w:spacing w:after="0" w:line="16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UCC</w:t>
      </w:r>
      <w:r>
        <w:rPr>
          <w:rFonts w:ascii="Arial" w:cs="Arial" w:eastAsia="Arial" w:hAnsi="Arial"/>
          <w:sz w:val="20"/>
          <w:szCs w:val="20"/>
          <w:color w:val="auto"/>
        </w:rPr>
        <w:t>” means the Uniform Commercial Code of the State of New York or of any other state the laws of which are required to be applied in connection with the perfection of security interests in any Collateral.</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States</w:t>
      </w:r>
      <w:r>
        <w:rPr>
          <w:rFonts w:ascii="Arial" w:cs="Arial" w:eastAsia="Arial" w:hAnsi="Arial"/>
          <w:sz w:val="20"/>
          <w:szCs w:val="20"/>
          <w:color w:val="auto"/>
        </w:rPr>
        <w:t>” means the United States of America.</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Tax Compliance Certificate</w:t>
      </w:r>
      <w:r>
        <w:rPr>
          <w:rFonts w:ascii="Arial" w:cs="Arial" w:eastAsia="Arial" w:hAnsi="Arial"/>
          <w:sz w:val="20"/>
          <w:szCs w:val="20"/>
          <w:color w:val="auto"/>
        </w:rPr>
        <w:t>” has the meaning set forth in Section 2.8(c)(i).</w:t>
      </w:r>
    </w:p>
    <w:p>
      <w:pPr>
        <w:spacing w:after="0" w:line="216"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Wells Fargo LC Cash Collateral Account</w:t>
      </w:r>
      <w:r>
        <w:rPr>
          <w:rFonts w:ascii="Arial" w:cs="Arial" w:eastAsia="Arial" w:hAnsi="Arial"/>
          <w:sz w:val="18"/>
          <w:szCs w:val="18"/>
          <w:color w:val="auto"/>
        </w:rPr>
        <w:t>” means one or more certificates of deposit of Borrower maintained at Wells Fargo (including without limitation certificate of deposit numbers 1139862385, 1445113564, 1472051927 and 2181475910) that are segregated from and not commingled with any other funds of Borrower or its Subsidiaries, the aggregate balance of which shall not at any time exceed 105% of the face value of the Wells Fargo Letters of Credit then outstanding, and which shall constitute the sole security for the obligations of Borrower under the Wells Fargo Standby Letter of Credit Agreement and the Wells Fargo Letters of Credit.</w:t>
      </w:r>
    </w:p>
    <w:p>
      <w:pPr>
        <w:spacing w:after="0" w:line="15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Wells Fargo LC Period</w:t>
      </w:r>
      <w:r>
        <w:rPr>
          <w:rFonts w:ascii="Arial" w:cs="Arial" w:eastAsia="Arial" w:hAnsi="Arial"/>
          <w:sz w:val="20"/>
          <w:szCs w:val="20"/>
          <w:color w:val="auto"/>
        </w:rPr>
        <w:t>” means the period commencing on the Closing Date and terminating on the earlier of (a) the date Borrower receives all or substantially all of its anticipated value added tax refunds from the Italian government, the Wells Fargo Letters of Credit have expired or been terminated and the Borrower’s obligations under the Wells Fargo Standby Letter of Credit Agreement have terminated and (b) December 31, 2021.</w:t>
      </w:r>
    </w:p>
    <w:p>
      <w:pPr>
        <w:spacing w:after="0" w:line="18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Wells Fargo Letters of Credit</w:t>
      </w:r>
      <w:r>
        <w:rPr>
          <w:rFonts w:ascii="Arial" w:cs="Arial" w:eastAsia="Arial" w:hAnsi="Arial"/>
          <w:sz w:val="20"/>
          <w:szCs w:val="20"/>
          <w:color w:val="auto"/>
        </w:rPr>
        <w:t xml:space="preserve">” means those certain letters of credit issued during the Wells Fargo LC Period by Wells Fargo for the account of Borrowers pursuant to the Wells Fargo Standby Letter of Credit Agreement, but solely to the extent required by the beneficiary thereof in order for Borrowers to receive value added tax refunds from the Italian government;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however, that the aggregate face value of all such letters of credit may not exceed (i) $3,000,000 at any time on or prior to December 31, 2021, or (ii) $0 at any time after December 31, 2021.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3" w:name="page144"/>
    <w:bookmarkEnd w:id="143"/>
    <w:p>
      <w:pPr>
        <w:jc w:val="both"/>
        <w:ind w:firstLine="864"/>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Wells Fargo Standby Letter of Credit Agreement</w:t>
      </w:r>
      <w:r>
        <w:rPr>
          <w:rFonts w:ascii="Arial" w:cs="Arial" w:eastAsia="Arial" w:hAnsi="Arial"/>
          <w:sz w:val="20"/>
          <w:szCs w:val="20"/>
          <w:color w:val="auto"/>
        </w:rPr>
        <w:t>” means that certain Standby Letter of Credit Agreement, dated as of February 23, 2018, pursuant to which Wells Fargo has agreed to issue letters of credit for the account of Borrower and Borrower has agreed to reimburse Wells Fargo for amounts drawn under such letters of credit, as amended, supplemented or otherwise modified from time to time in accordance with the terms hereof and thereof.</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Withholding Agent</w:t>
      </w:r>
      <w:r>
        <w:rPr>
          <w:rFonts w:ascii="Arial" w:cs="Arial" w:eastAsia="Arial" w:hAnsi="Arial"/>
          <w:sz w:val="20"/>
          <w:szCs w:val="20"/>
          <w:color w:val="auto"/>
        </w:rPr>
        <w:t>” means any Borrower or Agent.</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Write-Down and Conversion Powers”</w:t>
      </w:r>
      <w:r>
        <w:rPr>
          <w:rFonts w:ascii="Arial" w:cs="Arial" w:eastAsia="Arial" w:hAnsi="Arial"/>
          <w:sz w:val="20"/>
          <w:szCs w:val="20"/>
          <w:color w:val="auto"/>
        </w:rPr>
        <w:t xml:space="preserve">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Accounting Terms and Determinations</w:t>
      </w:r>
      <w:r>
        <w:rPr>
          <w:rFonts w:ascii="Arial" w:cs="Arial" w:eastAsia="Arial" w:hAnsi="Arial"/>
          <w:sz w:val="20"/>
          <w:szCs w:val="20"/>
          <w:color w:val="auto"/>
        </w:rPr>
        <w:t>. Unless otherwise specified herein, all accounting terms used</w:t>
      </w:r>
      <w:r>
        <w:rPr>
          <w:rFonts w:ascii="Arial" w:cs="Arial" w:eastAsia="Arial" w:hAnsi="Arial"/>
          <w:sz w:val="19"/>
          <w:szCs w:val="19"/>
          <w:color w:val="auto"/>
        </w:rPr>
        <w:t xml:space="preserve"> </w:t>
      </w:r>
      <w:r>
        <w:rPr>
          <w:rFonts w:ascii="Arial" w:cs="Arial" w:eastAsia="Arial" w:hAnsi="Arial"/>
          <w:sz w:val="20"/>
          <w:szCs w:val="20"/>
          <w:color w:val="auto"/>
        </w:rPr>
        <w:t xml:space="preserve">herein shall be interpreted, all accounting determinations hereunder (including, without limitation,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each Borrower and its Consolidated Subsidiaries delivered to Agent on or prior to the Closing Date. If at any time any change in GAAP would affect the computation of any financial ratio or financial requirement set forth in any Financing Document, and either Borrowers or the Required Lenders shall so request, Agent, the Lenders and Borrowers shall negotiate in good faith to amend such ratio or requirement to preserve the original intent thereof in light of such change in GAAP;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until so amended, (a) such ratio or requirement shall continue to be computed in accordance with GAAP prior to</w:t>
      </w:r>
      <w:r>
        <w:rPr>
          <w:rFonts w:ascii="Arial" w:cs="Arial" w:eastAsia="Arial" w:hAnsi="Arial"/>
          <w:sz w:val="20"/>
          <w:szCs w:val="20"/>
          <w:i w:val="1"/>
          <w:iCs w:val="1"/>
          <w:color w:val="auto"/>
        </w:rPr>
        <w:t xml:space="preserve"> </w:t>
      </w:r>
      <w:r>
        <w:rPr>
          <w:rFonts w:ascii="Arial" w:cs="Arial" w:eastAsia="Arial" w:hAnsi="Arial"/>
          <w:sz w:val="20"/>
          <w:szCs w:val="20"/>
          <w:color w:val="auto"/>
        </w:rPr>
        <w:t>such change therein and (b) Borrowers shall provide to Agent and the Lenders financial statements and other documents required under this Agreement which include a reconciliation between calculations of such ratio or requirement made before and after giving effect to such change in GAAP. Any obligations of a Person under a lease (whether existing now or entered into in the future) that is not (or would not be) a capital lease obligation under GAAP as in effect prior to giving effect to FASB Accounting Standards Update No. 2016-02, Leases, shall not be treated as a capital lease obligation solely as a result of the adoption of changes in GAAP.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(or any other Financial Accounting Standard having a similar result or effect) to value any Debt or other liabilities of any Credit Party or any Subsidiary of any Credit Party at “fair value”, as defined therein.</w:t>
      </w:r>
    </w:p>
    <w:p>
      <w:pPr>
        <w:spacing w:after="0" w:line="17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Other Definitional and Interpretive Provisions</w:t>
      </w:r>
      <w:r>
        <w:rPr>
          <w:rFonts w:ascii="Arial" w:cs="Arial" w:eastAsia="Arial" w:hAnsi="Arial"/>
          <w:sz w:val="20"/>
          <w:szCs w:val="20"/>
          <w:color w:val="auto"/>
        </w:rPr>
        <w:t>. References in this Agreement to “Articles”, “Sections”,</w:t>
      </w:r>
      <w:r>
        <w:rPr>
          <w:rFonts w:ascii="Arial" w:cs="Arial" w:eastAsia="Arial" w:hAnsi="Arial"/>
          <w:sz w:val="19"/>
          <w:szCs w:val="19"/>
          <w:color w:val="auto"/>
        </w:rPr>
        <w:t xml:space="preserve"> </w:t>
      </w:r>
      <w:r>
        <w:rPr>
          <w:rFonts w:ascii="Arial" w:cs="Arial" w:eastAsia="Arial" w:hAnsi="Arial"/>
          <w:sz w:val="20"/>
          <w:szCs w:val="20"/>
          <w:color w:val="auto"/>
        </w:rPr>
        <w:t>“Annexes”, “Exhibits”, or “Schedules” shall be to Articles, Sections, 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Unless otherwise specified herein, the settlement of all payments and fundings hereunder between or among the parties hereto shall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jc w:val="both"/>
        <w:spacing w:after="0" w:line="244" w:lineRule="auto"/>
        <w:rPr>
          <w:sz w:val="20"/>
          <w:szCs w:val="20"/>
          <w:color w:val="auto"/>
        </w:rPr>
      </w:pPr>
      <w:r>
        <w:rPr>
          <w:rFonts w:ascii="Arial" w:cs="Arial" w:eastAsia="Arial" w:hAnsi="Arial"/>
          <w:sz w:val="21"/>
          <w:szCs w:val="21"/>
          <w:color w:val="auto"/>
        </w:rPr>
        <w:t>made in lawful money of the United States and in immediately available funds. References to any statute or act shall include all related current regulations and all amendments to such statutes, acts and regulations, and any successor statutes, acts and regulations. All amounts used for purposes of financial calculations required to be made herein shall be without duplication. References to any statute or act, without additional reference, shall be deemed to refer to federal statutes and acts of the United States. References to any agreement, instrument or document shall include all schedules, exhibits, annexes and other attachments thereto. References to any agreement, instrument or document shall include all amendments thereto, to the extent permitted herby. References to capitalized terms that are not defined herein, but are defined in the UCC, shall have the meanings given them in the UCC. All references herein to times of day shall be references to daylight or standard time, as applicable. All references herein to a merger, transfer, consolidation, amalgamation, assignment, sale or transfer, or analogous term, will be construed to mean also a division of or by a limited liability company, as if it were a merger, transfer, consolidation, amalgamation, assignment, sale or transfer, or similar term, as applicable. Any series of limited liability company shall be considered a separate Person.</w:t>
      </w:r>
    </w:p>
    <w:p>
      <w:pPr>
        <w:spacing w:after="0" w:line="19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Settlement and Funding Mechanics</w:t>
      </w:r>
      <w:r>
        <w:rPr>
          <w:rFonts w:ascii="Arial" w:cs="Arial" w:eastAsia="Arial" w:hAnsi="Arial"/>
          <w:sz w:val="20"/>
          <w:szCs w:val="20"/>
          <w:color w:val="auto"/>
        </w:rPr>
        <w:t>. Unless otherwise specified herein, the settlement of all payments and fundings hereunder between or among the parties hereto shall be made in lawful money of the United States and in immediately available funds.</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u w:val="single" w:color="auto"/>
          <w:color w:val="auto"/>
        </w:rPr>
        <w:t>Time is of the Essence</w:t>
      </w:r>
      <w:r>
        <w:rPr>
          <w:rFonts w:ascii="Arial" w:cs="Arial" w:eastAsia="Arial" w:hAnsi="Arial"/>
          <w:sz w:val="20"/>
          <w:szCs w:val="20"/>
          <w:color w:val="auto"/>
        </w:rPr>
        <w:t>. Time is of the essence in Borrower’s and each other Credit Party’s performance under this Agreement and all other Financing Documents.</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Time of Day</w:t>
      </w:r>
      <w:r>
        <w:rPr>
          <w:rFonts w:ascii="Arial" w:cs="Arial" w:eastAsia="Arial" w:hAnsi="Arial"/>
          <w:sz w:val="20"/>
          <w:szCs w:val="20"/>
          <w:color w:val="auto"/>
        </w:rPr>
        <w:t>. Unless otherwise specified, all references herein to times of day shall be references to Eastern time (daylight savings or standard, as applicable).</w:t>
      </w:r>
    </w:p>
    <w:p>
      <w:pPr>
        <w:spacing w:after="0" w:line="171" w:lineRule="exact"/>
        <w:rPr>
          <w:sz w:val="20"/>
          <w:szCs w:val="20"/>
          <w:color w:val="auto"/>
        </w:rPr>
      </w:pPr>
    </w:p>
    <w:p>
      <w:pPr>
        <w:ind w:left="4400"/>
        <w:spacing w:after="0"/>
        <w:tabs>
          <w:tab w:leader="none" w:pos="6060" w:val="left"/>
        </w:tabs>
        <w:rPr>
          <w:sz w:val="20"/>
          <w:szCs w:val="20"/>
          <w:color w:val="auto"/>
        </w:rPr>
      </w:pPr>
      <w:r>
        <w:rPr>
          <w:rFonts w:ascii="Arial" w:cs="Arial" w:eastAsia="Arial" w:hAnsi="Arial"/>
          <w:sz w:val="20"/>
          <w:szCs w:val="20"/>
          <w:b w:val="1"/>
          <w:bCs w:val="1"/>
          <w:color w:val="auto"/>
        </w:rPr>
        <w:t>ARTICLE 2</w:t>
      </w:r>
      <w:r>
        <w:rPr>
          <w:sz w:val="20"/>
          <w:szCs w:val="20"/>
          <w:color w:val="auto"/>
        </w:rPr>
        <w:tab/>
      </w:r>
      <w:r>
        <w:rPr>
          <w:rFonts w:ascii="Arial" w:cs="Arial" w:eastAsia="Arial" w:hAnsi="Arial"/>
          <w:sz w:val="19"/>
          <w:szCs w:val="19"/>
          <w:color w:val="auto"/>
        </w:rPr>
        <w:t>- LOANS</w:t>
      </w:r>
    </w:p>
    <w:p>
      <w:pPr>
        <w:spacing w:after="0" w:line="222"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6"/>
          <w:szCs w:val="16"/>
          <w:u w:val="single" w:color="auto"/>
          <w:color w:val="auto"/>
        </w:rPr>
        <w:t>Loans</w:t>
      </w:r>
      <w:r>
        <w:rPr>
          <w:rFonts w:ascii="Arial" w:cs="Arial" w:eastAsia="Arial" w:hAnsi="Arial"/>
          <w:sz w:val="16"/>
          <w:szCs w:val="16"/>
          <w:color w:val="auto"/>
        </w:rPr>
        <w:t>.</w:t>
      </w:r>
    </w:p>
    <w:p>
      <w:pPr>
        <w:spacing w:after="0" w:line="211" w:lineRule="exact"/>
        <w:rPr>
          <w:sz w:val="20"/>
          <w:szCs w:val="20"/>
          <w:color w:val="auto"/>
        </w:rPr>
      </w:pPr>
    </w:p>
    <w:p>
      <w:pPr>
        <w:ind w:left="2700" w:hanging="874"/>
        <w:spacing w:after="0"/>
        <w:tabs>
          <w:tab w:leader="none" w:pos="2700" w:val="left"/>
        </w:tabs>
        <w:numPr>
          <w:ilvl w:val="0"/>
          <w:numId w:val="91"/>
        </w:numPr>
        <w:rPr>
          <w:rFonts w:ascii="Arial" w:cs="Arial" w:eastAsia="Arial" w:hAnsi="Arial"/>
          <w:sz w:val="20"/>
          <w:szCs w:val="20"/>
          <w:color w:val="auto"/>
        </w:rPr>
      </w:pPr>
      <w:r>
        <w:rPr>
          <w:rFonts w:ascii="Arial" w:cs="Arial" w:eastAsia="Arial" w:hAnsi="Arial"/>
          <w:sz w:val="22"/>
          <w:szCs w:val="22"/>
          <w:u w:val="single" w:color="auto"/>
          <w:color w:val="auto"/>
        </w:rPr>
        <w:t>Term Loans</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jc w:val="both"/>
        <w:ind w:left="880" w:firstLine="1586"/>
        <w:spacing w:after="0" w:line="245" w:lineRule="auto"/>
        <w:tabs>
          <w:tab w:leader="none" w:pos="3309" w:val="left"/>
        </w:tabs>
        <w:numPr>
          <w:ilvl w:val="1"/>
          <w:numId w:val="91"/>
        </w:numPr>
        <w:rPr>
          <w:rFonts w:ascii="Arial" w:cs="Arial" w:eastAsia="Arial" w:hAnsi="Arial"/>
          <w:sz w:val="19"/>
          <w:szCs w:val="19"/>
          <w:color w:val="auto"/>
        </w:rPr>
      </w:pPr>
      <w:r>
        <w:rPr>
          <w:rFonts w:ascii="Arial" w:cs="Arial" w:eastAsia="Arial" w:hAnsi="Arial"/>
          <w:sz w:val="21"/>
          <w:szCs w:val="21"/>
          <w:u w:val="single" w:color="auto"/>
          <w:color w:val="auto"/>
        </w:rPr>
        <w:t>Term Loan Amounts</w:t>
      </w:r>
      <w:r>
        <w:rPr>
          <w:rFonts w:ascii="Arial" w:cs="Arial" w:eastAsia="Arial" w:hAnsi="Arial"/>
          <w:sz w:val="21"/>
          <w:szCs w:val="21"/>
          <w:color w:val="auto"/>
        </w:rPr>
        <w:t>. On the terms and subject to the conditions set forth herein and in the other Financing Documents, the Lenders severally hereby agree to make to Borrowers a term loan in an original aggregate principal amount equal to the Term Loan Commitment (“</w:t>
      </w:r>
      <w:r>
        <w:rPr>
          <w:rFonts w:ascii="Arial" w:cs="Arial" w:eastAsia="Arial" w:hAnsi="Arial"/>
          <w:sz w:val="21"/>
          <w:szCs w:val="21"/>
          <w:b w:val="1"/>
          <w:bCs w:val="1"/>
          <w:color w:val="auto"/>
        </w:rPr>
        <w:t>Term Loan</w:t>
      </w:r>
      <w:r>
        <w:rPr>
          <w:rFonts w:ascii="Arial" w:cs="Arial" w:eastAsia="Arial" w:hAnsi="Arial"/>
          <w:sz w:val="21"/>
          <w:szCs w:val="21"/>
          <w:color w:val="auto"/>
        </w:rPr>
        <w:t>”). Each Lender’s obligation to fund the Term Loan shall be limited to such Lender’s Term Loan Commitment Percentage, and no Lender shall have any obligation to fund any portion of any Term Loan required to be funded by any other Lender, but not so funded. No Borrower shall have any right to reborrow any portion of the Term Loan that is repaid or prepaid from time to time. The Term Loan shall be funded on the Closing Date. Borrowers shall deliver to Agent a Notice of Borrowing with respect to the proposed Term Loan advance, such Notice of Borrowing to be delivered no later than noon (Eastern time) on the Closing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5" w:name="page146"/>
    <w:bookmarkEnd w:id="145"/>
    <w:p>
      <w:pPr>
        <w:ind w:left="2240" w:hanging="894"/>
        <w:spacing w:after="0"/>
        <w:tabs>
          <w:tab w:leader="none" w:pos="2240" w:val="left"/>
        </w:tabs>
        <w:numPr>
          <w:ilvl w:val="0"/>
          <w:numId w:val="92"/>
        </w:numPr>
        <w:rPr>
          <w:rFonts w:ascii="Arial" w:cs="Arial" w:eastAsia="Arial" w:hAnsi="Arial"/>
          <w:sz w:val="20"/>
          <w:szCs w:val="20"/>
          <w:color w:val="auto"/>
        </w:rPr>
      </w:pPr>
      <w:r>
        <w:rPr>
          <w:rFonts w:ascii="Arial" w:cs="Arial" w:eastAsia="Arial" w:hAnsi="Arial"/>
          <w:sz w:val="22"/>
          <w:szCs w:val="22"/>
          <w:u w:val="single" w:color="auto"/>
          <w:color w:val="auto"/>
        </w:rPr>
        <w:t>Scheduled Repayments; Mandatory Prepayments; Optional Prepayments</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jc w:val="both"/>
        <w:ind w:left="620" w:firstLine="1457"/>
        <w:spacing w:after="0" w:line="238" w:lineRule="auto"/>
        <w:tabs>
          <w:tab w:leader="none" w:pos="3004" w:val="left"/>
        </w:tabs>
        <w:numPr>
          <w:ilvl w:val="1"/>
          <w:numId w:val="92"/>
        </w:numPr>
        <w:rPr>
          <w:rFonts w:ascii="Arial" w:cs="Arial" w:eastAsia="Arial" w:hAnsi="Arial"/>
          <w:sz w:val="20"/>
          <w:szCs w:val="20"/>
          <w:color w:val="auto"/>
        </w:rPr>
      </w:pPr>
      <w:r>
        <w:rPr>
          <w:rFonts w:ascii="Arial" w:cs="Arial" w:eastAsia="Arial" w:hAnsi="Arial"/>
          <w:sz w:val="22"/>
          <w:szCs w:val="22"/>
          <w:color w:val="auto"/>
        </w:rPr>
        <w:t xml:space="preserve">There shall become due and payable, and Borrowers shall repay the Term Loan through, scheduled payments as set forth on </w:t>
      </w:r>
      <w:r>
        <w:rPr>
          <w:rFonts w:ascii="Arial" w:cs="Arial" w:eastAsia="Arial" w:hAnsi="Arial"/>
          <w:sz w:val="22"/>
          <w:szCs w:val="22"/>
          <w:u w:val="single" w:color="auto"/>
          <w:color w:val="auto"/>
        </w:rPr>
        <w:t>Schedule 2.1</w:t>
      </w:r>
      <w:r>
        <w:rPr>
          <w:rFonts w:ascii="Arial" w:cs="Arial" w:eastAsia="Arial" w:hAnsi="Arial"/>
          <w:sz w:val="22"/>
          <w:szCs w:val="22"/>
          <w:color w:val="auto"/>
        </w:rPr>
        <w:t xml:space="preserve"> attached hereto. Notwithstanding the payment schedule set forth above, the outstanding principal amount of the Term Loan shall become immediately due and payable in full on the Termination Date.</w:t>
      </w:r>
    </w:p>
    <w:p>
      <w:pPr>
        <w:spacing w:after="0" w:line="184" w:lineRule="exact"/>
        <w:rPr>
          <w:rFonts w:ascii="Arial" w:cs="Arial" w:eastAsia="Arial" w:hAnsi="Arial"/>
          <w:sz w:val="20"/>
          <w:szCs w:val="20"/>
          <w:color w:val="auto"/>
        </w:rPr>
      </w:pPr>
    </w:p>
    <w:p>
      <w:pPr>
        <w:ind w:left="620" w:firstLine="1457"/>
        <w:spacing w:after="0" w:line="250" w:lineRule="auto"/>
        <w:tabs>
          <w:tab w:leader="none" w:pos="2993" w:val="left"/>
        </w:tabs>
        <w:numPr>
          <w:ilvl w:val="1"/>
          <w:numId w:val="92"/>
        </w:numPr>
        <w:rPr>
          <w:rFonts w:ascii="Arial" w:cs="Arial" w:eastAsia="Arial" w:hAnsi="Arial"/>
          <w:sz w:val="20"/>
          <w:szCs w:val="20"/>
          <w:color w:val="auto"/>
        </w:rPr>
      </w:pPr>
      <w:r>
        <w:rPr>
          <w:rFonts w:ascii="Arial" w:cs="Arial" w:eastAsia="Arial" w:hAnsi="Arial"/>
          <w:sz w:val="22"/>
          <w:szCs w:val="22"/>
          <w:color w:val="auto"/>
        </w:rPr>
        <w:t>There shall become due and payable and Borrowers shall prepay the Term Loan in the following amounts and at the following times:</w:t>
      </w:r>
    </w:p>
    <w:p>
      <w:pPr>
        <w:spacing w:after="0" w:line="174" w:lineRule="exact"/>
        <w:rPr>
          <w:rFonts w:ascii="Arial" w:cs="Arial" w:eastAsia="Arial" w:hAnsi="Arial"/>
          <w:sz w:val="20"/>
          <w:szCs w:val="20"/>
          <w:color w:val="auto"/>
        </w:rPr>
      </w:pPr>
    </w:p>
    <w:p>
      <w:pPr>
        <w:jc w:val="both"/>
        <w:ind w:left="1480" w:firstLine="1329"/>
        <w:spacing w:after="0" w:line="234" w:lineRule="auto"/>
        <w:tabs>
          <w:tab w:leader="none" w:pos="3660" w:val="left"/>
        </w:tabs>
        <w:numPr>
          <w:ilvl w:val="2"/>
          <w:numId w:val="92"/>
        </w:numPr>
        <w:rPr>
          <w:rFonts w:ascii="Arial" w:cs="Arial" w:eastAsia="Arial" w:hAnsi="Arial"/>
          <w:sz w:val="22"/>
          <w:szCs w:val="22"/>
          <w:color w:val="auto"/>
        </w:rPr>
      </w:pPr>
      <w:r>
        <w:rPr>
          <w:rFonts w:ascii="Arial" w:cs="Arial" w:eastAsia="Arial" w:hAnsi="Arial"/>
          <w:sz w:val="22"/>
          <w:szCs w:val="22"/>
          <w:color w:val="auto"/>
        </w:rPr>
        <w:t>Unless Agent shall otherwise consent in writing, on the date on which any Credit Party (or Agent as loss payee or assignee) receives any casualty proceeds in excess of $250,000 with respect to assets upon which Agent maintained a Lien, an amount equal to one hundred percent (100%) of such proceeds (net of out-of-pocket expenses and repayment of secured debt permitted under clause (c) of the definition of Permitted Debt and encumbering the property that suffered such casualty), or such lesser portion of such proceeds as Agent shall elect to apply to the Obligations;</w:t>
      </w:r>
    </w:p>
    <w:p>
      <w:pPr>
        <w:spacing w:after="0" w:line="190" w:lineRule="exact"/>
        <w:rPr>
          <w:rFonts w:ascii="Arial" w:cs="Arial" w:eastAsia="Arial" w:hAnsi="Arial"/>
          <w:sz w:val="22"/>
          <w:szCs w:val="22"/>
          <w:color w:val="auto"/>
        </w:rPr>
      </w:pPr>
    </w:p>
    <w:p>
      <w:pPr>
        <w:jc w:val="both"/>
        <w:ind w:left="1480" w:firstLine="1329"/>
        <w:spacing w:after="0" w:line="257" w:lineRule="auto"/>
        <w:tabs>
          <w:tab w:leader="none" w:pos="3721" w:val="left"/>
        </w:tabs>
        <w:numPr>
          <w:ilvl w:val="2"/>
          <w:numId w:val="92"/>
        </w:numPr>
        <w:rPr>
          <w:rFonts w:ascii="Arial" w:cs="Arial" w:eastAsia="Arial" w:hAnsi="Arial"/>
          <w:sz w:val="21"/>
          <w:szCs w:val="21"/>
          <w:color w:val="auto"/>
        </w:rPr>
      </w:pPr>
      <w:r>
        <w:rPr>
          <w:rFonts w:ascii="Arial" w:cs="Arial" w:eastAsia="Arial" w:hAnsi="Arial"/>
          <w:sz w:val="21"/>
          <w:szCs w:val="21"/>
          <w:color w:val="auto"/>
        </w:rPr>
        <w:t>an amount equal to any interest that is deemed to be in excess of the Maximum Lawful Rate (as defined below) and is required to be applied to the reduction of the principal balance of the Loans by any Lender as provided for in Section 2.7;</w:t>
      </w:r>
    </w:p>
    <w:p>
      <w:pPr>
        <w:spacing w:after="0" w:line="169" w:lineRule="exact"/>
        <w:rPr>
          <w:rFonts w:ascii="Arial" w:cs="Arial" w:eastAsia="Arial" w:hAnsi="Arial"/>
          <w:sz w:val="21"/>
          <w:szCs w:val="21"/>
          <w:color w:val="auto"/>
        </w:rPr>
      </w:pPr>
    </w:p>
    <w:p>
      <w:pPr>
        <w:jc w:val="both"/>
        <w:ind w:left="1480" w:firstLine="1329"/>
        <w:spacing w:after="0" w:line="279" w:lineRule="auto"/>
        <w:tabs>
          <w:tab w:leader="none" w:pos="3780" w:val="left"/>
        </w:tabs>
        <w:numPr>
          <w:ilvl w:val="2"/>
          <w:numId w:val="92"/>
        </w:numPr>
        <w:rPr>
          <w:rFonts w:ascii="Arial" w:cs="Arial" w:eastAsia="Arial" w:hAnsi="Arial"/>
          <w:sz w:val="19"/>
          <w:szCs w:val="19"/>
          <w:color w:val="auto"/>
        </w:rPr>
      </w:pPr>
      <w:r>
        <w:rPr>
          <w:rFonts w:ascii="Arial" w:cs="Arial" w:eastAsia="Arial" w:hAnsi="Arial"/>
          <w:sz w:val="19"/>
          <w:szCs w:val="19"/>
          <w:color w:val="auto"/>
        </w:rPr>
        <w:t>unless Agent shall otherwise consent in writing, upon receipt by any Credit Party of the proceeds of any Asset Disposition in excess of $250,000 in any fiscal year that is not made in the Ordinary Course of Business, an amount equal to one hundred percent (100%) of the net cash proceeds of such asset disposition (net of out-of-pocket expenses and repayment of secured debt permitted under clause (c) of the definition of Permitted Debt and encumbering such asset), or such lesser portion as Agent shall elect to apply to the Obligations;</w:t>
      </w:r>
    </w:p>
    <w:p>
      <w:pPr>
        <w:spacing w:after="0" w:line="150" w:lineRule="exact"/>
        <w:rPr>
          <w:rFonts w:ascii="Arial" w:cs="Arial" w:eastAsia="Arial" w:hAnsi="Arial"/>
          <w:sz w:val="19"/>
          <w:szCs w:val="19"/>
          <w:color w:val="auto"/>
        </w:rPr>
      </w:pPr>
    </w:p>
    <w:p>
      <w:pPr>
        <w:jc w:val="both"/>
        <w:ind w:left="1480" w:firstLine="1329"/>
        <w:spacing w:after="0" w:line="235" w:lineRule="auto"/>
        <w:tabs>
          <w:tab w:leader="none" w:pos="3768" w:val="left"/>
        </w:tabs>
        <w:numPr>
          <w:ilvl w:val="2"/>
          <w:numId w:val="92"/>
        </w:numPr>
        <w:rPr>
          <w:rFonts w:ascii="Arial" w:cs="Arial" w:eastAsia="Arial" w:hAnsi="Arial"/>
          <w:sz w:val="22"/>
          <w:szCs w:val="22"/>
          <w:color w:val="auto"/>
        </w:rPr>
      </w:pPr>
      <w:r>
        <w:rPr>
          <w:rFonts w:ascii="Arial" w:cs="Arial" w:eastAsia="Arial" w:hAnsi="Arial"/>
          <w:sz w:val="22"/>
          <w:szCs w:val="22"/>
          <w:color w:val="auto"/>
        </w:rPr>
        <w:t>if Borrower or any of its Subsidiaries enters into any Permitted License pursuant to clause (e) of the definition thereof, unless Agent shall otherwise consent in writing (in its sole discretion), on the date such Permitted License is entered into, Borrower shall prepay the Term Loans in an amount equal the aggregate upfront consideration received or deemed received by or on behalf of Borrowers or its Subsidiaries under or in connection with entering into such Permitted License;</w:t>
      </w:r>
    </w:p>
    <w:p>
      <w:pPr>
        <w:spacing w:after="0" w:line="187" w:lineRule="exact"/>
        <w:rPr>
          <w:rFonts w:ascii="Arial" w:cs="Arial" w:eastAsia="Arial" w:hAnsi="Arial"/>
          <w:sz w:val="22"/>
          <w:szCs w:val="22"/>
          <w:color w:val="auto"/>
        </w:rPr>
      </w:pPr>
    </w:p>
    <w:p>
      <w:pPr>
        <w:ind w:left="1480" w:firstLine="1329"/>
        <w:spacing w:after="0" w:line="250" w:lineRule="auto"/>
        <w:tabs>
          <w:tab w:leader="none" w:pos="3709" w:val="left"/>
        </w:tabs>
        <w:numPr>
          <w:ilvl w:val="2"/>
          <w:numId w:val="92"/>
        </w:numPr>
        <w:rPr>
          <w:rFonts w:ascii="Arial" w:cs="Arial" w:eastAsia="Arial" w:hAnsi="Arial"/>
          <w:sz w:val="22"/>
          <w:szCs w:val="22"/>
          <w:color w:val="auto"/>
        </w:rPr>
      </w:pPr>
      <w:r>
        <w:rPr>
          <w:rFonts w:ascii="Arial" w:cs="Arial" w:eastAsia="Arial" w:hAnsi="Arial"/>
          <w:sz w:val="22"/>
          <w:szCs w:val="22"/>
          <w:color w:val="auto"/>
        </w:rPr>
        <w:t>on the First Amendment Effective Date following consummation of the Permitted Ruxience Royalty Stream Disposition, a</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46" w:name="page147"/>
    <w:bookmarkEnd w:id="146"/>
    <w:p>
      <w:pPr>
        <w:ind w:left="1480" w:right="20"/>
        <w:spacing w:after="0" w:line="274" w:lineRule="auto"/>
        <w:rPr>
          <w:sz w:val="20"/>
          <w:szCs w:val="20"/>
          <w:color w:val="auto"/>
        </w:rPr>
      </w:pPr>
      <w:r>
        <w:rPr>
          <w:rFonts w:ascii="Arial" w:cs="Arial" w:eastAsia="Arial" w:hAnsi="Arial"/>
          <w:sz w:val="21"/>
          <w:szCs w:val="21"/>
          <w:color w:val="auto"/>
        </w:rPr>
        <w:t>principal amount equal to $10,000,000 plus all fees and other amounts payable on the First Amendment Effective Date pursuant to the terms of this Agreement or any Fee Letter; and</w:t>
      </w:r>
    </w:p>
    <w:p>
      <w:pPr>
        <w:spacing w:after="0" w:line="151" w:lineRule="exact"/>
        <w:rPr>
          <w:sz w:val="20"/>
          <w:szCs w:val="20"/>
          <w:color w:val="auto"/>
        </w:rPr>
      </w:pPr>
    </w:p>
    <w:p>
      <w:pPr>
        <w:jc w:val="both"/>
        <w:ind w:left="1480" w:firstLine="1329"/>
        <w:spacing w:after="0" w:line="234" w:lineRule="auto"/>
        <w:tabs>
          <w:tab w:leader="none" w:pos="3768" w:val="left"/>
        </w:tabs>
        <w:numPr>
          <w:ilvl w:val="0"/>
          <w:numId w:val="93"/>
        </w:numPr>
        <w:rPr>
          <w:rFonts w:ascii="Arial" w:cs="Arial" w:eastAsia="Arial" w:hAnsi="Arial"/>
          <w:sz w:val="22"/>
          <w:szCs w:val="22"/>
          <w:color w:val="auto"/>
        </w:rPr>
      </w:pPr>
      <w:r>
        <w:rPr>
          <w:rFonts w:ascii="Arial" w:cs="Arial" w:eastAsia="Arial" w:hAnsi="Arial"/>
          <w:sz w:val="22"/>
          <w:szCs w:val="22"/>
          <w:color w:val="auto"/>
        </w:rPr>
        <w:t>on the date on which any Permitted IXINITY Royalty Stream Disposition is consummated, unless Agent and Required Lenders shall otherwise agree in writing, Borrower shall prepay the Term Loans (A) if such Permitted IXINITY Royalty Stream Disposition occurs on any date prior to March 31, 2022, in an amount equal to $5,000,000 (or, if less, the entire amount of the outstanding Obligations), and (B) if such Permitted IXINITY Royalty Stream Disposition occurs on or after March 31, 2022, in an amount sufficient to pay all the Obligations in cash in full.</w:t>
      </w:r>
    </w:p>
    <w:p>
      <w:pPr>
        <w:spacing w:after="0" w:line="195" w:lineRule="exact"/>
        <w:rPr>
          <w:sz w:val="20"/>
          <w:szCs w:val="20"/>
          <w:color w:val="auto"/>
        </w:rPr>
      </w:pPr>
    </w:p>
    <w:p>
      <w:pPr>
        <w:jc w:val="both"/>
        <w:ind w:left="620" w:firstLine="731"/>
        <w:spacing w:after="0" w:line="313" w:lineRule="auto"/>
        <w:rPr>
          <w:sz w:val="20"/>
          <w:szCs w:val="20"/>
          <w:color w:val="auto"/>
        </w:rPr>
      </w:pPr>
      <w:r>
        <w:rPr>
          <w:rFonts w:ascii="Arial" w:cs="Arial" w:eastAsia="Arial" w:hAnsi="Arial"/>
          <w:sz w:val="16"/>
          <w:szCs w:val="16"/>
          <w:color w:val="auto"/>
        </w:rPr>
        <w:t>Notwithstanding clause (B)(i) and (B)(iii) above, respectively, the foregoing and so long as no Event of Default then exists: (1) any such casualty proceeds may be used by Borrowers within two hundred seventy (270) days from the receipt of such proceeds to replace or repair any assets in respect of which such proceeds were paid so long as prior to the receipt of such proceeds, Borrowers have delivered to Agent a reinvestment plan detailing such replacement or repair; and (2) proceeds of asset dispositions (other than, for the avoidance of doubt, any Permitted Royalty Stream Dispositions) that are not made in the Ordinary Course of Business may be used by Borrowers within two hundred seventy (270) days from the receipt of such proceeds to purchase new or replacement assets of comparable value; and</w:t>
      </w:r>
    </w:p>
    <w:p>
      <w:pPr>
        <w:spacing w:after="0" w:line="138" w:lineRule="exact"/>
        <w:rPr>
          <w:sz w:val="20"/>
          <w:szCs w:val="20"/>
          <w:color w:val="auto"/>
        </w:rPr>
      </w:pPr>
    </w:p>
    <w:p>
      <w:pPr>
        <w:jc w:val="both"/>
        <w:ind w:left="620" w:firstLine="1457"/>
        <w:spacing w:after="0" w:line="249" w:lineRule="auto"/>
        <w:tabs>
          <w:tab w:leader="none" w:pos="2993" w:val="left"/>
        </w:tabs>
        <w:numPr>
          <w:ilvl w:val="1"/>
          <w:numId w:val="94"/>
        </w:numPr>
        <w:rPr>
          <w:rFonts w:ascii="Arial" w:cs="Arial" w:eastAsia="Arial" w:hAnsi="Arial"/>
          <w:sz w:val="19"/>
          <w:szCs w:val="19"/>
          <w:color w:val="auto"/>
        </w:rPr>
      </w:pPr>
      <w:r>
        <w:rPr>
          <w:rFonts w:ascii="Arial" w:cs="Arial" w:eastAsia="Arial" w:hAnsi="Arial"/>
          <w:sz w:val="21"/>
          <w:szCs w:val="21"/>
          <w:color w:val="auto"/>
        </w:rPr>
        <w:t xml:space="preserve">Borrowers may from time to time, with at least five (5) Business Days prior delivery to Agent of an appropriately completed Payment Notification, prepay the Term Loan in whole or in part; </w:t>
      </w:r>
      <w:r>
        <w:rPr>
          <w:rFonts w:ascii="Arial" w:cs="Arial" w:eastAsia="Arial" w:hAnsi="Arial"/>
          <w:sz w:val="21"/>
          <w:szCs w:val="21"/>
          <w:i w:val="1"/>
          <w:iCs w:val="1"/>
          <w:color w:val="auto"/>
        </w:rPr>
        <w:t>provided, however</w:t>
      </w:r>
      <w:r>
        <w:rPr>
          <w:rFonts w:ascii="Arial" w:cs="Arial" w:eastAsia="Arial" w:hAnsi="Arial"/>
          <w:sz w:val="21"/>
          <w:szCs w:val="21"/>
          <w:color w:val="auto"/>
        </w:rPr>
        <w:t>, that each such prepayment (other than a prepayment in whole) shall be in an amount equal to $1,000,000 or a higher integral multiple of $1,000,000 and shall be accompanied by any applicable fees, as set forth in Section 2.2 and/or in each Fee Letter.</w:t>
      </w:r>
    </w:p>
    <w:p>
      <w:pPr>
        <w:spacing w:after="0" w:line="178" w:lineRule="exact"/>
        <w:rPr>
          <w:rFonts w:ascii="Arial" w:cs="Arial" w:eastAsia="Arial" w:hAnsi="Arial"/>
          <w:sz w:val="19"/>
          <w:szCs w:val="19"/>
          <w:color w:val="auto"/>
        </w:rPr>
      </w:pPr>
    </w:p>
    <w:p>
      <w:pPr>
        <w:jc w:val="both"/>
        <w:ind w:left="-240" w:firstLine="1586"/>
        <w:spacing w:after="0" w:line="244" w:lineRule="auto"/>
        <w:tabs>
          <w:tab w:leader="none" w:pos="2299" w:val="left"/>
        </w:tabs>
        <w:numPr>
          <w:ilvl w:val="0"/>
          <w:numId w:val="95"/>
        </w:numPr>
        <w:rPr>
          <w:rFonts w:ascii="Arial" w:cs="Arial" w:eastAsia="Arial" w:hAnsi="Arial"/>
          <w:sz w:val="19"/>
          <w:szCs w:val="19"/>
          <w:color w:val="auto"/>
        </w:rPr>
      </w:pPr>
      <w:r>
        <w:rPr>
          <w:rFonts w:ascii="Arial" w:cs="Arial" w:eastAsia="Arial" w:hAnsi="Arial"/>
          <w:sz w:val="21"/>
          <w:szCs w:val="21"/>
          <w:u w:val="single" w:color="auto"/>
          <w:color w:val="auto"/>
        </w:rPr>
        <w:t>All Prepayments</w:t>
      </w:r>
      <w:r>
        <w:rPr>
          <w:rFonts w:ascii="Arial" w:cs="Arial" w:eastAsia="Arial" w:hAnsi="Arial"/>
          <w:sz w:val="21"/>
          <w:szCs w:val="21"/>
          <w:color w:val="auto"/>
        </w:rPr>
        <w:t xml:space="preserve">. Except as this Agreement may specifically provide otherwise, all prepayments of the Term Loan shall be applied by Agent to the Obligations in inverse order of maturity. The monthly payments required under </w:t>
      </w:r>
      <w:r>
        <w:rPr>
          <w:rFonts w:ascii="Arial" w:cs="Arial" w:eastAsia="Arial" w:hAnsi="Arial"/>
          <w:sz w:val="21"/>
          <w:szCs w:val="21"/>
          <w:u w:val="single" w:color="auto"/>
          <w:color w:val="auto"/>
        </w:rPr>
        <w:t>Schedule 2.1</w:t>
      </w:r>
      <w:r>
        <w:rPr>
          <w:rFonts w:ascii="Arial" w:cs="Arial" w:eastAsia="Arial" w:hAnsi="Arial"/>
          <w:sz w:val="21"/>
          <w:szCs w:val="21"/>
          <w:color w:val="auto"/>
        </w:rPr>
        <w:t xml:space="preserve"> shall continue in the same amount (for so long as the Term Loan and/or (if applicable) any advance thereunder shall remain outstanding) notwithstanding any partial prepayment, whether mandatory or optional, of the Term Loan. Notwithstanding anything to the contrary contained in the foregoing, in the event that there have been multiple advances under the Term Loan each of which such advances has a separate amortization schedule of principal payments under </w:t>
      </w:r>
      <w:r>
        <w:rPr>
          <w:rFonts w:ascii="Arial" w:cs="Arial" w:eastAsia="Arial" w:hAnsi="Arial"/>
          <w:sz w:val="21"/>
          <w:szCs w:val="21"/>
          <w:u w:val="single" w:color="auto"/>
          <w:color w:val="auto"/>
        </w:rPr>
        <w:t>Schedule 2.1</w:t>
      </w:r>
      <w:r>
        <w:rPr>
          <w:rFonts w:ascii="Arial" w:cs="Arial" w:eastAsia="Arial" w:hAnsi="Arial"/>
          <w:sz w:val="21"/>
          <w:szCs w:val="21"/>
          <w:color w:val="auto"/>
        </w:rPr>
        <w:t xml:space="preserve"> attached hereto, each prepayment of the Term Loan shall be applied by Agent to reduce and prepay the principal balance of the earliest-made advance then outstanding in the inverse order of maturity of the scheduled payments with respect to such advance until such earliest-made advance is paid in full (and to the extent the total amount of any such partial prepayment shall exceed the outstanding principal balance of such earliest-made advance, the remainder of such prepayment shall be applied successively to the remaining advances</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under the Term Loan in the direct order of the respective advance dates in the manner provided for in this sentence).</w:t>
      </w:r>
    </w:p>
    <w:p>
      <w:pPr>
        <w:spacing w:after="0" w:line="241" w:lineRule="exact"/>
        <w:rPr>
          <w:sz w:val="20"/>
          <w:szCs w:val="20"/>
          <w:color w:val="auto"/>
        </w:rPr>
      </w:pPr>
    </w:p>
    <w:p>
      <w:pPr>
        <w:ind w:left="2520" w:hanging="934"/>
        <w:spacing w:after="0"/>
        <w:tabs>
          <w:tab w:leader="none" w:pos="2520" w:val="left"/>
        </w:tabs>
        <w:numPr>
          <w:ilvl w:val="0"/>
          <w:numId w:val="96"/>
        </w:numPr>
        <w:rPr>
          <w:rFonts w:ascii="Arial" w:cs="Arial" w:eastAsia="Arial" w:hAnsi="Arial"/>
          <w:sz w:val="20"/>
          <w:szCs w:val="20"/>
          <w:color w:val="auto"/>
        </w:rPr>
      </w:pPr>
      <w:r>
        <w:rPr>
          <w:rFonts w:ascii="Arial" w:cs="Arial" w:eastAsia="Arial" w:hAnsi="Arial"/>
          <w:sz w:val="22"/>
          <w:szCs w:val="22"/>
          <w:u w:val="single" w:color="auto"/>
          <w:color w:val="auto"/>
        </w:rPr>
        <w:t>LIBOR Rate</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860" w:firstLine="1457"/>
        <w:spacing w:after="0" w:line="250" w:lineRule="auto"/>
        <w:tabs>
          <w:tab w:leader="none" w:pos="3270" w:val="left"/>
        </w:tabs>
        <w:numPr>
          <w:ilvl w:val="1"/>
          <w:numId w:val="96"/>
        </w:numPr>
        <w:rPr>
          <w:rFonts w:ascii="Arial" w:cs="Arial" w:eastAsia="Arial" w:hAnsi="Arial"/>
          <w:sz w:val="22"/>
          <w:szCs w:val="22"/>
          <w:color w:val="auto"/>
        </w:rPr>
      </w:pPr>
      <w:r>
        <w:rPr>
          <w:rFonts w:ascii="Arial" w:cs="Arial" w:eastAsia="Arial" w:hAnsi="Arial"/>
          <w:sz w:val="22"/>
          <w:szCs w:val="22"/>
          <w:color w:val="auto"/>
        </w:rPr>
        <w:t xml:space="preserve">Except as provided in subsection (C) below, the Term Loan shall accrue interest at the LIBOR Rate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Margin.</w:t>
      </w:r>
    </w:p>
    <w:p>
      <w:pPr>
        <w:spacing w:after="0" w:line="175" w:lineRule="exact"/>
        <w:rPr>
          <w:sz w:val="20"/>
          <w:szCs w:val="20"/>
          <w:color w:val="auto"/>
        </w:rPr>
      </w:pPr>
    </w:p>
    <w:p>
      <w:pPr>
        <w:jc w:val="both"/>
        <w:ind w:left="860" w:firstLine="1457"/>
        <w:spacing w:after="0" w:line="270" w:lineRule="auto"/>
        <w:tabs>
          <w:tab w:leader="none" w:pos="3244" w:val="left"/>
        </w:tabs>
        <w:numPr>
          <w:ilvl w:val="0"/>
          <w:numId w:val="97"/>
        </w:numPr>
        <w:rPr>
          <w:rFonts w:ascii="Arial" w:cs="Arial" w:eastAsia="Arial" w:hAnsi="Arial"/>
          <w:sz w:val="18"/>
          <w:szCs w:val="18"/>
          <w:color w:val="auto"/>
        </w:rPr>
      </w:pPr>
      <w:r>
        <w:rPr>
          <w:rFonts w:ascii="Arial" w:cs="Arial" w:eastAsia="Arial" w:hAnsi="Arial"/>
          <w:sz w:val="19"/>
          <w:szCs w:val="19"/>
          <w:color w:val="auto"/>
        </w:rPr>
        <w:t xml:space="preserve">The LIBOR Rate may be adjusted by Agent with respect to any Lender on a prospective basis to take into account any additional or increased costs to such Lender of maintaining or obtaining any eurodollar deposits or increased costs, in each case, due to changes in applicable Law occurring subsequent to the commencement of the then applicable Interest Period, including changes in tax laws (except changes in Taxes or taxes excluded from the definition of Taxes in Section 2.8 hereof) and changes in the reserve requirements imposed by the Board of Governors of the Federal Reserve System (or any successor), which additional or increased costs would increase the cost of funding loans bearing interest based upon the LIBOR Rate;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 In any such event, the affected Lender shall give Borrowers and Agent notice of such a determination and adjustment and Agent promptly shall transmit the notice to each other Lender and, upon its receipt of the notice from the affected Lender, Borrowers may, by notice to such affected Lender (I) require such Lender to furnish to Borrowers a statement setting forth the basis for adjusting such LIBOR Rate and the method for determining the amount of such adjustment, or (II) repay the Loans bearing interest based upon the LIBOR Rate with respect to which such adjustment is made.</w:t>
      </w:r>
    </w:p>
    <w:p>
      <w:pPr>
        <w:spacing w:after="0" w:line="162" w:lineRule="exact"/>
        <w:rPr>
          <w:rFonts w:ascii="Arial" w:cs="Arial" w:eastAsia="Arial" w:hAnsi="Arial"/>
          <w:sz w:val="18"/>
          <w:szCs w:val="18"/>
          <w:color w:val="auto"/>
        </w:rPr>
      </w:pPr>
    </w:p>
    <w:p>
      <w:pPr>
        <w:jc w:val="both"/>
        <w:ind w:left="860" w:firstLine="1457"/>
        <w:spacing w:after="0" w:line="274" w:lineRule="auto"/>
        <w:tabs>
          <w:tab w:leader="none" w:pos="3233" w:val="left"/>
        </w:tabs>
        <w:numPr>
          <w:ilvl w:val="0"/>
          <w:numId w:val="97"/>
        </w:numPr>
        <w:rPr>
          <w:rFonts w:ascii="Arial" w:cs="Arial" w:eastAsia="Arial" w:hAnsi="Arial"/>
          <w:sz w:val="18"/>
          <w:szCs w:val="18"/>
          <w:color w:val="auto"/>
        </w:rPr>
      </w:pPr>
      <w:r>
        <w:rPr>
          <w:rFonts w:ascii="Arial" w:cs="Arial" w:eastAsia="Arial" w:hAnsi="Arial"/>
          <w:sz w:val="19"/>
          <w:szCs w:val="19"/>
          <w:color w:val="auto"/>
        </w:rPr>
        <w:t xml:space="preserve">In the event that any change in market conditions or any law, regulation, treaty, or directive, or any change therein or in the interpretation of application thereof, shall at any time after the date hereof, in the reasonable opinion of any Lender, make it unlawful or impractical for such Lender to maintain Loans bearing interest based upon the LIBOR Rate or to continue such maintaining, or to determine or charge interest rates at the LIBOR Rate, such Lender shall give notice of such changed circumstances to Agent and Borrowers and Agent promptly shall transmit the notice to each other Lender, (I) in the case of the pro rata share of the Term Loan held by such Lender and then outstanding, the date specified in such Lender’s notice shall be deemed to be the last day of the Interest Period of such portion of the Term Loan, and interest upon such portion thereafter shall accrue interest at the Base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and</w:t>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48" w:name="page149"/>
    <w:bookmarkEnd w:id="148"/>
    <w:p>
      <w:pPr>
        <w:jc w:val="both"/>
        <w:ind w:left="1740" w:hanging="5"/>
        <w:spacing w:after="0"/>
        <w:tabs>
          <w:tab w:leader="none" w:pos="2112"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such portion of the Term Loan shall continue to accrue interest at the Base Rate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Margin until such Lender determines that it would no longer be unlawful or impractical to maintain such Term Loan at the LIBOR Rate.</w:t>
      </w:r>
    </w:p>
    <w:p>
      <w:pPr>
        <w:spacing w:after="0" w:line="186" w:lineRule="exact"/>
        <w:rPr>
          <w:rFonts w:ascii="Arial" w:cs="Arial" w:eastAsia="Arial" w:hAnsi="Arial"/>
          <w:sz w:val="22"/>
          <w:szCs w:val="22"/>
          <w:color w:val="auto"/>
        </w:rPr>
      </w:pPr>
    </w:p>
    <w:p>
      <w:pPr>
        <w:jc w:val="both"/>
        <w:ind w:left="1740" w:firstLine="1457"/>
        <w:spacing w:after="0"/>
        <w:tabs>
          <w:tab w:leader="none" w:pos="4113" w:val="left"/>
        </w:tabs>
        <w:numPr>
          <w:ilvl w:val="1"/>
          <w:numId w:val="98"/>
        </w:numPr>
        <w:rPr>
          <w:rFonts w:ascii="Arial" w:cs="Arial" w:eastAsia="Arial" w:hAnsi="Arial"/>
          <w:sz w:val="20"/>
          <w:szCs w:val="20"/>
          <w:color w:val="auto"/>
        </w:rPr>
      </w:pPr>
      <w:r>
        <w:rPr>
          <w:rFonts w:ascii="Arial" w:cs="Arial" w:eastAsia="Arial" w:hAnsi="Arial"/>
          <w:sz w:val="22"/>
          <w:szCs w:val="22"/>
          <w:color w:val="auto"/>
        </w:rPr>
        <w:t>Anything to the contrary contained herein notwithstanding, neither Agent nor any Lender is required actually to acquire eurodollar deposits to fund or otherwise match fund any Obligation as to which interest accrues based on the LIBOR Rate.</w:t>
      </w:r>
    </w:p>
    <w:p>
      <w:pPr>
        <w:spacing w:after="0" w:line="19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6"/>
          <w:szCs w:val="16"/>
          <w:u w:val="single" w:color="auto"/>
          <w:color w:val="auto"/>
        </w:rPr>
        <w:t>Interest, Interest Calculations and Certain Fees</w:t>
      </w:r>
      <w:r>
        <w:rPr>
          <w:rFonts w:ascii="Arial" w:cs="Arial" w:eastAsia="Arial" w:hAnsi="Arial"/>
          <w:sz w:val="16"/>
          <w:szCs w:val="16"/>
          <w:color w:val="auto"/>
        </w:rPr>
        <w:t>.</w:t>
      </w:r>
    </w:p>
    <w:p>
      <w:pPr>
        <w:spacing w:after="0" w:line="211" w:lineRule="exact"/>
        <w:rPr>
          <w:sz w:val="20"/>
          <w:szCs w:val="20"/>
          <w:color w:val="auto"/>
        </w:rPr>
      </w:pPr>
    </w:p>
    <w:p>
      <w:pPr>
        <w:jc w:val="both"/>
        <w:ind w:firstLine="1735"/>
        <w:spacing w:after="0" w:line="252" w:lineRule="auto"/>
        <w:tabs>
          <w:tab w:leader="none" w:pos="2595" w:val="left"/>
        </w:tabs>
        <w:numPr>
          <w:ilvl w:val="0"/>
          <w:numId w:val="99"/>
        </w:numPr>
        <w:rPr>
          <w:rFonts w:ascii="Arial" w:cs="Arial" w:eastAsia="Arial" w:hAnsi="Arial"/>
          <w:sz w:val="19"/>
          <w:szCs w:val="19"/>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 xml:space="preserve">. From and following the Closing Date, except as expressly set forth in this Agreement, Loans and the other Obligations shall bear interest at the sum of the LIBOR Rate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Applicable Margin. Interest on the Loans shall be paid monthly in arrears on the first (1st) day of each month and on the maturity of such Loans, whether by acceleration or otherwise. Interest on all other Obligations shall be payable upon demand.</w:t>
      </w:r>
    </w:p>
    <w:p>
      <w:pPr>
        <w:spacing w:after="0" w:line="173" w:lineRule="exact"/>
        <w:rPr>
          <w:rFonts w:ascii="Arial" w:cs="Arial" w:eastAsia="Arial" w:hAnsi="Arial"/>
          <w:sz w:val="19"/>
          <w:szCs w:val="19"/>
          <w:color w:val="auto"/>
        </w:rPr>
      </w:pPr>
    </w:p>
    <w:p>
      <w:pPr>
        <w:ind w:firstLine="1735"/>
        <w:spacing w:after="0" w:line="250" w:lineRule="auto"/>
        <w:tabs>
          <w:tab w:leader="none" w:pos="2606" w:val="left"/>
        </w:tabs>
        <w:numPr>
          <w:ilvl w:val="0"/>
          <w:numId w:val="99"/>
        </w:numPr>
        <w:rPr>
          <w:rFonts w:ascii="Arial" w:cs="Arial" w:eastAsia="Arial" w:hAnsi="Arial"/>
          <w:sz w:val="20"/>
          <w:szCs w:val="20"/>
          <w:color w:val="auto"/>
        </w:rPr>
      </w:pPr>
      <w:r>
        <w:rPr>
          <w:rFonts w:ascii="Arial" w:cs="Arial" w:eastAsia="Arial" w:hAnsi="Arial"/>
          <w:sz w:val="22"/>
          <w:szCs w:val="22"/>
          <w:u w:val="single" w:color="auto"/>
          <w:color w:val="auto"/>
        </w:rPr>
        <w:t>Fee Letter</w:t>
      </w:r>
      <w:r>
        <w:rPr>
          <w:rFonts w:ascii="Arial" w:cs="Arial" w:eastAsia="Arial" w:hAnsi="Arial"/>
          <w:sz w:val="22"/>
          <w:szCs w:val="22"/>
          <w:color w:val="auto"/>
        </w:rPr>
        <w:t>. In addition to the other fees set forth herein, the Borrowers agree to pay Agent and/or Lenders (as applicable) the fees set forth in each Fee Letter.</w:t>
      </w:r>
    </w:p>
    <w:p>
      <w:pPr>
        <w:spacing w:after="0" w:line="174" w:lineRule="exact"/>
        <w:rPr>
          <w:rFonts w:ascii="Arial" w:cs="Arial" w:eastAsia="Arial" w:hAnsi="Arial"/>
          <w:sz w:val="20"/>
          <w:szCs w:val="20"/>
          <w:color w:val="auto"/>
        </w:rPr>
      </w:pPr>
    </w:p>
    <w:p>
      <w:pPr>
        <w:jc w:val="both"/>
        <w:ind w:firstLine="1735"/>
        <w:spacing w:after="0" w:line="279" w:lineRule="auto"/>
        <w:tabs>
          <w:tab w:leader="none" w:pos="2595" w:val="left"/>
        </w:tabs>
        <w:numPr>
          <w:ilvl w:val="0"/>
          <w:numId w:val="99"/>
        </w:numPr>
        <w:rPr>
          <w:rFonts w:ascii="Arial" w:cs="Arial" w:eastAsia="Arial" w:hAnsi="Arial"/>
          <w:sz w:val="18"/>
          <w:szCs w:val="18"/>
          <w:color w:val="auto"/>
        </w:rPr>
      </w:pPr>
      <w:r>
        <w:rPr>
          <w:rFonts w:ascii="Arial" w:cs="Arial" w:eastAsia="Arial" w:hAnsi="Arial"/>
          <w:sz w:val="19"/>
          <w:szCs w:val="19"/>
          <w:u w:val="single" w:color="auto"/>
          <w:color w:val="auto"/>
        </w:rPr>
        <w:t>Audit Fees</w:t>
      </w:r>
      <w:r>
        <w:rPr>
          <w:rFonts w:ascii="Arial" w:cs="Arial" w:eastAsia="Arial" w:hAnsi="Arial"/>
          <w:sz w:val="19"/>
          <w:szCs w:val="19"/>
          <w:color w:val="auto"/>
        </w:rPr>
        <w:t>. Borrowers shall pay to Agent, for its own account and not for the benefit of any other Lenders, all reasonable fees and expenses in connection with audits and inspections of Borrowers’ books and records, audits, valuations or appraisals of the Collateral, audits of Borrowers’ compliance with applicable Laws and such other matters as Agent shall deem appropriate, which shall be due and payable on the first Business Day of the month following the date of issuance by Agent of a written request for payment thereof to Borrowers. Notwithstanding the foregoing, so long as no Event of Default has occurred and is continuing, Borrowers shall not be required to reimburse Agent for more than two (2) audits per fiscal year.</w:t>
      </w:r>
    </w:p>
    <w:p>
      <w:pPr>
        <w:spacing w:after="0" w:line="150" w:lineRule="exact"/>
        <w:rPr>
          <w:rFonts w:ascii="Arial" w:cs="Arial" w:eastAsia="Arial" w:hAnsi="Arial"/>
          <w:sz w:val="18"/>
          <w:szCs w:val="18"/>
          <w:color w:val="auto"/>
        </w:rPr>
      </w:pPr>
    </w:p>
    <w:p>
      <w:pPr>
        <w:jc w:val="both"/>
        <w:ind w:firstLine="1735"/>
        <w:spacing w:after="0"/>
        <w:tabs>
          <w:tab w:leader="none" w:pos="2606" w:val="left"/>
        </w:tabs>
        <w:numPr>
          <w:ilvl w:val="0"/>
          <w:numId w:val="99"/>
        </w:numPr>
        <w:rPr>
          <w:rFonts w:ascii="Arial" w:cs="Arial" w:eastAsia="Arial" w:hAnsi="Arial"/>
          <w:sz w:val="20"/>
          <w:szCs w:val="20"/>
          <w:color w:val="auto"/>
        </w:rPr>
      </w:pPr>
      <w:r>
        <w:rPr>
          <w:rFonts w:ascii="Arial" w:cs="Arial" w:eastAsia="Arial" w:hAnsi="Arial"/>
          <w:sz w:val="22"/>
          <w:szCs w:val="22"/>
          <w:u w:val="single" w:color="auto"/>
          <w:color w:val="auto"/>
        </w:rPr>
        <w:t>Wire Fees</w:t>
      </w:r>
      <w:r>
        <w:rPr>
          <w:rFonts w:ascii="Arial" w:cs="Arial" w:eastAsia="Arial" w:hAnsi="Arial"/>
          <w:sz w:val="22"/>
          <w:szCs w:val="22"/>
          <w:color w:val="auto"/>
        </w:rPr>
        <w:t>. Borrowers shall pay to Agent, for its own account and not for the account of any other Lenders, on written demand, fees for incoming and outgoing wires made for the account of Borrowers, such fees to be based on Agent’s then current wire fee schedule (available upon written request of the Borrowers).</w:t>
      </w:r>
    </w:p>
    <w:p>
      <w:pPr>
        <w:spacing w:after="0" w:line="186" w:lineRule="exact"/>
        <w:rPr>
          <w:rFonts w:ascii="Arial" w:cs="Arial" w:eastAsia="Arial" w:hAnsi="Arial"/>
          <w:sz w:val="20"/>
          <w:szCs w:val="20"/>
          <w:color w:val="auto"/>
        </w:rPr>
      </w:pPr>
    </w:p>
    <w:p>
      <w:pPr>
        <w:jc w:val="both"/>
        <w:ind w:firstLine="1735"/>
        <w:spacing w:after="0" w:line="282" w:lineRule="auto"/>
        <w:tabs>
          <w:tab w:leader="none" w:pos="2595" w:val="left"/>
        </w:tabs>
        <w:numPr>
          <w:ilvl w:val="0"/>
          <w:numId w:val="99"/>
        </w:numPr>
        <w:rPr>
          <w:rFonts w:ascii="Arial" w:cs="Arial" w:eastAsia="Arial" w:hAnsi="Arial"/>
          <w:sz w:val="18"/>
          <w:szCs w:val="18"/>
          <w:color w:val="auto"/>
        </w:rPr>
      </w:pPr>
      <w:r>
        <w:rPr>
          <w:rFonts w:ascii="Arial" w:cs="Arial" w:eastAsia="Arial" w:hAnsi="Arial"/>
          <w:sz w:val="19"/>
          <w:szCs w:val="19"/>
          <w:u w:val="single" w:color="auto"/>
          <w:color w:val="auto"/>
        </w:rPr>
        <w:t>Late Charges</w:t>
      </w:r>
      <w:r>
        <w:rPr>
          <w:rFonts w:ascii="Arial" w:cs="Arial" w:eastAsia="Arial" w:hAnsi="Arial"/>
          <w:sz w:val="19"/>
          <w:szCs w:val="19"/>
          <w:color w:val="auto"/>
        </w:rPr>
        <w:t>. If payments of principal (other than a final installment of principal upon the Termination Date), interest due on the Obligations, or any other amounts due hereunder or under the other Financing Documents are not timely made and remain overdue for a period of five (5) days, Borrowers, without notice or demand by Agent, promptly shall pay to Agent, for its own account and not for the benefit of any other Lenders, as additional compensation to Agent in administering the Obligations, an amount equal to three percent (3.0%) of each delinquent payment.</w:t>
      </w:r>
    </w:p>
    <w:p>
      <w:pPr>
        <w:spacing w:after="0" w:line="147" w:lineRule="exact"/>
        <w:rPr>
          <w:rFonts w:ascii="Arial" w:cs="Arial" w:eastAsia="Arial" w:hAnsi="Arial"/>
          <w:sz w:val="18"/>
          <w:szCs w:val="18"/>
          <w:color w:val="auto"/>
        </w:rPr>
      </w:pPr>
    </w:p>
    <w:p>
      <w:pPr>
        <w:jc w:val="both"/>
        <w:ind w:firstLine="1735"/>
        <w:spacing w:after="0" w:line="252" w:lineRule="auto"/>
        <w:tabs>
          <w:tab w:leader="none" w:pos="2573" w:val="left"/>
        </w:tabs>
        <w:numPr>
          <w:ilvl w:val="0"/>
          <w:numId w:val="99"/>
        </w:numPr>
        <w:rPr>
          <w:rFonts w:ascii="Arial" w:cs="Arial" w:eastAsia="Arial" w:hAnsi="Arial"/>
          <w:sz w:val="19"/>
          <w:szCs w:val="19"/>
          <w:color w:val="auto"/>
        </w:rPr>
      </w:pPr>
      <w:r>
        <w:rPr>
          <w:rFonts w:ascii="Arial" w:cs="Arial" w:eastAsia="Arial" w:hAnsi="Arial"/>
          <w:sz w:val="21"/>
          <w:szCs w:val="21"/>
          <w:u w:val="single" w:color="auto"/>
          <w:color w:val="auto"/>
        </w:rPr>
        <w:t>Computation of Interest and Related Fees</w:t>
      </w:r>
      <w:r>
        <w:rPr>
          <w:rFonts w:ascii="Arial" w:cs="Arial" w:eastAsia="Arial" w:hAnsi="Arial"/>
          <w:sz w:val="21"/>
          <w:szCs w:val="21"/>
          <w:color w:val="auto"/>
        </w:rPr>
        <w:t>. All interest and fees under each Financing Document shall be calculated on the basis of a 360-day year for the actual number of days elapsed. The date of funding of a Loan shall be included in the calculation of interest. The date of payment of a Loan shall be excluded from the calculation of interest. If a Loan is repaid on the same day that it is made, one (1) day’s interest shall be charged.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9" w:name="page150"/>
    <w:bookmarkEnd w:id="149"/>
    <w:p>
      <w:pPr>
        <w:jc w:val="both"/>
        <w:ind w:firstLine="1735"/>
        <w:spacing w:after="0" w:line="277" w:lineRule="auto"/>
        <w:tabs>
          <w:tab w:leader="none" w:pos="2606" w:val="left"/>
        </w:tabs>
        <w:numPr>
          <w:ilvl w:val="0"/>
          <w:numId w:val="100"/>
        </w:numPr>
        <w:rPr>
          <w:rFonts w:ascii="Arial" w:cs="Arial" w:eastAsia="Arial" w:hAnsi="Arial"/>
          <w:sz w:val="18"/>
          <w:szCs w:val="18"/>
          <w:color w:val="auto"/>
        </w:rPr>
      </w:pPr>
      <w:r>
        <w:rPr>
          <w:rFonts w:ascii="Arial" w:cs="Arial" w:eastAsia="Arial" w:hAnsi="Arial"/>
          <w:sz w:val="19"/>
          <w:szCs w:val="19"/>
          <w:u w:val="single" w:color="auto"/>
          <w:color w:val="auto"/>
        </w:rPr>
        <w:t>Automated Clearing House Payments</w:t>
      </w:r>
      <w:r>
        <w:rPr>
          <w:rFonts w:ascii="Arial" w:cs="Arial" w:eastAsia="Arial" w:hAnsi="Arial"/>
          <w:sz w:val="19"/>
          <w:szCs w:val="19"/>
          <w:color w:val="auto"/>
        </w:rPr>
        <w:t>. If Agent (or its designated servicer or trustee on behalf of a securitization vehicle) so elects, monthly payments of principal, interest, fees, expenses or any other amounts due and owing from Borrower to Agent hereunder shall be paid to Agent by Automated Clearing House debit of immediately available funds from the financial institution account designated by Borrower Representative in the Automated Clearing House debit authorization executed by Borrowers or Borrower Representative in connection with this Agreement, and shall be effective upon receipt. Borrowers shall execute any and all forms and documentation necessary from time to time to effectuate such automatic debiting. In no event shall any such payments be refunded to Borrowers.</w:t>
      </w:r>
    </w:p>
    <w:p>
      <w:pPr>
        <w:spacing w:after="0" w:line="15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Notes</w:t>
      </w:r>
      <w:r>
        <w:rPr>
          <w:rFonts w:ascii="Arial" w:cs="Arial" w:eastAsia="Arial" w:hAnsi="Arial"/>
          <w:sz w:val="21"/>
          <w:szCs w:val="21"/>
          <w:color w:val="auto"/>
        </w:rPr>
        <w:t>. The portion of the Loans made by each Lender shall be evidenced, if so requested by such</w:t>
      </w:r>
      <w:r>
        <w:rPr>
          <w:rFonts w:ascii="Arial" w:cs="Arial" w:eastAsia="Arial" w:hAnsi="Arial"/>
          <w:sz w:val="20"/>
          <w:szCs w:val="20"/>
          <w:color w:val="auto"/>
        </w:rPr>
        <w:t xml:space="preserve"> </w:t>
      </w:r>
      <w:r>
        <w:rPr>
          <w:rFonts w:ascii="Arial" w:cs="Arial" w:eastAsia="Arial" w:hAnsi="Arial"/>
          <w:sz w:val="21"/>
          <w:szCs w:val="21"/>
          <w:color w:val="auto"/>
        </w:rPr>
        <w:t>Lender, by one or more promissory notes executed by Borrowers on a joint and several basis (each, a “</w:t>
      </w:r>
      <w:r>
        <w:rPr>
          <w:rFonts w:ascii="Arial" w:cs="Arial" w:eastAsia="Arial" w:hAnsi="Arial"/>
          <w:sz w:val="21"/>
          <w:szCs w:val="21"/>
          <w:b w:val="1"/>
          <w:bCs w:val="1"/>
          <w:color w:val="auto"/>
        </w:rPr>
        <w:t>Note</w:t>
      </w:r>
      <w:r>
        <w:rPr>
          <w:rFonts w:ascii="Arial" w:cs="Arial" w:eastAsia="Arial" w:hAnsi="Arial"/>
          <w:sz w:val="21"/>
          <w:szCs w:val="21"/>
          <w:color w:val="auto"/>
        </w:rPr>
        <w:t>”) in an original principal amount equal to such Lender’s Term Loan Commitments.</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Arial" w:cs="Arial" w:eastAsia="Arial" w:hAnsi="Arial"/>
                <w:sz w:val="20"/>
                <w:szCs w:val="20"/>
                <w:color w:val="auto"/>
              </w:rPr>
              <w:t>Section 2.4</w:t>
            </w:r>
          </w:p>
        </w:tc>
        <w:tc>
          <w:tcPr>
            <w:tcW w:w="442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520" w:type="dxa"/>
            <w:vAlign w:val="bottom"/>
          </w:tcPr>
          <w:p>
            <w:pPr>
              <w:spacing w:after="0"/>
              <w:rPr>
                <w:sz w:val="20"/>
                <w:szCs w:val="20"/>
                <w:color w:val="auto"/>
              </w:rPr>
            </w:pPr>
            <w:r>
              <w:rPr>
                <w:rFonts w:ascii="Arial" w:cs="Arial" w:eastAsia="Arial" w:hAnsi="Arial"/>
                <w:sz w:val="20"/>
                <w:szCs w:val="20"/>
                <w:color w:val="auto"/>
              </w:rPr>
              <w:t>Section 2.5</w:t>
            </w:r>
          </w:p>
        </w:tc>
        <w:tc>
          <w:tcPr>
            <w:tcW w:w="442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1520" w:type="dxa"/>
            <w:vAlign w:val="bottom"/>
          </w:tcPr>
          <w:p>
            <w:pPr>
              <w:spacing w:after="0"/>
              <w:rPr>
                <w:sz w:val="20"/>
                <w:szCs w:val="20"/>
                <w:color w:val="auto"/>
              </w:rPr>
            </w:pPr>
            <w:r>
              <w:rPr>
                <w:rFonts w:ascii="Arial" w:cs="Arial" w:eastAsia="Arial" w:hAnsi="Arial"/>
                <w:sz w:val="20"/>
                <w:szCs w:val="20"/>
                <w:color w:val="auto"/>
              </w:rPr>
              <w:t>Section 2.6</w:t>
            </w:r>
          </w:p>
        </w:tc>
        <w:tc>
          <w:tcPr>
            <w:tcW w:w="4420" w:type="dxa"/>
            <w:vAlign w:val="bottom"/>
            <w:gridSpan w:val="3"/>
          </w:tcPr>
          <w:p>
            <w:pPr>
              <w:spacing w:after="0"/>
              <w:rPr>
                <w:sz w:val="20"/>
                <w:szCs w:val="20"/>
                <w:color w:val="auto"/>
              </w:rPr>
            </w:pPr>
            <w:r>
              <w:rPr>
                <w:rFonts w:ascii="Arial" w:cs="Arial" w:eastAsia="Arial" w:hAnsi="Arial"/>
                <w:sz w:val="20"/>
                <w:szCs w:val="20"/>
                <w:color w:val="auto"/>
                <w:w w:val="89"/>
              </w:rPr>
              <w:t>General Provisions Regarding Payment; Loan Account.</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1735"/>
        <w:spacing w:after="0" w:line="244" w:lineRule="auto"/>
        <w:tabs>
          <w:tab w:leader="none" w:pos="2595" w:val="left"/>
        </w:tabs>
        <w:numPr>
          <w:ilvl w:val="0"/>
          <w:numId w:val="101"/>
        </w:numPr>
        <w:rPr>
          <w:rFonts w:ascii="Arial" w:cs="Arial" w:eastAsia="Arial" w:hAnsi="Arial"/>
          <w:sz w:val="19"/>
          <w:szCs w:val="19"/>
          <w:color w:val="auto"/>
        </w:rPr>
      </w:pPr>
      <w:r>
        <w:rPr>
          <w:rFonts w:ascii="Arial" w:cs="Arial" w:eastAsia="Arial" w:hAnsi="Arial"/>
          <w:sz w:val="21"/>
          <w:szCs w:val="21"/>
          <w:color w:val="auto"/>
        </w:rPr>
        <w:t>All payments to be made by each Borrower under any Financing Document, including payments of principal and interest made hereunder and pursuant to any other Financing Document, and all fees, expenses, indemnities and reimbursements, shall be made without set-off, recoupment or counterclaim. If any payment hereunder becomes due and payable on a day other than a Business Day, such payment shall be extended to the next succeeding Business Day and, with respect to payments of principal, interest thereon shall be payable at the then applicable rate during such extension (it being understood and agreed that, solely for purposes of calculating financial covenants and computations contained herein and determining compliance therewith, if payment is made, in full, on any such extended due date, such payment shall be deemed to have been paid on the original due date without giving effect to any extension thereto). Any payments received in the Payment Account before 12:00 Noon (Eastern time) on any date shall be deemed received by Agent on such date, and any payments received in the Payment Account at or after 12:00 Noon (Eastern time) on any date shall be deemed received by Agent on the next succeeding Business Day.</w:t>
      </w:r>
    </w:p>
    <w:p>
      <w:pPr>
        <w:spacing w:after="0" w:line="182" w:lineRule="exact"/>
        <w:rPr>
          <w:rFonts w:ascii="Arial" w:cs="Arial" w:eastAsia="Arial" w:hAnsi="Arial"/>
          <w:sz w:val="19"/>
          <w:szCs w:val="19"/>
          <w:color w:val="auto"/>
        </w:rPr>
      </w:pPr>
    </w:p>
    <w:p>
      <w:pPr>
        <w:jc w:val="both"/>
        <w:ind w:firstLine="1735"/>
        <w:spacing w:after="0" w:line="274" w:lineRule="auto"/>
        <w:tabs>
          <w:tab w:leader="none" w:pos="2606" w:val="left"/>
        </w:tabs>
        <w:numPr>
          <w:ilvl w:val="0"/>
          <w:numId w:val="101"/>
        </w:numPr>
        <w:rPr>
          <w:rFonts w:ascii="Arial" w:cs="Arial" w:eastAsia="Arial" w:hAnsi="Arial"/>
          <w:sz w:val="18"/>
          <w:szCs w:val="18"/>
          <w:color w:val="auto"/>
        </w:rPr>
      </w:pPr>
      <w:r>
        <w:rPr>
          <w:rFonts w:ascii="Arial" w:cs="Arial" w:eastAsia="Arial" w:hAnsi="Arial"/>
          <w:sz w:val="19"/>
          <w:szCs w:val="19"/>
          <w:color w:val="auto"/>
        </w:rPr>
        <w:t>Agent shall maintain a loan account in the Register (the “</w:t>
      </w:r>
      <w:r>
        <w:rPr>
          <w:rFonts w:ascii="Arial" w:cs="Arial" w:eastAsia="Arial" w:hAnsi="Arial"/>
          <w:sz w:val="19"/>
          <w:szCs w:val="19"/>
          <w:b w:val="1"/>
          <w:bCs w:val="1"/>
          <w:color w:val="auto"/>
        </w:rPr>
        <w:t>Loan Account</w:t>
      </w:r>
      <w:r>
        <w:rPr>
          <w:rFonts w:ascii="Arial" w:cs="Arial" w:eastAsia="Arial" w:hAnsi="Arial"/>
          <w:sz w:val="19"/>
          <w:szCs w:val="19"/>
          <w:color w:val="auto"/>
        </w:rPr>
        <w:t xml:space="preserve">”) on its books to record Loans and other extensions of credit made by the Lenders hereunder or under any other Financing Document, and all payments thereon made by each Borrower. All entries in the Loan Account shall be made in accordance with Agent’s customary accounting practices as in effect from time to time. The balance in the Loan Account, as recorded in Agent’s books and records at any time shall be conclusive and binding evidence of the amounts due and owing to Agent by each Borrower absent manifest error;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failure to so record or any error in so recording shall not limit or otherwise affect any Borrower’s ultimate obligation to pay all amounts owing hereunder or under any other Financing Document. Agent shall provide Borrowers with a monthly statement regarding the Loan Account. Unless any Borrower notifies Agent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0" w:name="page151"/>
    <w:bookmarkEnd w:id="150"/>
    <w:p>
      <w:pPr>
        <w:jc w:val="both"/>
        <w:ind w:firstLine="864"/>
        <w:spacing w:after="0" w:line="256"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Maximum Interest</w:t>
      </w:r>
      <w:r>
        <w:rPr>
          <w:rFonts w:ascii="Arial" w:cs="Arial" w:eastAsia="Arial" w:hAnsi="Arial"/>
          <w:sz w:val="20"/>
          <w:szCs w:val="20"/>
          <w:color w:val="auto"/>
        </w:rPr>
        <w:t>. In no event shall the interest charged with respect to the Loans or any other</w:t>
      </w:r>
      <w:r>
        <w:rPr>
          <w:rFonts w:ascii="Arial" w:cs="Arial" w:eastAsia="Arial" w:hAnsi="Arial"/>
          <w:sz w:val="19"/>
          <w:szCs w:val="19"/>
          <w:color w:val="auto"/>
        </w:rPr>
        <w:t xml:space="preserve"> </w:t>
      </w:r>
      <w:r>
        <w:rPr>
          <w:rFonts w:ascii="Arial" w:cs="Arial" w:eastAsia="Arial" w:hAnsi="Arial"/>
          <w:sz w:val="20"/>
          <w:szCs w:val="20"/>
          <w:color w:val="auto"/>
        </w:rPr>
        <w:t>Obligations of any Borrower under any Financing Document exceed the maximum amount permitted under the laws of the State of New York or of any other applicable jurisdiction. Notwithstanding anything to the contrary herein or elsewhere, if at any time the rate of interest payable hereunder or under any Note or other Financing Document (the “</w:t>
      </w:r>
      <w:r>
        <w:rPr>
          <w:rFonts w:ascii="Arial" w:cs="Arial" w:eastAsia="Arial" w:hAnsi="Arial"/>
          <w:sz w:val="20"/>
          <w:szCs w:val="20"/>
          <w:b w:val="1"/>
          <w:bCs w:val="1"/>
          <w:color w:val="auto"/>
        </w:rPr>
        <w:t>Stated Rate</w:t>
      </w:r>
      <w:r>
        <w:rPr>
          <w:rFonts w:ascii="Arial" w:cs="Arial" w:eastAsia="Arial" w:hAnsi="Arial"/>
          <w:sz w:val="20"/>
          <w:szCs w:val="20"/>
          <w:color w:val="auto"/>
        </w:rPr>
        <w:t>”) would exceed the highest rate of interest permitted under any applicable Law to be charged (the “</w:t>
      </w:r>
      <w:r>
        <w:rPr>
          <w:rFonts w:ascii="Arial" w:cs="Arial" w:eastAsia="Arial" w:hAnsi="Arial"/>
          <w:sz w:val="20"/>
          <w:szCs w:val="20"/>
          <w:b w:val="1"/>
          <w:bCs w:val="1"/>
          <w:color w:val="auto"/>
        </w:rPr>
        <w:t>Maximum Lawful Rate</w:t>
      </w:r>
      <w:r>
        <w:rPr>
          <w:rFonts w:ascii="Arial" w:cs="Arial" w:eastAsia="Arial" w:hAnsi="Arial"/>
          <w:sz w:val="20"/>
          <w:szCs w:val="20"/>
          <w:color w:val="auto"/>
        </w:rPr>
        <w:t xml:space="preserve">”), then for so long as the Maximum Lawful Rate would be so exceeded, the rate of interest payable shall be equal to the Maximum Lawful Rate;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at any time thereafter the Stated Rate is less than the Maximum Lawful Rate, each Borrower shall, to the extent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permitted by law, continue to pay interest at the Maximum Lawful Rate until such time as the total interest received is equal to the total interest which would have been received had the Stated Rate been (but for the operation of this provision) the interest rate payable. Thereafter, the interest rate payable shall be the Stated Rate unless and until the Stated Rate again would exceed the Maximum Lawful Rate, in which event this provision shall again apply. In no event shall the total interest received by any Lender exceed the amount which it could lawfully have received had the interest been calculated for the full term hereof at the Maximum Lawful Rate. If, notwithstanding the prior sentence, any Lender has received interest hereunder in excess of the Maximum Lawful Rate, such excess amount shall be applied to the reduction of the principal balance of the Loans or to other amounts (other than interest) payable hereunder, and if no such principal or other amounts are then outstanding, such excess or part thereof remaining shall be paid to Borrowers. In computing interest payable with reference to the Maximum Lawful Rate applicable to any Lender, such interest shall be calculated at a daily rate equal to the Maximum Lawful Rate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number of days in the year in which such calculation is made.</w:t>
      </w:r>
    </w:p>
    <w:p>
      <w:pPr>
        <w:spacing w:after="0" w:line="179"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6"/>
          <w:szCs w:val="16"/>
          <w:u w:val="single" w:color="auto"/>
          <w:color w:val="auto"/>
        </w:rPr>
        <w:t>Taxes; Capital Adequacy</w:t>
      </w:r>
      <w:r>
        <w:rPr>
          <w:rFonts w:ascii="Arial" w:cs="Arial" w:eastAsia="Arial" w:hAnsi="Arial"/>
          <w:sz w:val="16"/>
          <w:szCs w:val="16"/>
          <w:color w:val="auto"/>
        </w:rPr>
        <w:t>.</w:t>
      </w:r>
    </w:p>
    <w:p>
      <w:pPr>
        <w:spacing w:after="0" w:line="211" w:lineRule="exact"/>
        <w:rPr>
          <w:sz w:val="20"/>
          <w:szCs w:val="20"/>
          <w:color w:val="auto"/>
        </w:rPr>
      </w:pPr>
    </w:p>
    <w:p>
      <w:pPr>
        <w:jc w:val="both"/>
        <w:ind w:firstLine="1735"/>
        <w:spacing w:after="0" w:line="271" w:lineRule="auto"/>
        <w:tabs>
          <w:tab w:leader="none" w:pos="2595" w:val="left"/>
        </w:tabs>
        <w:numPr>
          <w:ilvl w:val="0"/>
          <w:numId w:val="102"/>
        </w:numPr>
        <w:rPr>
          <w:rFonts w:ascii="Arial" w:cs="Arial" w:eastAsia="Arial" w:hAnsi="Arial"/>
          <w:sz w:val="18"/>
          <w:szCs w:val="18"/>
          <w:color w:val="auto"/>
        </w:rPr>
      </w:pPr>
      <w:r>
        <w:rPr>
          <w:rFonts w:ascii="Arial" w:cs="Arial" w:eastAsia="Arial" w:hAnsi="Arial"/>
          <w:sz w:val="19"/>
          <w:szCs w:val="19"/>
          <w:color w:val="auto"/>
        </w:rPr>
        <w:t>All payments of principal and interest on the Loans and all other amounts payable hereunder shall be made free and clear of and without deduction for any present or future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any such withholding or deduction is in respect of any Indemnified Taxes, then the Borrowers shall pay such additional amount or amounts as is necessary to ensure that the net amount actually received by Agent and each Lender will equal the full amount Agent and such Lender would have received had no such withholding or deduction been required (including, without limitation, such withholdings and deductions applicable to additional sums payable under this Section 2.8). As soon as practicable after payment of any Tax by a Borrower to a Governmental Authority pursuant to this Section 2.8, such Borrower shall promptly forward to Agent the original or a certified copy of an official receipt, a copy of the return reporting such payment, or other documentation reasonably satisfactory to Agent evidencing such payment to such authority. Borrowers shall timely pay to the relevant Governmental Authority in accordance with applicable Law, or at the option of Agent timely reimburse it for the payment of, any Other Taxes.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1" w:name="page152"/>
    <w:bookmarkEnd w:id="151"/>
    <w:p>
      <w:pPr>
        <w:jc w:val="both"/>
        <w:ind w:firstLine="1735"/>
        <w:spacing w:after="0" w:line="277" w:lineRule="auto"/>
        <w:tabs>
          <w:tab w:leader="none" w:pos="2606" w:val="left"/>
        </w:tabs>
        <w:numPr>
          <w:ilvl w:val="0"/>
          <w:numId w:val="103"/>
        </w:numPr>
        <w:rPr>
          <w:rFonts w:ascii="Arial" w:cs="Arial" w:eastAsia="Arial" w:hAnsi="Arial"/>
          <w:sz w:val="18"/>
          <w:szCs w:val="18"/>
          <w:color w:val="auto"/>
        </w:rPr>
      </w:pPr>
      <w:r>
        <w:rPr>
          <w:rFonts w:ascii="Arial" w:cs="Arial" w:eastAsia="Arial" w:hAnsi="Arial"/>
          <w:sz w:val="19"/>
          <w:szCs w:val="19"/>
          <w:color w:val="auto"/>
        </w:rPr>
        <w:t>The Borrowers shall indemnify Agent and Lenders, within ten (10) days after demand thereof, for the full amount of any Indemnified Taxes (including Indemnified Taxes imposed or asserted on or attributable to amounts payable under this Section 2.8) payable or paid by Agent or any Lender or required to be withheld or deducted from a payment to Agent or any Lender and any reasonable expenses arising therefrom or with respect thereto, whether or not such Indemnified Taxes and Other Taxes were correctly or legally imposed or asserted by the relevant Governmental Authority. A certificate in reasonable detail as to the amount of such payment or liability delivered to Borrowers by a Lender (with a copy to Agent), or by Agent on its own behalf or on behalf of a Lender, shall be conclusive absent manifest error.</w:t>
      </w:r>
    </w:p>
    <w:p>
      <w:pPr>
        <w:spacing w:after="0" w:line="151" w:lineRule="exact"/>
        <w:rPr>
          <w:rFonts w:ascii="Arial" w:cs="Arial" w:eastAsia="Arial" w:hAnsi="Arial"/>
          <w:sz w:val="18"/>
          <w:szCs w:val="18"/>
          <w:color w:val="auto"/>
        </w:rPr>
      </w:pPr>
    </w:p>
    <w:p>
      <w:pPr>
        <w:jc w:val="both"/>
        <w:ind w:firstLine="1735"/>
        <w:spacing w:after="0" w:line="244" w:lineRule="auto"/>
        <w:tabs>
          <w:tab w:leader="none" w:pos="2595" w:val="left"/>
        </w:tabs>
        <w:numPr>
          <w:ilvl w:val="0"/>
          <w:numId w:val="103"/>
        </w:numPr>
        <w:rPr>
          <w:rFonts w:ascii="Arial" w:cs="Arial" w:eastAsia="Arial" w:hAnsi="Arial"/>
          <w:sz w:val="19"/>
          <w:szCs w:val="19"/>
          <w:color w:val="auto"/>
        </w:rPr>
      </w:pPr>
      <w:r>
        <w:rPr>
          <w:rFonts w:ascii="Arial" w:cs="Arial" w:eastAsia="Arial" w:hAnsi="Arial"/>
          <w:sz w:val="21"/>
          <w:szCs w:val="21"/>
          <w:color w:val="auto"/>
        </w:rPr>
        <w:t>Any Lender that is entitled to an exemption from or reduction of withholding tax with respect to payments made under any Financing Document shall deliver to Borrower Representative and Agent, at the time or times prescribed by applicable Law or reasonably requested by Borrower Representative or Agent, such properly completed and executed documentation reasonably requested by Borrower Representative or Agent as will permit such payments to be made without withholding or at a reduced rate of withholding. In addition, any Lender, if reasonably requested by Borrower Representative or Agent, shall deliver such other documentation prescribed by applicable Law or reasonably requested by Borrowers or Agent as will enable Borrowers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2.8(c)(i), 2.8(c)(ii) and 2.8(e) below)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85" w:lineRule="exact"/>
        <w:rPr>
          <w:rFonts w:ascii="Arial" w:cs="Arial" w:eastAsia="Arial" w:hAnsi="Arial"/>
          <w:sz w:val="19"/>
          <w:szCs w:val="19"/>
          <w:color w:val="auto"/>
        </w:rPr>
      </w:pPr>
    </w:p>
    <w:p>
      <w:pPr>
        <w:jc w:val="both"/>
        <w:ind w:left="880" w:firstLine="1586"/>
        <w:spacing w:after="0" w:line="271" w:lineRule="auto"/>
        <w:tabs>
          <w:tab w:leader="none" w:pos="3309" w:val="left"/>
        </w:tabs>
        <w:numPr>
          <w:ilvl w:val="1"/>
          <w:numId w:val="103"/>
        </w:numPr>
        <w:rPr>
          <w:rFonts w:ascii="Arial" w:cs="Arial" w:eastAsia="Arial" w:hAnsi="Arial"/>
          <w:sz w:val="18"/>
          <w:szCs w:val="18"/>
          <w:color w:val="auto"/>
        </w:rPr>
      </w:pPr>
      <w:r>
        <w:rPr>
          <w:rFonts w:ascii="Arial" w:cs="Arial" w:eastAsia="Arial" w:hAnsi="Arial"/>
          <w:sz w:val="19"/>
          <w:szCs w:val="19"/>
          <w:color w:val="auto"/>
        </w:rPr>
        <w:t>Each Lender that is not a “United States person” (as such term is defined in Section 7701(a)(30) of the Code) for U.S. federal income tax purposes (each such Lender a “</w:t>
      </w:r>
      <w:r>
        <w:rPr>
          <w:rFonts w:ascii="Arial" w:cs="Arial" w:eastAsia="Arial" w:hAnsi="Arial"/>
          <w:sz w:val="19"/>
          <w:szCs w:val="19"/>
          <w:b w:val="1"/>
          <w:bCs w:val="1"/>
          <w:color w:val="auto"/>
        </w:rPr>
        <w:t>Foreign Lender</w:t>
      </w:r>
      <w:r>
        <w:rPr>
          <w:rFonts w:ascii="Arial" w:cs="Arial" w:eastAsia="Arial" w:hAnsi="Arial"/>
          <w:sz w:val="19"/>
          <w:szCs w:val="19"/>
          <w:color w:val="auto"/>
        </w:rPr>
        <w:t>”) shall, to the extent it is legally entitled to do so, execute and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Agent) whichever of the following is applicable: (A) in the case of a Foreign Lender claiming the benefits of an income tax treaty to which the United States is a party, (x) with respect to payments of interest under any Financing Document, properly completed and executed copies of United States Internal Revenue Service (“</w:t>
      </w:r>
      <w:r>
        <w:rPr>
          <w:rFonts w:ascii="Arial" w:cs="Arial" w:eastAsia="Arial" w:hAnsi="Arial"/>
          <w:sz w:val="19"/>
          <w:szCs w:val="19"/>
          <w:b w:val="1"/>
          <w:bCs w:val="1"/>
          <w:color w:val="auto"/>
        </w:rPr>
        <w:t>IRS</w:t>
      </w:r>
      <w:r>
        <w:rPr>
          <w:rFonts w:ascii="Arial" w:cs="Arial" w:eastAsia="Arial" w:hAnsi="Arial"/>
          <w:sz w:val="19"/>
          <w:szCs w:val="19"/>
          <w:color w:val="auto"/>
        </w:rPr>
        <w:t xml:space="preserve">”) Forms W-8BEN or W-8BEN-E (or successor form) establishing an exemption from, or reduction of, U.S. federal withholding tax pursuant to the “interest” article of such tax treaty and (y) with respect to any other applicable payments under any Financing Documents, properly completed and executed copies of IRS Forms W-8BEN or W-8BEN-E (or successor form) establishing an exemption from, or reduction of, U.S. federal withholding tax pursuant to the “business profits” or “other income” article of such tax treaty; (B) executed copies of Form W-8ECI (or successor form); (C) 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to the effect that such Foreign Lender is not a “bank” within the meaning of Section 871(h)(3)(B) of the Code, a “10 percent shareholder” of 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2" w:name="page153"/>
    <w:bookmarkEnd w:id="152"/>
    <w:p>
      <w:pPr>
        <w:jc w:val="both"/>
        <w:ind w:left="8"/>
        <w:spacing w:after="0" w:line="271" w:lineRule="auto"/>
        <w:rPr>
          <w:sz w:val="20"/>
          <w:szCs w:val="20"/>
          <w:color w:val="auto"/>
        </w:rPr>
      </w:pPr>
      <w:r>
        <w:rPr>
          <w:rFonts w:ascii="Arial" w:cs="Arial" w:eastAsia="Arial" w:hAnsi="Arial"/>
          <w:sz w:val="19"/>
          <w:szCs w:val="19"/>
          <w:color w:val="auto"/>
        </w:rPr>
        <w:t>Borrower within the meaning of Section 881(c)(3)(B) of the Code, or a “controlled foreign corporation” described in Section 881(c)(3)(C) of the Code (a “</w:t>
      </w:r>
      <w:r>
        <w:rPr>
          <w:rFonts w:ascii="Arial" w:cs="Arial" w:eastAsia="Arial" w:hAnsi="Arial"/>
          <w:sz w:val="19"/>
          <w:szCs w:val="19"/>
          <w:b w:val="1"/>
          <w:bCs w:val="1"/>
          <w:color w:val="auto"/>
        </w:rPr>
        <w:t>U.S. Tax Compliance Certificate</w:t>
      </w:r>
      <w:r>
        <w:rPr>
          <w:rFonts w:ascii="Arial" w:cs="Arial" w:eastAsia="Arial" w:hAnsi="Arial"/>
          <w:sz w:val="19"/>
          <w:szCs w:val="19"/>
          <w:color w:val="auto"/>
        </w:rPr>
        <w:t xml:space="preserve">”) and (y) executed copies of IRS Forms W-8BEN or W-8BEN-E (or successor form); (D) to the extent a Foreign Lender is not the beneficial owner, executed copies of IRS Form W-8IMY, accompanied by IRS Form W-8ECI, IRS Form W-8BEN or W-8BEN-E (or successor form), a U.S. Tax Compliance Certificate substantially in the form of </w:t>
      </w:r>
      <w:r>
        <w:rPr>
          <w:rFonts w:ascii="Arial" w:cs="Arial" w:eastAsia="Arial" w:hAnsi="Arial"/>
          <w:sz w:val="19"/>
          <w:szCs w:val="19"/>
          <w:u w:val="single" w:color="auto"/>
          <w:color w:val="auto"/>
        </w:rPr>
        <w:t>Exhibit E-2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E-3</w:t>
      </w:r>
      <w:r>
        <w:rPr>
          <w:rFonts w:ascii="Arial" w:cs="Arial" w:eastAsia="Arial" w:hAnsi="Arial"/>
          <w:sz w:val="19"/>
          <w:szCs w:val="19"/>
          <w:color w:val="auto"/>
        </w:rPr>
        <w:t xml:space="preserve">, IRS Form W-9 (or successor form), and/or other certification documents from each beneficial owner,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E-4</w:t>
      </w:r>
      <w:r>
        <w:rPr>
          <w:rFonts w:ascii="Arial" w:cs="Arial" w:eastAsia="Arial" w:hAnsi="Arial"/>
          <w:sz w:val="19"/>
          <w:szCs w:val="19"/>
          <w:color w:val="auto"/>
        </w:rPr>
        <w:t xml:space="preserve"> on behalf of each such direct and indirect partner; or (E) other applicable forms, certificates or documents prescribed by the IRS. Each Lender agrees that if any form or certification it previously delivered expires or becomes obsolete or inaccurate in any respect, it shall update such form or certification or promptly notify Borrower Representative and Agent in writing of its legal inability to do so. In addition, to the extent permitted by applicable Law, such forms shall be delivered by each Foreign Lender upon the obsolescence or invalidity of any form previously delivered by such Foreign Lender. Each Foreign Lender shall promptly notify Borrower Representative at any time it determines that it is no longer in a position to provide any previously delivered certificate to Borrower Representative (or any other form of certification adopted by the U.S. taxing authorities for such purpose).</w:t>
      </w:r>
    </w:p>
    <w:p>
      <w:pPr>
        <w:spacing w:after="0" w:line="157" w:lineRule="exact"/>
        <w:rPr>
          <w:sz w:val="20"/>
          <w:szCs w:val="20"/>
          <w:color w:val="auto"/>
        </w:rPr>
      </w:pPr>
    </w:p>
    <w:p>
      <w:pPr>
        <w:ind w:left="2488" w:hanging="894"/>
        <w:spacing w:after="0"/>
        <w:tabs>
          <w:tab w:leader="none" w:pos="2488" w:val="left"/>
        </w:tabs>
        <w:numPr>
          <w:ilvl w:val="1"/>
          <w:numId w:val="104"/>
        </w:numPr>
        <w:rPr>
          <w:rFonts w:ascii="Arial" w:cs="Arial" w:eastAsia="Arial" w:hAnsi="Arial"/>
          <w:sz w:val="18"/>
          <w:szCs w:val="18"/>
          <w:color w:val="auto"/>
        </w:rPr>
      </w:pPr>
      <w:r>
        <w:rPr>
          <w:rFonts w:ascii="Arial" w:cs="Arial" w:eastAsia="Arial" w:hAnsi="Arial"/>
          <w:sz w:val="19"/>
          <w:szCs w:val="19"/>
          <w:color w:val="auto"/>
        </w:rPr>
        <w:t>Each Lender that is a “United States person” (as such term is defined in Section 7701(a)</w:t>
      </w:r>
    </w:p>
    <w:p>
      <w:pPr>
        <w:spacing w:after="0" w:line="42" w:lineRule="exact"/>
        <w:rPr>
          <w:rFonts w:ascii="Arial" w:cs="Arial" w:eastAsia="Arial" w:hAnsi="Arial"/>
          <w:sz w:val="18"/>
          <w:szCs w:val="18"/>
          <w:color w:val="auto"/>
        </w:rPr>
      </w:pPr>
    </w:p>
    <w:p>
      <w:pPr>
        <w:jc w:val="both"/>
        <w:ind w:left="8" w:hanging="8"/>
        <w:spacing w:after="0" w:line="272" w:lineRule="auto"/>
        <w:tabs>
          <w:tab w:leader="none" w:pos="45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of the Code) for U.S. federal income tax purposes shall, to the extent permitted by Law, provide to Borrower Representative and Agent on or prior to the date on which such Lender becomes a Lender under this Agreement (and from time to time thereafter upon the reasonable request of the Borrower Representative or Agent), a properly completed and executed IRS Form W-9 or any successor form certifying as to such Lender’s entitlement to an exemption from U.S. federal backup withholding and other applicable forms, certificates or documents prescribed by the IRS or reasonably requested by Borrower Representative or Agent. Each such Lender shall promptly notify Borrowers at any time it determines that any certificate previously delivered to Borrower Representative (or any other form of certification adopted by the U.S. governmental authorities for such purposes) is no longer valid.</w:t>
      </w:r>
    </w:p>
    <w:p>
      <w:pPr>
        <w:spacing w:after="0" w:line="161" w:lineRule="exact"/>
        <w:rPr>
          <w:rFonts w:ascii="Arial" w:cs="Arial" w:eastAsia="Arial" w:hAnsi="Arial"/>
          <w:sz w:val="19"/>
          <w:szCs w:val="19"/>
          <w:color w:val="auto"/>
        </w:rPr>
      </w:pPr>
    </w:p>
    <w:p>
      <w:pPr>
        <w:jc w:val="both"/>
        <w:ind w:left="8" w:firstLine="1586"/>
        <w:spacing w:after="0" w:line="246" w:lineRule="auto"/>
        <w:tabs>
          <w:tab w:leader="none" w:pos="2547" w:val="left"/>
        </w:tabs>
        <w:numPr>
          <w:ilvl w:val="1"/>
          <w:numId w:val="105"/>
        </w:numPr>
        <w:rPr>
          <w:rFonts w:ascii="Arial" w:cs="Arial" w:eastAsia="Arial" w:hAnsi="Arial"/>
          <w:sz w:val="19"/>
          <w:szCs w:val="19"/>
          <w:color w:val="auto"/>
        </w:rPr>
      </w:pPr>
      <w:r>
        <w:rPr>
          <w:rFonts w:ascii="Arial" w:cs="Arial" w:eastAsia="Arial" w:hAnsi="Arial"/>
          <w:sz w:val="21"/>
          <w:szCs w:val="21"/>
          <w:color w:val="auto"/>
        </w:rPr>
        <w:t>Any Foreign Lender shall, to the extent it is legally entitled to do so,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Agent), executed copies of any other form prescribed by applicable Law as a basis for claiming exemption from or a reduction in U.S. federal withholding Tax, duly completed, together with such supplementary documentation as may be prescribed by applicable Law to permit Borrowers or Agent to determine the withholding or deduction required to be made.</w:t>
      </w:r>
    </w:p>
    <w:p>
      <w:pPr>
        <w:spacing w:after="0" w:line="184"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153" w:name="page154"/>
    <w:bookmarkEnd w:id="153"/>
    <w:p>
      <w:pPr>
        <w:jc w:val="both"/>
        <w:ind w:firstLine="1735"/>
        <w:spacing w:after="0" w:line="271" w:lineRule="auto"/>
        <w:tabs>
          <w:tab w:leader="none" w:pos="2606" w:val="left"/>
        </w:tabs>
        <w:numPr>
          <w:ilvl w:val="0"/>
          <w:numId w:val="106"/>
        </w:numPr>
        <w:rPr>
          <w:rFonts w:ascii="Arial" w:cs="Arial" w:eastAsia="Arial" w:hAnsi="Arial"/>
          <w:sz w:val="18"/>
          <w:szCs w:val="18"/>
          <w:color w:val="auto"/>
        </w:rPr>
      </w:pPr>
      <w:r>
        <w:rPr>
          <w:rFonts w:ascii="Arial" w:cs="Arial" w:eastAsia="Arial" w:hAnsi="Arial"/>
          <w:sz w:val="19"/>
          <w:szCs w:val="19"/>
          <w:color w:val="auto"/>
        </w:rPr>
        <w:t xml:space="preserve">If any party determines, in its sole discretion exercised in good faith, that it has received a refund in respect of any Taxes as to which it has been indemnified pursuant to this Section 2.8 (including by the payment of additional amounts pursuant to this Section 2.8), then it shall promptly pay an amount equal to such refund to the indemnifying party, net of all reasonable out-of-pocket expenses of such indemnified party with respect thereto, including any Taxes, and without interest (other than any interest paid by the relevant Governmental Authority with respect to such refund);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upon the written request of such indemnified party, the indemnifying party agrees to repay any amount paid over to the indemnifying party (plus any related penalties, interest or other charges imposed by the relevant Governmental Authority) in the event such indemnified party is required, for any reason, to disgorge or otherwise repay such refund. Notwithstanding anything to the contrary in this Section 2.8, in no event will the indemnified party be required to pay any amount to an indemnifying party pursuant to this Section 2.8(d)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2.8 shall not be construed to require any indemnified party to make available its Tax returns (or any other information relating to its Taxes that it deems confidential) to the indemnifying party or any other Person.</w:t>
      </w:r>
    </w:p>
    <w:p>
      <w:pPr>
        <w:spacing w:after="0" w:line="164" w:lineRule="exact"/>
        <w:rPr>
          <w:rFonts w:ascii="Arial" w:cs="Arial" w:eastAsia="Arial" w:hAnsi="Arial"/>
          <w:sz w:val="18"/>
          <w:szCs w:val="18"/>
          <w:color w:val="auto"/>
        </w:rPr>
      </w:pPr>
    </w:p>
    <w:p>
      <w:pPr>
        <w:jc w:val="both"/>
        <w:ind w:firstLine="1735"/>
        <w:spacing w:after="0" w:line="274" w:lineRule="auto"/>
        <w:tabs>
          <w:tab w:leader="none" w:pos="2595" w:val="left"/>
        </w:tabs>
        <w:numPr>
          <w:ilvl w:val="0"/>
          <w:numId w:val="106"/>
        </w:numPr>
        <w:rPr>
          <w:rFonts w:ascii="Arial" w:cs="Arial" w:eastAsia="Arial" w:hAnsi="Arial"/>
          <w:sz w:val="18"/>
          <w:szCs w:val="18"/>
          <w:color w:val="auto"/>
        </w:rPr>
      </w:pPr>
      <w:r>
        <w:rPr>
          <w:rFonts w:ascii="Arial" w:cs="Arial" w:eastAsia="Arial" w:hAnsi="Arial"/>
          <w:sz w:val="19"/>
          <w:szCs w:val="19"/>
          <w:color w:val="auto"/>
        </w:rPr>
        <w:t>If a payment made to a Lender under any Financing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Representative and Agent at the time or times prescribed by Law and at such time or times reasonably requested by Borrower Representative or Agent such documentation prescribed by applicable Law (including as prescribed by Section 1471(b)(3)(C)(i) of the Code) and such additional documentation reasonably requested by Borrower Representative or Agent as may be necessary for Borrowers and Agent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58" w:lineRule="exact"/>
        <w:rPr>
          <w:rFonts w:ascii="Arial" w:cs="Arial" w:eastAsia="Arial" w:hAnsi="Arial"/>
          <w:sz w:val="18"/>
          <w:szCs w:val="18"/>
          <w:color w:val="auto"/>
        </w:rPr>
      </w:pPr>
    </w:p>
    <w:p>
      <w:pPr>
        <w:jc w:val="both"/>
        <w:ind w:firstLine="1735"/>
        <w:spacing w:after="0" w:line="273" w:lineRule="auto"/>
        <w:tabs>
          <w:tab w:leader="none" w:pos="2573" w:val="left"/>
        </w:tabs>
        <w:numPr>
          <w:ilvl w:val="0"/>
          <w:numId w:val="106"/>
        </w:numPr>
        <w:rPr>
          <w:rFonts w:ascii="Arial" w:cs="Arial" w:eastAsia="Arial" w:hAnsi="Arial"/>
          <w:sz w:val="18"/>
          <w:szCs w:val="18"/>
          <w:color w:val="auto"/>
        </w:rPr>
      </w:pPr>
      <w:r>
        <w:rPr>
          <w:rFonts w:ascii="Arial" w:cs="Arial" w:eastAsia="Arial" w:hAnsi="Arial"/>
          <w:sz w:val="19"/>
          <w:szCs w:val="19"/>
          <w:color w:val="auto"/>
        </w:rPr>
        <w:t>Each Lender shall severally indemnify Agent, within ten (10) days after demand therefor, for (i) any Indemnified Taxes attributable to such Lender (but only to the extent that any Credit Party has not already indemnified Agent for such Indemnified Taxes and without limiting the obligation of the Credit Parties to do so), (ii) any Taxes attributable to such Lender’s failure to comply with the provisions of Section 11.17 relating to the maintenance of a Participant Register and (iii) any Excluded Taxes attributable to such Lender, in each case, that are payable or paid by Agent in connection with any Financing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Financing Document or otherwise payable by Agent to such Lender from any other source against any amount due to Agent under this paragraph (f).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4" w:name="page155"/>
    <w:bookmarkEnd w:id="154"/>
    <w:p>
      <w:pPr>
        <w:jc w:val="both"/>
        <w:ind w:firstLine="1735"/>
        <w:spacing w:after="0"/>
        <w:tabs>
          <w:tab w:leader="none" w:pos="2606" w:val="left"/>
        </w:tabs>
        <w:numPr>
          <w:ilvl w:val="0"/>
          <w:numId w:val="107"/>
        </w:numPr>
        <w:rPr>
          <w:rFonts w:ascii="Arial" w:cs="Arial" w:eastAsia="Arial" w:hAnsi="Arial"/>
          <w:sz w:val="20"/>
          <w:szCs w:val="20"/>
          <w:color w:val="auto"/>
        </w:rPr>
      </w:pPr>
      <w:r>
        <w:rPr>
          <w:rFonts w:ascii="Arial" w:cs="Arial" w:eastAsia="Arial" w:hAnsi="Arial"/>
          <w:sz w:val="22"/>
          <w:szCs w:val="22"/>
          <w:color w:val="auto"/>
        </w:rPr>
        <w:t>Each party’s obligations under Section 2.8(a) through (f) shall survive the resignation or replacement of Agent or any assignment of rights by, or the replacement of, a Lender, and the repayment, satisfaction or discharge of all Obligations hereunder.</w:t>
      </w:r>
    </w:p>
    <w:p>
      <w:pPr>
        <w:spacing w:after="0" w:line="186" w:lineRule="exact"/>
        <w:rPr>
          <w:rFonts w:ascii="Arial" w:cs="Arial" w:eastAsia="Arial" w:hAnsi="Arial"/>
          <w:sz w:val="20"/>
          <w:szCs w:val="20"/>
          <w:color w:val="auto"/>
        </w:rPr>
      </w:pPr>
    </w:p>
    <w:p>
      <w:pPr>
        <w:jc w:val="both"/>
        <w:ind w:firstLine="1735"/>
        <w:spacing w:after="0" w:line="270" w:lineRule="auto"/>
        <w:tabs>
          <w:tab w:leader="none" w:pos="2606" w:val="left"/>
        </w:tabs>
        <w:numPr>
          <w:ilvl w:val="0"/>
          <w:numId w:val="107"/>
        </w:numPr>
        <w:rPr>
          <w:rFonts w:ascii="Arial" w:cs="Arial" w:eastAsia="Arial" w:hAnsi="Arial"/>
          <w:sz w:val="18"/>
          <w:szCs w:val="18"/>
          <w:color w:val="auto"/>
        </w:rPr>
      </w:pPr>
      <w:r>
        <w:rPr>
          <w:rFonts w:ascii="Arial" w:cs="Arial" w:eastAsia="Arial" w:hAnsi="Arial"/>
          <w:sz w:val="19"/>
          <w:szCs w:val="19"/>
          <w:color w:val="auto"/>
        </w:rPr>
        <w:t xml:space="preserve">If any Lender shall determine in its commercially reasonable judgment that the adoption or taking effect of, or any change in, any applicable Law regarding capital adequacy, in each instance, after the Closing Date, or any change after the Closing Date in the interpretation, administration or application thereof by any Governmental Authority, central bank or comparable agency charged with the interpretation, administration or application thereof, or the compliance by any Lender or any Person controlling such Lender with any request, guideline or directive regarding capital adequacy (whether or not having the force of Law) of any such Governmental Authority, central bank or comparable agency adopted or otherwise taking effect after the Closing Date, has or would have the effect of reducing the rate of return on such Lender’s or such controlling Person’s capital as a consequence of such Lender’s obligations hereunder to a level below that which such Lender or such controlling Person could have achieved but for such adoption, taking effect, change, interpretation, administration, application or compliance (taking into consideration such Lender’s or such controlling Person’s policies with respect to capital adequacy) then from time to time, upon written demand by such Lender (which demand shall be accompanied by a statement setting forth the basis for such demand and a calculation of the amount thereof in reasonable detail, a copy of which shall be furnished to Agent), Borrowers shall promptly pay to such Lender such additional amount as will compensate such Lender or such controlling Person for such reduction, so long as such amounts have accrued on or after the day which is two hundred seventy (270) days prior to the date on which such Lender first made demand therefor;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w:t>
      </w:r>
    </w:p>
    <w:p>
      <w:pPr>
        <w:spacing w:after="0" w:line="160" w:lineRule="exact"/>
        <w:rPr>
          <w:rFonts w:ascii="Arial" w:cs="Arial" w:eastAsia="Arial" w:hAnsi="Arial"/>
          <w:sz w:val="18"/>
          <w:szCs w:val="18"/>
          <w:color w:val="auto"/>
        </w:rPr>
      </w:pPr>
    </w:p>
    <w:p>
      <w:pPr>
        <w:jc w:val="both"/>
        <w:ind w:firstLine="1735"/>
        <w:spacing w:after="0" w:line="245" w:lineRule="auto"/>
        <w:tabs>
          <w:tab w:leader="none" w:pos="2562" w:val="left"/>
        </w:tabs>
        <w:numPr>
          <w:ilvl w:val="0"/>
          <w:numId w:val="107"/>
        </w:numPr>
        <w:rPr>
          <w:rFonts w:ascii="Arial" w:cs="Arial" w:eastAsia="Arial" w:hAnsi="Arial"/>
          <w:sz w:val="19"/>
          <w:szCs w:val="19"/>
          <w:color w:val="auto"/>
        </w:rPr>
      </w:pPr>
      <w:r>
        <w:rPr>
          <w:rFonts w:ascii="Arial" w:cs="Arial" w:eastAsia="Arial" w:hAnsi="Arial"/>
          <w:sz w:val="21"/>
          <w:szCs w:val="21"/>
          <w:color w:val="auto"/>
        </w:rPr>
        <w:t>If any Lender requests compensation under either Section 2.1(a)(iv) or Section 2.8(h), or requires Borrowers to pay any additional amount to any Lender or any Governmental Authority for the account of any Lender pursuant to Section 2.8, then, upon the written request of Borrower Representative, such Lender shall use reasonable efforts to designate a different lending office for funding or booking its Loans hereunder or to assign its rights and obligations hereunder (subject to the terms of this Agreement) to another of its offices, branches or affiliates, if, in the judgment of such Lender, such designation or assignment (i) would eliminate or materially reduce amounts payable pursuant to any such subsection, as the case may be, in the future, and (ii) would not subject such Lender to any unreimbursed cost or expense and would not otherwise be disadvantageous to such Lender (as determined in its sole discretion). Without limitation of the provisions of Section 12.14, each Borrower hereby agrees to pay all reasonable costs and expenses incurred by any Lender in connection with any such designation or assignment.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5" w:name="page156"/>
    <w:bookmarkEnd w:id="155"/>
    <w:p>
      <w:pPr>
        <w:ind w:left="880"/>
        <w:spacing w:after="0"/>
        <w:tabs>
          <w:tab w:leader="none" w:pos="2380" w:val="left"/>
        </w:tabs>
        <w:rPr>
          <w:sz w:val="20"/>
          <w:szCs w:val="20"/>
          <w:color w:val="auto"/>
        </w:rPr>
      </w:pPr>
      <w:r>
        <w:rPr>
          <w:rFonts w:ascii="Arial" w:cs="Arial" w:eastAsia="Arial" w:hAnsi="Arial"/>
          <w:sz w:val="20"/>
          <w:szCs w:val="20"/>
          <w:color w:val="auto"/>
        </w:rPr>
        <w:t>Section 2.9</w:t>
      </w:r>
      <w:r>
        <w:rPr>
          <w:sz w:val="20"/>
          <w:szCs w:val="20"/>
          <w:color w:val="auto"/>
        </w:rPr>
        <w:tab/>
      </w:r>
      <w:r>
        <w:rPr>
          <w:rFonts w:ascii="Arial" w:cs="Arial" w:eastAsia="Arial" w:hAnsi="Arial"/>
          <w:sz w:val="18"/>
          <w:szCs w:val="18"/>
          <w:u w:val="single" w:color="auto"/>
          <w:color w:val="auto"/>
        </w:rPr>
        <w:t>Appointment of Borrower Representative</w:t>
      </w:r>
      <w:r>
        <w:rPr>
          <w:rFonts w:ascii="Arial" w:cs="Arial" w:eastAsia="Arial" w:hAnsi="Arial"/>
          <w:sz w:val="18"/>
          <w:szCs w:val="18"/>
          <w:color w:val="auto"/>
        </w:rPr>
        <w:t>.</w:t>
      </w:r>
    </w:p>
    <w:p>
      <w:pPr>
        <w:spacing w:after="0" w:line="216" w:lineRule="exact"/>
        <w:rPr>
          <w:sz w:val="20"/>
          <w:szCs w:val="20"/>
          <w:color w:val="auto"/>
        </w:rPr>
      </w:pPr>
    </w:p>
    <w:p>
      <w:pPr>
        <w:jc w:val="both"/>
        <w:ind w:firstLine="1735"/>
        <w:spacing w:after="0" w:line="256" w:lineRule="auto"/>
        <w:tabs>
          <w:tab w:leader="none" w:pos="259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Each Borrower hereby irrevocably appoints and constitutes Borrower Representative as its agent and attorney-in-fact to request and receive Loans in the name or on behalf of such Borrower and any other Borrowers, deliver Notices of Borrowing, give instructions with respect to the disbursement of the proceeds of the Loans , giving and receiving all other notices and consents hereunder or under any of the other Financing Documents and taking all other actions (including in respect of compliance with covenants) in the name or on behalf of any Borrower or Borrowers pursuant to this Agreement and the other Financing Documents. Agent and Lenders may disburse the Loans to such bank account of Borrower Representative or a Borrower or otherwise make such Loans to a Borrower, in each case as Borrower Representative may designate or direct, without notice to any other Borrower. Notwithstanding anything to the contrary contained herein, Agent may at any time and from time to time require that Loans to or for the account of any Borrower be disbursed directly to an operating account of such Borrower.</w:t>
      </w:r>
    </w:p>
    <w:p>
      <w:pPr>
        <w:spacing w:after="0" w:line="184" w:lineRule="exact"/>
        <w:rPr>
          <w:rFonts w:ascii="Arial" w:cs="Arial" w:eastAsia="Arial" w:hAnsi="Arial"/>
          <w:sz w:val="19"/>
          <w:szCs w:val="19"/>
          <w:color w:val="auto"/>
        </w:rPr>
      </w:pPr>
    </w:p>
    <w:p>
      <w:pPr>
        <w:jc w:val="both"/>
        <w:ind w:firstLine="1735"/>
        <w:spacing w:after="0" w:line="291" w:lineRule="auto"/>
        <w:tabs>
          <w:tab w:leader="none" w:pos="260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Borrower Representative hereby accepts the appointment by Borrowers to act as the agent and attorney-in-fact of Borrowers pursuant to this Section 2.9. Borrower Representative shall ensure that the disbursement of any Loans that are at any time requested by or to be remitted to or for the account of a Borrower, shall be remitted or issued to or for the account of such Borrower.</w:t>
      </w:r>
    </w:p>
    <w:p>
      <w:pPr>
        <w:spacing w:after="0" w:line="151" w:lineRule="exact"/>
        <w:rPr>
          <w:rFonts w:ascii="Arial" w:cs="Arial" w:eastAsia="Arial" w:hAnsi="Arial"/>
          <w:sz w:val="18"/>
          <w:szCs w:val="18"/>
          <w:color w:val="auto"/>
        </w:rPr>
      </w:pPr>
    </w:p>
    <w:p>
      <w:pPr>
        <w:jc w:val="both"/>
        <w:ind w:firstLine="1735"/>
        <w:spacing w:after="0" w:line="250" w:lineRule="auto"/>
        <w:tabs>
          <w:tab w:leader="none" w:pos="259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Each Borrower hereby irrevocably appoints and constitutes Borrower Representative as its agent to receive statements on account and all other notices from Agent, Lenders with respect to the Obligations or otherwise under or in connection with this Agreement and the other Financing Documents.</w:t>
      </w:r>
    </w:p>
    <w:p>
      <w:pPr>
        <w:spacing w:after="0" w:line="185" w:lineRule="exact"/>
        <w:rPr>
          <w:rFonts w:ascii="Arial" w:cs="Arial" w:eastAsia="Arial" w:hAnsi="Arial"/>
          <w:sz w:val="20"/>
          <w:szCs w:val="20"/>
          <w:color w:val="auto"/>
        </w:rPr>
      </w:pPr>
    </w:p>
    <w:p>
      <w:pPr>
        <w:jc w:val="both"/>
        <w:ind w:firstLine="1735"/>
        <w:spacing w:after="0" w:line="246" w:lineRule="auto"/>
        <w:tabs>
          <w:tab w:leader="none" w:pos="260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notice, election, representation, warranty, covenant, agreement or undertaking made or delivered by or on behalf of any Borrower by Borrower Representative shall be deemed for all purposes to have been made or delivered by such Borrower, as the case may be, and shall be binding upon and enforceable against such Borrower to the same extent as if the same had been made or delivered directly by such Borrower.</w:t>
      </w:r>
    </w:p>
    <w:p>
      <w:pPr>
        <w:spacing w:after="0" w:line="191" w:lineRule="exact"/>
        <w:rPr>
          <w:rFonts w:ascii="Arial" w:cs="Arial" w:eastAsia="Arial" w:hAnsi="Arial"/>
          <w:sz w:val="20"/>
          <w:szCs w:val="20"/>
          <w:color w:val="auto"/>
        </w:rPr>
      </w:pPr>
    </w:p>
    <w:p>
      <w:pPr>
        <w:jc w:val="both"/>
        <w:ind w:firstLine="1735"/>
        <w:spacing w:after="0" w:line="257" w:lineRule="auto"/>
        <w:tabs>
          <w:tab w:leader="none" w:pos="259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No resignation by or termination of the appointment of Borrower Representative as agent and attorney-in-fact as aforesaid shall be effective, except after ten (10) Business Days’ prior written notice to Agent. If Borrower Representative resigns under this Agreement, Borrowers shall be entitled to appoint a successor Borrower Representative (which shall be a Borrower and shall be reasonably acceptable to Agent as such successor). Upon the acceptance of its appointment as successor Borrower Representative hereunder, such successor Borrower Representative shall succeed to all the rights, powers and duties of the retiring Borrower Representative and the term “Borrower Representative” shall mean such successor Borrower Representative for all purposes of this Agreement and the other Financing Documents, and the retiring or terminated Borrower Representative’s appointment, powers and duties as Borrower Representative shall be thereupon terminated.</w:t>
      </w:r>
    </w:p>
    <w:p>
      <w:pPr>
        <w:spacing w:after="0" w:line="180"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8"/>
          <w:szCs w:val="18"/>
          <w:u w:val="single" w:color="auto"/>
          <w:color w:val="auto"/>
        </w:rPr>
        <w:t>Joint and Several Liability; Rights of Contribution; Subordination and Subrogation</w:t>
      </w:r>
      <w:r>
        <w:rPr>
          <w:rFonts w:ascii="Arial" w:cs="Arial" w:eastAsia="Arial" w:hAnsi="Arial"/>
          <w:sz w:val="18"/>
          <w:szCs w:val="18"/>
          <w:color w:val="auto"/>
        </w:rPr>
        <w:t>.</w:t>
      </w:r>
    </w:p>
    <w:p>
      <w:pPr>
        <w:spacing w:after="0" w:line="211" w:lineRule="exact"/>
        <w:rPr>
          <w:sz w:val="20"/>
          <w:szCs w:val="20"/>
          <w:color w:val="auto"/>
        </w:rPr>
      </w:pPr>
    </w:p>
    <w:p>
      <w:pPr>
        <w:jc w:val="both"/>
        <w:ind w:firstLine="1735"/>
        <w:spacing w:after="0" w:line="236" w:lineRule="auto"/>
        <w:tabs>
          <w:tab w:leader="none" w:pos="2595" w:val="left"/>
        </w:tabs>
        <w:numPr>
          <w:ilvl w:val="0"/>
          <w:numId w:val="109"/>
        </w:numPr>
        <w:rPr>
          <w:rFonts w:ascii="Arial" w:cs="Arial" w:eastAsia="Arial" w:hAnsi="Arial"/>
          <w:sz w:val="20"/>
          <w:szCs w:val="20"/>
          <w:color w:val="auto"/>
        </w:rPr>
      </w:pPr>
      <w:r>
        <w:rPr>
          <w:rFonts w:ascii="Arial" w:cs="Arial" w:eastAsia="Arial" w:hAnsi="Arial"/>
          <w:sz w:val="22"/>
          <w:szCs w:val="22"/>
          <w:color w:val="auto"/>
        </w:rPr>
        <w:t xml:space="preserve">Borrowers are defined collectively to include all Persons named as one of the Borrowers herein; </w:t>
      </w:r>
      <w:r>
        <w:rPr>
          <w:rFonts w:ascii="Arial" w:cs="Arial" w:eastAsia="Arial" w:hAnsi="Arial"/>
          <w:sz w:val="22"/>
          <w:szCs w:val="22"/>
          <w:i w:val="1"/>
          <w:iCs w:val="1"/>
          <w:color w:val="auto"/>
        </w:rPr>
        <w:t>provided, however</w:t>
      </w:r>
      <w:r>
        <w:rPr>
          <w:rFonts w:ascii="Arial" w:cs="Arial" w:eastAsia="Arial" w:hAnsi="Arial"/>
          <w:sz w:val="22"/>
          <w:szCs w:val="22"/>
          <w:color w:val="auto"/>
        </w:rPr>
        <w:t>, that any references herein to “any Borrower”, “each Borrower” or similar references, shall be construed as a</w:t>
      </w:r>
      <w:r>
        <w:rPr>
          <w:rFonts w:ascii="Arial" w:cs="Arial" w:eastAsia="Arial" w:hAnsi="Arial"/>
          <w:sz w:val="22"/>
          <w:szCs w:val="22"/>
          <w:i w:val="1"/>
          <w:iCs w:val="1"/>
          <w:color w:val="auto"/>
        </w:rPr>
        <w:t xml:space="preserve"> </w:t>
      </w:r>
      <w:r>
        <w:rPr>
          <w:rFonts w:ascii="Arial" w:cs="Arial" w:eastAsia="Arial" w:hAnsi="Arial"/>
          <w:sz w:val="22"/>
          <w:szCs w:val="22"/>
          <w:color w:val="auto"/>
        </w:rPr>
        <w:t>reference to each individual Person named as one of the Borrowers herein. Each Person so named shall be jointly and severally liable for all of the obligations of Borrowers under this Agreement. Each Borrower, individually, expressly understands, agrees and acknowledges, that the credit facilities would not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6" w:name="page157"/>
    <w:bookmarkEnd w:id="156"/>
    <w:p>
      <w:pPr>
        <w:jc w:val="both"/>
        <w:spacing w:after="0" w:line="272" w:lineRule="auto"/>
        <w:rPr>
          <w:sz w:val="20"/>
          <w:szCs w:val="20"/>
          <w:color w:val="auto"/>
        </w:rPr>
      </w:pPr>
      <w:r>
        <w:rPr>
          <w:rFonts w:ascii="Arial" w:cs="Arial" w:eastAsia="Arial" w:hAnsi="Arial"/>
          <w:sz w:val="19"/>
          <w:szCs w:val="19"/>
          <w:color w:val="auto"/>
        </w:rPr>
        <w:t>be made available on the terms herein in the absence of the collective credit of all of the Persons named as the Borrowers herein, the joint and several liability of all such Persons, and the cross-collateralization of the collateral of all such Persons. Accordingly, each Borrower individually acknowledges that the benefit to each of the Persons named as one of the Borrowers as a whole constitutes reasonably equivalent value, regardless of the amount of the credit facilities actually borrowed by, advanced to, or the amount of collateral provided by, any individual Borrower. In addition, each entity named as one of the Borrowers herein hereby acknowledges and agrees that all of the representations, warranties, covenants, obligations, conditions, agreements and other terms contained in this Agreement shall be applicable to and shall be binding upon and measured and enforceable individually against each Person named as one of the Borrowers herein as well as all such Persons when taken together. By way of illustration, but without limiting the generality of the foregoing, the terms of Section 10.1 of this Agreement are to be applied to each individual Person named as one of the Borrowers herein (as well as to all such Persons taken as a whole), such that the occurrence of any of the events described in Section 10.1 of this Agreement as to any Person named as one of the Borrowers herein shall constitute an Event of Default even if such event has not occurred as to any other Persons named as the Borrowers or as to all such Persons taken as a whole.</w:t>
      </w:r>
    </w:p>
    <w:p>
      <w:pPr>
        <w:spacing w:after="0" w:line="200" w:lineRule="exact"/>
        <w:rPr>
          <w:sz w:val="20"/>
          <w:szCs w:val="20"/>
          <w:color w:val="auto"/>
        </w:rPr>
      </w:pPr>
    </w:p>
    <w:p>
      <w:pPr>
        <w:spacing w:after="0" w:line="204" w:lineRule="exact"/>
        <w:rPr>
          <w:sz w:val="20"/>
          <w:szCs w:val="20"/>
          <w:color w:val="auto"/>
        </w:rPr>
      </w:pPr>
    </w:p>
    <w:p>
      <w:pPr>
        <w:jc w:val="both"/>
        <w:ind w:firstLine="1735"/>
        <w:spacing w:after="0" w:line="244" w:lineRule="auto"/>
        <w:tabs>
          <w:tab w:leader="none" w:pos="2606" w:val="left"/>
        </w:tabs>
        <w:numPr>
          <w:ilvl w:val="1"/>
          <w:numId w:val="110"/>
        </w:numPr>
        <w:rPr>
          <w:rFonts w:ascii="Arial" w:cs="Arial" w:eastAsia="Arial" w:hAnsi="Arial"/>
          <w:sz w:val="19"/>
          <w:szCs w:val="19"/>
          <w:color w:val="auto"/>
        </w:rPr>
      </w:pPr>
      <w:r>
        <w:rPr>
          <w:rFonts w:ascii="Arial" w:cs="Arial" w:eastAsia="Arial" w:hAnsi="Arial"/>
          <w:sz w:val="21"/>
          <w:szCs w:val="21"/>
          <w:color w:val="auto"/>
        </w:rPr>
        <w:t>Notwithstanding any provisions of this Agreement to the contrary, it is intended that the joint and several nature of the liability of each Borrower for the Obligations and the Liens granted by Borrowers to secure the Obligations, not constitute a Fraudulent Conveyance (as defined below). Consequently, Agent, Lenders and each Borrower agree that if the liability of a Borrower for the Obligations, or any Liens granted by such Borrower securing the Obligations would, but for the application of this sentence, constitute a Fraudulent Conveyance, the liability of such Borrower and the Liens securing such liability shall be valid and enforceable only to the maximum extent that would not cause such liability or such Lien to constitute a Fraudulent Conveyance, and the liability of such Borrower and this Agreement shall automatically be deemed to have been amended accordingly. For purposes hereof, the term “</w:t>
      </w:r>
      <w:r>
        <w:rPr>
          <w:rFonts w:ascii="Arial" w:cs="Arial" w:eastAsia="Arial" w:hAnsi="Arial"/>
          <w:sz w:val="21"/>
          <w:szCs w:val="21"/>
          <w:b w:val="1"/>
          <w:bCs w:val="1"/>
          <w:color w:val="auto"/>
        </w:rPr>
        <w:t>Fraudulent Conveyance</w:t>
      </w:r>
      <w:r>
        <w:rPr>
          <w:rFonts w:ascii="Arial" w:cs="Arial" w:eastAsia="Arial" w:hAnsi="Arial"/>
          <w:sz w:val="21"/>
          <w:szCs w:val="21"/>
          <w:color w:val="auto"/>
        </w:rPr>
        <w:t>” means a fraudulent conveyance under Section 548 of Chapter 11 of Title II of the Bankruptcy Code or a fraudulent conveyance or fraudulent transfer under the applicable provisions of any fraudulent conveyance or fraudulent transfer law or similar law of any state, nation or other governmental unit, as in effect from time to time.</w:t>
      </w:r>
    </w:p>
    <w:p>
      <w:pPr>
        <w:spacing w:after="0" w:line="188" w:lineRule="exact"/>
        <w:rPr>
          <w:rFonts w:ascii="Arial" w:cs="Arial" w:eastAsia="Arial" w:hAnsi="Arial"/>
          <w:sz w:val="19"/>
          <w:szCs w:val="19"/>
          <w:color w:val="auto"/>
        </w:rPr>
      </w:pPr>
    </w:p>
    <w:p>
      <w:pPr>
        <w:jc w:val="both"/>
        <w:ind w:firstLine="1735"/>
        <w:spacing w:after="0" w:line="276" w:lineRule="auto"/>
        <w:tabs>
          <w:tab w:leader="none" w:pos="2595" w:val="left"/>
        </w:tabs>
        <w:numPr>
          <w:ilvl w:val="1"/>
          <w:numId w:val="110"/>
        </w:numPr>
        <w:rPr>
          <w:rFonts w:ascii="Arial" w:cs="Arial" w:eastAsia="Arial" w:hAnsi="Arial"/>
          <w:sz w:val="18"/>
          <w:szCs w:val="18"/>
          <w:color w:val="auto"/>
        </w:rPr>
      </w:pPr>
      <w:r>
        <w:rPr>
          <w:rFonts w:ascii="Arial" w:cs="Arial" w:eastAsia="Arial" w:hAnsi="Arial"/>
          <w:sz w:val="19"/>
          <w:szCs w:val="19"/>
          <w:color w:val="auto"/>
        </w:rPr>
        <w:t>Agent is hereby authorized, without notice or demand (except as otherwise specifically required under this Agreement) and without affecting the liability of any Borrower hereunder, at any time and from time to time, to</w:t>
      </w:r>
    </w:p>
    <w:p>
      <w:pPr>
        <w:spacing w:after="0" w:line="1" w:lineRule="exact"/>
        <w:rPr>
          <w:rFonts w:ascii="Arial" w:cs="Arial" w:eastAsia="Arial" w:hAnsi="Arial"/>
          <w:sz w:val="18"/>
          <w:szCs w:val="18"/>
          <w:color w:val="auto"/>
        </w:rPr>
      </w:pPr>
    </w:p>
    <w:p>
      <w:pPr>
        <w:jc w:val="both"/>
        <w:ind w:firstLine="8"/>
        <w:spacing w:after="0" w:line="272" w:lineRule="auto"/>
        <w:tabs>
          <w:tab w:leader="none" w:pos="26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renew, extend or otherwise increase the time for payment of the Obligations; (ii) with the written agreement of any Borrower, change the terms relating to the Obligations of such Borrower or otherwise modify, amend or change the terms of any Note of such Borrower or other agreement, document or instrument now or hereafter executed by such Borrower and delivered to Agent for any Lender; (iii) accept partial payments of the Obligations; (iv) take and hold any Collateral for the payment of the Obligations or for the payment of any guaranties of the Obligations and exchange, enforce, waive and release any such Collateral; (v) apply any such Collateral and direct the order or manner of sale thereof as Agent, in its sole discretion, may determine; and (vi) settle, release, compromise, collect or otherwise liquidate the Obligations and any Collateral therefor in any manner, all guarantor and surety defenses being hereby waived by each Borrower. Without limitations of the foregoing, with respect to the Obligations, each Borrower hereby makes and adopts each of the agreements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7" w:name="page158"/>
    <w:bookmarkEnd w:id="157"/>
    <w:p>
      <w:pPr>
        <w:jc w:val="both"/>
        <w:spacing w:after="0" w:line="235" w:lineRule="auto"/>
        <w:rPr>
          <w:sz w:val="20"/>
          <w:szCs w:val="20"/>
          <w:color w:val="auto"/>
        </w:rPr>
      </w:pPr>
      <w:r>
        <w:rPr>
          <w:rFonts w:ascii="Arial" w:cs="Arial" w:eastAsia="Arial" w:hAnsi="Arial"/>
          <w:sz w:val="22"/>
          <w:szCs w:val="22"/>
          <w:color w:val="auto"/>
        </w:rPr>
        <w:t>and waivers set forth in each Guarantee, the same being incorporated hereby by reference. Except as specifically provided in this Agreement or any of the other Financing Documents, Agent shall have the exclusive right to determine the time and manner of application of any payments or credits, whether received from any Borrower or any other source, and such determination shall be binding on all Borrowers. All such payments and credits may be applied, reversed and reapplied, in whole or in part, to any of the Obligations that Agent shall determine, in its sole discretion, without affecting the validity or enforceability of the Obligations of the other Borrowers.</w:t>
      </w:r>
    </w:p>
    <w:p>
      <w:pPr>
        <w:spacing w:after="0" w:line="188" w:lineRule="exact"/>
        <w:rPr>
          <w:sz w:val="20"/>
          <w:szCs w:val="20"/>
          <w:color w:val="auto"/>
        </w:rPr>
      </w:pPr>
    </w:p>
    <w:p>
      <w:pPr>
        <w:jc w:val="both"/>
        <w:ind w:firstLine="1735"/>
        <w:spacing w:after="0" w:line="269" w:lineRule="auto"/>
        <w:tabs>
          <w:tab w:leader="none" w:pos="2606" w:val="left"/>
        </w:tabs>
        <w:numPr>
          <w:ilvl w:val="1"/>
          <w:numId w:val="112"/>
        </w:numPr>
        <w:rPr>
          <w:rFonts w:ascii="Arial" w:cs="Arial" w:eastAsia="Arial" w:hAnsi="Arial"/>
          <w:sz w:val="18"/>
          <w:szCs w:val="18"/>
          <w:color w:val="auto"/>
        </w:rPr>
      </w:pPr>
      <w:r>
        <w:rPr>
          <w:rFonts w:ascii="Arial" w:cs="Arial" w:eastAsia="Arial" w:hAnsi="Arial"/>
          <w:sz w:val="19"/>
          <w:szCs w:val="19"/>
          <w:color w:val="auto"/>
        </w:rPr>
        <w:t>Each Borrower hereby agrees that, except as hereinafter provided, its obligations hereunder shall be unconditional, irrespective of (i) the absence of any attempt to collect the Obligations from any obligor or other action to enforce the same; (ii) the waiver or consent by Agent with respect to any provision of any instrument evidencing the Obligations, or any part thereof, or any other agreement heretofore, now or hereafter executed by a Borrower and delivered to Agent; (iii) failure by Agent to take any steps to perfect and maintain its security interest in, or to preserve its rights to, any security or collateral for the Obligations; (iv) the institution of any proceeding under the Bankruptcy Code, or any similar proceeding, by or against a Borrower or Agent’s election in any such proceeding of the application of Section 1111(b)(2) of the Bankruptcy Code; (v) any borrowing or grant of a security interest by a Borrower as debtor-in-possession, under Section 364 of the Bankruptcy Code;</w:t>
      </w:r>
    </w:p>
    <w:p>
      <w:pPr>
        <w:spacing w:after="0" w:line="2" w:lineRule="exact"/>
        <w:rPr>
          <w:rFonts w:ascii="Arial" w:cs="Arial" w:eastAsia="Arial" w:hAnsi="Arial"/>
          <w:sz w:val="18"/>
          <w:szCs w:val="18"/>
          <w:color w:val="auto"/>
        </w:rPr>
      </w:pPr>
    </w:p>
    <w:p>
      <w:pPr>
        <w:jc w:val="both"/>
        <w:ind w:firstLine="8"/>
        <w:spacing w:after="0" w:line="234" w:lineRule="auto"/>
        <w:tabs>
          <w:tab w:leader="none" w:pos="37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disallowance, under Section 502 of the Bankruptcy Code, of all or any portion of Agent’s claim(s) for repayment of any of the Obligations; or (vii) any other circumstance other than payment in full of the Obligations which might otherwise constitute a legal or equitable discharge or defense of a guarantor or surety.</w:t>
      </w:r>
    </w:p>
    <w:p>
      <w:pPr>
        <w:spacing w:after="0" w:line="187" w:lineRule="exact"/>
        <w:rPr>
          <w:rFonts w:ascii="Arial" w:cs="Arial" w:eastAsia="Arial" w:hAnsi="Arial"/>
          <w:sz w:val="22"/>
          <w:szCs w:val="22"/>
          <w:color w:val="auto"/>
        </w:rPr>
      </w:pPr>
    </w:p>
    <w:p>
      <w:pPr>
        <w:jc w:val="both"/>
        <w:ind w:firstLine="1735"/>
        <w:spacing w:after="0" w:line="270" w:lineRule="auto"/>
        <w:tabs>
          <w:tab w:leader="none" w:pos="2595" w:val="left"/>
        </w:tabs>
        <w:numPr>
          <w:ilvl w:val="1"/>
          <w:numId w:val="113"/>
        </w:numPr>
        <w:rPr>
          <w:rFonts w:ascii="Arial" w:cs="Arial" w:eastAsia="Arial" w:hAnsi="Arial"/>
          <w:sz w:val="18"/>
          <w:szCs w:val="18"/>
          <w:color w:val="auto"/>
        </w:rPr>
      </w:pPr>
      <w:r>
        <w:rPr>
          <w:rFonts w:ascii="Arial" w:cs="Arial" w:eastAsia="Arial" w:hAnsi="Arial"/>
          <w:sz w:val="19"/>
          <w:szCs w:val="19"/>
          <w:color w:val="auto"/>
        </w:rPr>
        <w:t xml:space="preserve">Borrowers hereby agree, as between themselves, that to the extent that Agent, on behalf of Lenders, shall have received from any Borrower any Recovery Amount (as defined below), then the paying Borrower shall have a right of contribution against each other Borrower in an amount equal to such other Borrower’s contributive share of such Recovery Amount;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event any Borrower suffers a Deficiency Amount (as defined below), then the Borrower suffering the Deficiency Amount shall be entitled to seek and receive contribution from and against the other Borrowers in an amount equal to the Deficiency Amount;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in no event shall the aggregate amounts so reimbursed by reason of the contribution of any Borrower equal or exceed an amount that would, if paid, constitute or result in Fraudulent Conveyance. Until all Obligations have been paid and satisfied in full, no payment made by or for the account of a Borrower including, without limitation, (i) a payment made by such Borrower on behalf of the liabilities of any other Borrower, or (ii) a payment made by any other Guarantor under any Guarantee, shall entitle such Borrower, by subrogation or otherwise, to any payment from such other Borrower or from or out of such other Borrower’s property. The right of each Borrower to receive any contribution under this Section 2.10(e) or by subrogation or otherwise from any other Borrower shall be subordinate in right of payment to the Obligations and such Borrower shall not exercise any right or remedy against such other Borrower or any property of such other Borrower by reason of any performance of such Borrower of its joint and several obligations hereunder, until the Obligations have been paid and satisfied in full in cash (and as to which no right of claw-back under applicable preference or fraudulent transfer Laws has been asserted), and no Borrower shall exercise any right or remedy with respect to this Section 2.10(e) until the Obligations have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8" w:name="page159"/>
    <w:bookmarkEnd w:id="158"/>
    <w:p>
      <w:pPr>
        <w:jc w:val="both"/>
        <w:spacing w:after="0" w:line="246" w:lineRule="auto"/>
        <w:rPr>
          <w:sz w:val="20"/>
          <w:szCs w:val="20"/>
          <w:color w:val="auto"/>
        </w:rPr>
      </w:pPr>
      <w:r>
        <w:rPr>
          <w:rFonts w:ascii="Arial" w:cs="Arial" w:eastAsia="Arial" w:hAnsi="Arial"/>
          <w:sz w:val="21"/>
          <w:szCs w:val="21"/>
          <w:color w:val="auto"/>
        </w:rPr>
        <w:t>been paid and satisfied in full in cash (and as to which no right of claw-back under applicable preference or fraudulent transfer Laws has been asserted). As used in this Section 2.10(e), the term “</w:t>
      </w:r>
      <w:r>
        <w:rPr>
          <w:rFonts w:ascii="Arial" w:cs="Arial" w:eastAsia="Arial" w:hAnsi="Arial"/>
          <w:sz w:val="21"/>
          <w:szCs w:val="21"/>
          <w:b w:val="1"/>
          <w:bCs w:val="1"/>
          <w:color w:val="auto"/>
        </w:rPr>
        <w:t>Recovery Amount</w:t>
      </w:r>
      <w:r>
        <w:rPr>
          <w:rFonts w:ascii="Arial" w:cs="Arial" w:eastAsia="Arial" w:hAnsi="Arial"/>
          <w:sz w:val="21"/>
          <w:szCs w:val="21"/>
          <w:color w:val="auto"/>
        </w:rPr>
        <w:t>” means the amount of proceeds received by or credited to Agent from the exercise of any remedy of the Lenders under this Agreement or the other Financing Documents, including, without limitation, the sale of any Collateral. As used in this Section 2.10(e), the term “</w:t>
      </w:r>
      <w:r>
        <w:rPr>
          <w:rFonts w:ascii="Arial" w:cs="Arial" w:eastAsia="Arial" w:hAnsi="Arial"/>
          <w:sz w:val="21"/>
          <w:szCs w:val="21"/>
          <w:b w:val="1"/>
          <w:bCs w:val="1"/>
          <w:color w:val="auto"/>
        </w:rPr>
        <w:t>Deficiency Amount</w:t>
      </w:r>
      <w:r>
        <w:rPr>
          <w:rFonts w:ascii="Arial" w:cs="Arial" w:eastAsia="Arial" w:hAnsi="Arial"/>
          <w:sz w:val="21"/>
          <w:szCs w:val="21"/>
          <w:color w:val="auto"/>
        </w:rPr>
        <w:t>” means any amount that is less than the entire amount a Borrower is entitled to receive by way of contribution or subrogation from, but that has not been paid by, the other Borrowers in respect of any Recovery Amount attributable to the Borrower entitled to contribution, until the Deficiency Amount has been reduced to Zero Dollars ($0) through contributions and reimbursements made under the terms of this Section 2.10(e) or otherwise.</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1300" w:type="dxa"/>
            <w:vAlign w:val="bottom"/>
          </w:tcPr>
          <w:p>
            <w:pPr>
              <w:spacing w:after="0"/>
              <w:rPr>
                <w:sz w:val="20"/>
                <w:szCs w:val="20"/>
                <w:color w:val="auto"/>
              </w:rPr>
            </w:pPr>
            <w:r>
              <w:rPr>
                <w:rFonts w:ascii="Arial" w:cs="Arial" w:eastAsia="Arial" w:hAnsi="Arial"/>
                <w:sz w:val="20"/>
                <w:szCs w:val="20"/>
                <w:color w:val="auto"/>
              </w:rPr>
              <w:t>Section 2.11</w:t>
            </w:r>
          </w:p>
        </w:tc>
        <w:tc>
          <w:tcPr>
            <w:tcW w:w="32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20"/>
                <w:szCs w:val="20"/>
                <w:color w:val="auto"/>
              </w:rPr>
              <w:t>Reserved</w:t>
            </w:r>
            <w:r>
              <w:rPr>
                <w:rFonts w:ascii="Arial" w:cs="Arial" w:eastAsia="Arial" w:hAnsi="Arial"/>
                <w:sz w:val="21"/>
                <w:szCs w:val="21"/>
                <w:color w:val="auto"/>
              </w:rPr>
              <w:t>.</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20"/>
                <w:szCs w:val="20"/>
                <w:color w:val="auto"/>
              </w:rPr>
              <w:t>Section 2.12</w:t>
            </w:r>
          </w:p>
        </w:tc>
        <w:tc>
          <w:tcPr>
            <w:tcW w:w="32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Arial" w:cs="Arial" w:eastAsia="Arial" w:hAnsi="Arial"/>
                <w:sz w:val="20"/>
                <w:szCs w:val="20"/>
                <w:color w:val="auto"/>
                <w:w w:val="91"/>
              </w:rPr>
              <w:t>Termination; Restriction on Termination.</w:t>
            </w: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1735"/>
        <w:spacing w:after="0"/>
        <w:tabs>
          <w:tab w:leader="none" w:pos="2595" w:val="left"/>
        </w:tabs>
        <w:numPr>
          <w:ilvl w:val="0"/>
          <w:numId w:val="114"/>
        </w:numPr>
        <w:rPr>
          <w:rFonts w:ascii="Arial" w:cs="Arial" w:eastAsia="Arial" w:hAnsi="Arial"/>
          <w:sz w:val="20"/>
          <w:szCs w:val="20"/>
          <w:color w:val="auto"/>
        </w:rPr>
      </w:pPr>
      <w:r>
        <w:rPr>
          <w:rFonts w:ascii="Arial" w:cs="Arial" w:eastAsia="Arial" w:hAnsi="Arial"/>
          <w:sz w:val="22"/>
          <w:szCs w:val="22"/>
          <w:u w:val="single" w:color="auto"/>
          <w:color w:val="auto"/>
        </w:rPr>
        <w:t>Termination by Lenders</w:t>
      </w:r>
      <w:r>
        <w:rPr>
          <w:rFonts w:ascii="Arial" w:cs="Arial" w:eastAsia="Arial" w:hAnsi="Arial"/>
          <w:sz w:val="22"/>
          <w:szCs w:val="22"/>
          <w:color w:val="auto"/>
        </w:rPr>
        <w:t>. In addition to the rights set forth in Section 10.2, Agent may, and at the direction of Required Lenders shall, terminate this Agreement without notice upon or after the occurrence and during the continuance of an Event of Default.</w:t>
      </w:r>
    </w:p>
    <w:p>
      <w:pPr>
        <w:spacing w:after="0" w:line="186" w:lineRule="exact"/>
        <w:rPr>
          <w:rFonts w:ascii="Arial" w:cs="Arial" w:eastAsia="Arial" w:hAnsi="Arial"/>
          <w:sz w:val="20"/>
          <w:szCs w:val="20"/>
          <w:color w:val="auto"/>
        </w:rPr>
      </w:pPr>
    </w:p>
    <w:p>
      <w:pPr>
        <w:jc w:val="both"/>
        <w:ind w:firstLine="1735"/>
        <w:spacing w:after="0" w:line="246" w:lineRule="auto"/>
        <w:tabs>
          <w:tab w:leader="none" w:pos="2606" w:val="left"/>
        </w:tabs>
        <w:numPr>
          <w:ilvl w:val="0"/>
          <w:numId w:val="114"/>
        </w:numPr>
        <w:rPr>
          <w:rFonts w:ascii="Arial" w:cs="Arial" w:eastAsia="Arial" w:hAnsi="Arial"/>
          <w:sz w:val="19"/>
          <w:szCs w:val="19"/>
          <w:color w:val="auto"/>
        </w:rPr>
      </w:pPr>
      <w:r>
        <w:rPr>
          <w:rFonts w:ascii="Arial" w:cs="Arial" w:eastAsia="Arial" w:hAnsi="Arial"/>
          <w:sz w:val="21"/>
          <w:szCs w:val="21"/>
          <w:u w:val="single" w:color="auto"/>
          <w:color w:val="auto"/>
        </w:rPr>
        <w:t>Termination by Borrowers</w:t>
      </w:r>
      <w:r>
        <w:rPr>
          <w:rFonts w:ascii="Arial" w:cs="Arial" w:eastAsia="Arial" w:hAnsi="Arial"/>
          <w:sz w:val="21"/>
          <w:szCs w:val="21"/>
          <w:color w:val="auto"/>
        </w:rPr>
        <w:t>. Upon at least ten (10) Business Days’ prior written notice and pursuant to payoff documentation in form and substance reasonably satisfactory to Agent and Lenders, Borrowers may, at their option, terminate this Agreement. Any notice of termination given by Borrowers shall be an irrevocable notice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notice may be conditioned on closing the applicable refinancing or transfer for which such notice was given) unless all Lenders otherwise agree in writing and no Lender shall have any obligation to make any Loans on or after the termination date stated in such notice. Borrowers may elect to terminate this Agreement in its entirety only. No section of this Agreement or type of Loan available hereunder may be terminated singly.</w:t>
      </w:r>
    </w:p>
    <w:p>
      <w:pPr>
        <w:spacing w:after="0" w:line="184" w:lineRule="exact"/>
        <w:rPr>
          <w:rFonts w:ascii="Arial" w:cs="Arial" w:eastAsia="Arial" w:hAnsi="Arial"/>
          <w:sz w:val="19"/>
          <w:szCs w:val="19"/>
          <w:color w:val="auto"/>
        </w:rPr>
      </w:pPr>
    </w:p>
    <w:p>
      <w:pPr>
        <w:jc w:val="both"/>
        <w:ind w:firstLine="1735"/>
        <w:spacing w:after="0" w:line="244" w:lineRule="auto"/>
        <w:tabs>
          <w:tab w:leader="none" w:pos="2595" w:val="left"/>
        </w:tabs>
        <w:numPr>
          <w:ilvl w:val="0"/>
          <w:numId w:val="114"/>
        </w:numPr>
        <w:rPr>
          <w:rFonts w:ascii="Arial" w:cs="Arial" w:eastAsia="Arial" w:hAnsi="Arial"/>
          <w:sz w:val="19"/>
          <w:szCs w:val="19"/>
          <w:color w:val="auto"/>
        </w:rPr>
      </w:pPr>
      <w:r>
        <w:rPr>
          <w:rFonts w:ascii="Arial" w:cs="Arial" w:eastAsia="Arial" w:hAnsi="Arial"/>
          <w:sz w:val="21"/>
          <w:szCs w:val="21"/>
          <w:u w:val="single" w:color="auto"/>
          <w:color w:val="auto"/>
        </w:rPr>
        <w:t>Effectiveness of Termination</w:t>
      </w:r>
      <w:r>
        <w:rPr>
          <w:rFonts w:ascii="Arial" w:cs="Arial" w:eastAsia="Arial" w:hAnsi="Arial"/>
          <w:sz w:val="21"/>
          <w:szCs w:val="21"/>
          <w:color w:val="auto"/>
        </w:rPr>
        <w:t>. All of the Obligations shall be immediately due and payable upon the Termination Date. All undertakings, agreements, covenants, warranties and representations of Borrowers contained in the Financing Documents shall survive any such termination and Agent shall retain its Liens in the Collateral and Agent and each Lender shall retain all of its rights and remedies under the Financing Documents notwithstanding such termination until all Obligations have been discharged or paid, in full, in immediately available funds, including, without limitation, all Obligations under the terms of each Fee Letter resulting from such termination. Notwithstanding the foregoing or the payment in full of the Obligations, Agent shall not be required to terminate its Liens in the Collateral unless, with respect to any loss or damage Agent may incur as a result of dishonored checks or other items of payment received by Agent from Borrower or any Account Debtor and applied to the Obligations, Agent shall, at its option, (i) have received a written agreement satisfactory to Agent, executed by Borrowers and by any Person whose loans or other advances to Borrowers are used in whole or in part to satisfy the Obligations, indemnifying Agent and each Lender from any such loss or damage or (ii) have retained cash Collateral or other Collateral for such period of time as Agent, in its discretion, may deem necessary to protect Agent and each Lender from any such loss or damage.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9" w:name="page160"/>
    <w:bookmarkEnd w:id="159"/>
    <w:p>
      <w:pPr>
        <w:ind w:left="2820"/>
        <w:spacing w:after="0"/>
        <w:tabs>
          <w:tab w:leader="none" w:pos="4500" w:val="left"/>
        </w:tabs>
        <w:rPr>
          <w:sz w:val="20"/>
          <w:szCs w:val="20"/>
          <w:color w:val="auto"/>
        </w:rPr>
      </w:pPr>
      <w:r>
        <w:rPr>
          <w:rFonts w:ascii="Arial" w:cs="Arial" w:eastAsia="Arial" w:hAnsi="Arial"/>
          <w:sz w:val="20"/>
          <w:szCs w:val="20"/>
          <w:b w:val="1"/>
          <w:bCs w:val="1"/>
          <w:color w:val="auto"/>
        </w:rPr>
        <w:t>ARTICLE 3</w:t>
      </w:r>
      <w:r>
        <w:rPr>
          <w:sz w:val="20"/>
          <w:szCs w:val="20"/>
          <w:color w:val="auto"/>
        </w:rPr>
        <w:tab/>
      </w:r>
      <w:r>
        <w:rPr>
          <w:rFonts w:ascii="Arial" w:cs="Arial" w:eastAsia="Arial" w:hAnsi="Arial"/>
          <w:sz w:val="19"/>
          <w:szCs w:val="19"/>
          <w:b w:val="1"/>
          <w:bCs w:val="1"/>
          <w:color w:val="auto"/>
        </w:rPr>
        <w:t>- REPRESENTATIONS AND WARRANTIES</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To induce Agent and Lenders to enter into this Agreement and to make the Loans and other credit accommodations contemplated hereby, each Borrower hereby represents and warrants to Agent and each Lender that:</w:t>
      </w:r>
    </w:p>
    <w:p>
      <w:pPr>
        <w:spacing w:after="0" w:line="172"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Existence and Power</w:t>
      </w:r>
      <w:r>
        <w:rPr>
          <w:rFonts w:ascii="Arial" w:cs="Arial" w:eastAsia="Arial" w:hAnsi="Arial"/>
          <w:sz w:val="20"/>
          <w:szCs w:val="20"/>
          <w:color w:val="auto"/>
        </w:rPr>
        <w:t>. Each Credit Party (a) is an entity as specified on</w:t>
      </w:r>
      <w:r>
        <w:rPr>
          <w:rFonts w:ascii="Arial" w:cs="Arial" w:eastAsia="Arial" w:hAnsi="Arial"/>
          <w:sz w:val="19"/>
          <w:szCs w:val="19"/>
          <w:color w:val="auto"/>
        </w:rPr>
        <w:t xml:space="preserve"> </w:t>
      </w:r>
      <w:r>
        <w:rPr>
          <w:rFonts w:ascii="Arial" w:cs="Arial" w:eastAsia="Arial" w:hAnsi="Arial"/>
          <w:sz w:val="20"/>
          <w:szCs w:val="20"/>
          <w:u w:val="single" w:color="auto"/>
          <w:color w:val="auto"/>
        </w:rPr>
        <w:t>Schedule 3.1</w:t>
      </w:r>
      <w:r>
        <w:rPr>
          <w:rFonts w:ascii="Arial" w:cs="Arial" w:eastAsia="Arial" w:hAnsi="Arial"/>
          <w:sz w:val="20"/>
          <w:szCs w:val="20"/>
          <w:color w:val="auto"/>
        </w:rPr>
        <w:t>, (b) is duly</w:t>
      </w:r>
      <w:r>
        <w:rPr>
          <w:rFonts w:ascii="Arial" w:cs="Arial" w:eastAsia="Arial" w:hAnsi="Arial"/>
          <w:sz w:val="19"/>
          <w:szCs w:val="19"/>
          <w:color w:val="auto"/>
        </w:rPr>
        <w:t xml:space="preserve"> </w:t>
      </w:r>
      <w:r>
        <w:rPr>
          <w:rFonts w:ascii="Arial" w:cs="Arial" w:eastAsia="Arial" w:hAnsi="Arial"/>
          <w:sz w:val="20"/>
          <w:szCs w:val="20"/>
          <w:color w:val="auto"/>
        </w:rPr>
        <w:t xml:space="preserve">organized, validly existing and in good standing under the laws of the jurisdiction specified on </w:t>
      </w:r>
      <w:r>
        <w:rPr>
          <w:rFonts w:ascii="Arial" w:cs="Arial" w:eastAsia="Arial" w:hAnsi="Arial"/>
          <w:sz w:val="20"/>
          <w:szCs w:val="20"/>
          <w:u w:val="single" w:color="auto"/>
          <w:color w:val="auto"/>
        </w:rPr>
        <w:t>Schedule 3.1</w:t>
      </w:r>
      <w:r>
        <w:rPr>
          <w:rFonts w:ascii="Arial" w:cs="Arial" w:eastAsia="Arial" w:hAnsi="Arial"/>
          <w:sz w:val="20"/>
          <w:szCs w:val="20"/>
          <w:color w:val="auto"/>
        </w:rPr>
        <w:t xml:space="preserve"> and no other jurisdiction, (c) has the same legal name as it appears in such Credit Party’s Organizational Documents and an organizational identification number (if any), in each case as specified on </w:t>
      </w:r>
      <w:r>
        <w:rPr>
          <w:rFonts w:ascii="Arial" w:cs="Arial" w:eastAsia="Arial" w:hAnsi="Arial"/>
          <w:sz w:val="20"/>
          <w:szCs w:val="20"/>
          <w:u w:val="single" w:color="auto"/>
          <w:color w:val="auto"/>
        </w:rPr>
        <w:t>Schedule 3.1</w:t>
      </w:r>
      <w:r>
        <w:rPr>
          <w:rFonts w:ascii="Arial" w:cs="Arial" w:eastAsia="Arial" w:hAnsi="Arial"/>
          <w:sz w:val="20"/>
          <w:szCs w:val="20"/>
          <w:color w:val="auto"/>
        </w:rPr>
        <w:t xml:space="preserve">, (d) has all powers and all Permits necessary or desirable in the operation of its business as presently conducted or as proposed to be conducted, except where the failure to have such Permits would not reasonably be expected to have a Material Adverse Effect, and (e) is qualified to do business as a foreign entity in each jurisdiction in which it is required to be so qualified, which jurisdictions as of the Closing Date are specified on </w:t>
      </w:r>
      <w:r>
        <w:rPr>
          <w:rFonts w:ascii="Arial" w:cs="Arial" w:eastAsia="Arial" w:hAnsi="Arial"/>
          <w:sz w:val="20"/>
          <w:szCs w:val="20"/>
          <w:u w:val="single" w:color="auto"/>
          <w:color w:val="auto"/>
        </w:rPr>
        <w:t>Schedule 3.1</w:t>
      </w:r>
      <w:r>
        <w:rPr>
          <w:rFonts w:ascii="Arial" w:cs="Arial" w:eastAsia="Arial" w:hAnsi="Arial"/>
          <w:sz w:val="20"/>
          <w:szCs w:val="20"/>
          <w:color w:val="auto"/>
        </w:rPr>
        <w:t xml:space="preserve">, except where the failure to be so qualified would not reasonably be expected to have a Material Adverse Effect. Except as set forth on </w:t>
      </w:r>
      <w:r>
        <w:rPr>
          <w:rFonts w:ascii="Arial" w:cs="Arial" w:eastAsia="Arial" w:hAnsi="Arial"/>
          <w:sz w:val="20"/>
          <w:szCs w:val="20"/>
          <w:u w:val="single" w:color="auto"/>
          <w:color w:val="auto"/>
        </w:rPr>
        <w:t>Schedule 3.1</w:t>
      </w:r>
      <w:r>
        <w:rPr>
          <w:rFonts w:ascii="Arial" w:cs="Arial" w:eastAsia="Arial" w:hAnsi="Arial"/>
          <w:sz w:val="20"/>
          <w:szCs w:val="20"/>
          <w:color w:val="auto"/>
        </w:rPr>
        <w:t>, no Credit Party (x) has had, over the five (5) year period preceding the Closing Date, any name other than its current name, or (y) was incorporated or organized under the laws of any jurisdiction other than its current jurisdiction of incorporation or organization.</w:t>
      </w:r>
    </w:p>
    <w:p>
      <w:pPr>
        <w:spacing w:after="0" w:line="17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3.2 </w:t>
      </w:r>
      <w:r>
        <w:rPr>
          <w:rFonts w:ascii="Arial" w:cs="Arial" w:eastAsia="Arial" w:hAnsi="Arial"/>
          <w:sz w:val="20"/>
          <w:szCs w:val="20"/>
          <w:u w:val="single" w:color="auto"/>
          <w:color w:val="auto"/>
        </w:rPr>
        <w:t>Organization and Governmental Authorization; No Contravention</w:t>
      </w:r>
      <w:r>
        <w:rPr>
          <w:rFonts w:ascii="Arial" w:cs="Arial" w:eastAsia="Arial" w:hAnsi="Arial"/>
          <w:sz w:val="21"/>
          <w:szCs w:val="21"/>
          <w:color w:val="auto"/>
        </w:rPr>
        <w:t>. The execution, delivery and</w:t>
      </w:r>
      <w:r>
        <w:rPr>
          <w:rFonts w:ascii="Arial" w:cs="Arial" w:eastAsia="Arial" w:hAnsi="Arial"/>
          <w:sz w:val="20"/>
          <w:szCs w:val="20"/>
          <w:color w:val="auto"/>
        </w:rPr>
        <w:t xml:space="preserve"> </w:t>
      </w:r>
      <w:r>
        <w:rPr>
          <w:rFonts w:ascii="Arial" w:cs="Arial" w:eastAsia="Arial" w:hAnsi="Arial"/>
          <w:sz w:val="21"/>
          <w:szCs w:val="21"/>
          <w:color w:val="auto"/>
        </w:rPr>
        <w:t>performance by each Credit Party of the Financing Documents to which it is a party (a) are within its powers, (b) have been duly authorized by all necessary action pursuant to its Organizational Documents, (c) require no further action by or in respect of, or filing with, any Governmental Authority, except for the filings necessary to perfect the Liens created by the Financing Documents and (d) do not violate, conflict with or cause a breach or a default under (i) any Law applicable to any Credit Party in any material respect, (ii) any of the Organizational Documents of any Credit Party, or (iii) any material agreement or instrument binding upon it, except for such violations, conflicts, breaches or defaults as could not, with respect to this clause (iii), reasonably be expected to have a Material Adverse Effect.</w:t>
      </w:r>
    </w:p>
    <w:p>
      <w:pPr>
        <w:spacing w:after="0" w:line="180"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Binding Effect</w:t>
      </w:r>
      <w:r>
        <w:rPr>
          <w:rFonts w:ascii="Arial" w:cs="Arial" w:eastAsia="Arial" w:hAnsi="Arial"/>
          <w:sz w:val="21"/>
          <w:szCs w:val="21"/>
          <w:color w:val="auto"/>
        </w:rPr>
        <w:t>. Each of the Financing Documents to which any Credit Party is a party constitutes a</w:t>
      </w:r>
      <w:r>
        <w:rPr>
          <w:rFonts w:ascii="Arial" w:cs="Arial" w:eastAsia="Arial" w:hAnsi="Arial"/>
          <w:sz w:val="20"/>
          <w:szCs w:val="20"/>
          <w:color w:val="auto"/>
        </w:rPr>
        <w:t xml:space="preserve"> </w:t>
      </w:r>
      <w:r>
        <w:rPr>
          <w:rFonts w:ascii="Arial" w:cs="Arial" w:eastAsia="Arial" w:hAnsi="Arial"/>
          <w:sz w:val="21"/>
          <w:szCs w:val="21"/>
          <w:color w:val="auto"/>
        </w:rPr>
        <w:t>valid and binding agreement or instrument of such Credit Party, enforceable against such Credit Party in accordance with its respective terms, except as the enforceability thereof may be limited by bankruptcy, insolvency or other similar laws relating to the enforcement of creditors’ rights generally and by general equitable principles. Each Financing Document has been duly executed and delivered by each Credit Party party thereto.</w:t>
      </w:r>
    </w:p>
    <w:p>
      <w:pPr>
        <w:spacing w:after="0" w:line="178"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Capitalization</w:t>
      </w:r>
      <w:r>
        <w:rPr>
          <w:rFonts w:ascii="Arial" w:cs="Arial" w:eastAsia="Arial" w:hAnsi="Arial"/>
          <w:sz w:val="19"/>
          <w:szCs w:val="19"/>
          <w:color w:val="auto"/>
        </w:rPr>
        <w:t>. The authorized equity securities of each of the Credit Parties (other than Aptevo</w:t>
      </w:r>
      <w:r>
        <w:rPr>
          <w:rFonts w:ascii="Arial" w:cs="Arial" w:eastAsia="Arial" w:hAnsi="Arial"/>
          <w:sz w:val="18"/>
          <w:szCs w:val="18"/>
          <w:color w:val="auto"/>
        </w:rPr>
        <w:t xml:space="preserve"> </w:t>
      </w:r>
      <w:r>
        <w:rPr>
          <w:rFonts w:ascii="Arial" w:cs="Arial" w:eastAsia="Arial" w:hAnsi="Arial"/>
          <w:sz w:val="19"/>
          <w:szCs w:val="19"/>
          <w:color w:val="auto"/>
        </w:rPr>
        <w:t xml:space="preserve">Therapeutics) as of the Closing Date are as set forth on </w:t>
      </w:r>
      <w:r>
        <w:rPr>
          <w:rFonts w:ascii="Arial" w:cs="Arial" w:eastAsia="Arial" w:hAnsi="Arial"/>
          <w:sz w:val="19"/>
          <w:szCs w:val="19"/>
          <w:u w:val="single" w:color="auto"/>
          <w:color w:val="auto"/>
        </w:rPr>
        <w:t>Schedule 3.4</w:t>
      </w:r>
      <w:r>
        <w:rPr>
          <w:rFonts w:ascii="Arial" w:cs="Arial" w:eastAsia="Arial" w:hAnsi="Arial"/>
          <w:sz w:val="19"/>
          <w:szCs w:val="19"/>
          <w:color w:val="auto"/>
        </w:rPr>
        <w:t>. All issued and outstanding equity securities of each of the Credit Parties are duly authorized and validly issued, fully paid, nonassessable, free and clear of all Liens (other than Permitted Liens) other than those in favor of Agent for the benefit of Agent and Lenders, and such equity securities were issued in all material respects in compliance with all applicable Laws. The identity of the holders of the equity securities of each of the Credit Parties (other than Aptevo Therapeutics) and the percentage of their fully-diluted ownership of the equity securities of each</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0" w:name="page161"/>
    <w:bookmarkEnd w:id="160"/>
    <w:p>
      <w:pPr>
        <w:jc w:val="both"/>
        <w:spacing w:after="0" w:line="236" w:lineRule="auto"/>
        <w:rPr>
          <w:sz w:val="20"/>
          <w:szCs w:val="20"/>
          <w:color w:val="auto"/>
        </w:rPr>
      </w:pPr>
      <w:r>
        <w:rPr>
          <w:rFonts w:ascii="Arial" w:cs="Arial" w:eastAsia="Arial" w:hAnsi="Arial"/>
          <w:sz w:val="22"/>
          <w:szCs w:val="22"/>
          <w:color w:val="auto"/>
        </w:rPr>
        <w:t xml:space="preserve">of the Credit Parties as of the Closing Date is set forth on </w:t>
      </w:r>
      <w:r>
        <w:rPr>
          <w:rFonts w:ascii="Arial" w:cs="Arial" w:eastAsia="Arial" w:hAnsi="Arial"/>
          <w:sz w:val="22"/>
          <w:szCs w:val="22"/>
          <w:u w:val="single" w:color="auto"/>
          <w:color w:val="auto"/>
        </w:rPr>
        <w:t>Schedule 3.4</w:t>
      </w:r>
      <w:r>
        <w:rPr>
          <w:rFonts w:ascii="Arial" w:cs="Arial" w:eastAsia="Arial" w:hAnsi="Arial"/>
          <w:sz w:val="22"/>
          <w:szCs w:val="22"/>
          <w:color w:val="auto"/>
        </w:rPr>
        <w:t xml:space="preserve">. No shares of the capital stock or other equity securities of any Credit Party, other than those described above, are issued and outstanding as of the Closing Date. Except as set forth on </w:t>
      </w:r>
      <w:r>
        <w:rPr>
          <w:rFonts w:ascii="Arial" w:cs="Arial" w:eastAsia="Arial" w:hAnsi="Arial"/>
          <w:sz w:val="22"/>
          <w:szCs w:val="22"/>
          <w:u w:val="single" w:color="auto"/>
          <w:color w:val="auto"/>
        </w:rPr>
        <w:t>Schedule 3.4</w:t>
      </w:r>
      <w:r>
        <w:rPr>
          <w:rFonts w:ascii="Arial" w:cs="Arial" w:eastAsia="Arial" w:hAnsi="Arial"/>
          <w:sz w:val="22"/>
          <w:szCs w:val="22"/>
          <w:color w:val="auto"/>
        </w:rPr>
        <w:t>, as of the Closing Date there are no preemptive or other outstanding rights, options, warrants, conversion rights or similar agreements or understandings for the purchase or acquisition from any Credit Party of any equity securities of any such entity.</w:t>
      </w:r>
    </w:p>
    <w:p>
      <w:pPr>
        <w:spacing w:after="0" w:line="187"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0"/>
          <w:szCs w:val="20"/>
          <w:color w:val="auto"/>
        </w:rPr>
        <w:t xml:space="preserve">Section 3.5 </w:t>
      </w:r>
      <w:r>
        <w:rPr>
          <w:rFonts w:ascii="Arial" w:cs="Arial" w:eastAsia="Arial" w:hAnsi="Arial"/>
          <w:sz w:val="20"/>
          <w:szCs w:val="20"/>
          <w:u w:val="single" w:color="auto"/>
          <w:color w:val="auto"/>
        </w:rPr>
        <w:t>Financial Information</w:t>
      </w:r>
      <w:r>
        <w:rPr>
          <w:rFonts w:ascii="Arial" w:cs="Arial" w:eastAsia="Arial" w:hAnsi="Arial"/>
          <w:sz w:val="21"/>
          <w:szCs w:val="21"/>
          <w:color w:val="auto"/>
        </w:rPr>
        <w:t>. All information delivered to Agent and pertaining to the financial condition of</w:t>
      </w:r>
      <w:r>
        <w:rPr>
          <w:rFonts w:ascii="Arial" w:cs="Arial" w:eastAsia="Arial" w:hAnsi="Arial"/>
          <w:sz w:val="20"/>
          <w:szCs w:val="20"/>
          <w:color w:val="auto"/>
        </w:rPr>
        <w:t xml:space="preserve"> </w:t>
      </w:r>
      <w:r>
        <w:rPr>
          <w:rFonts w:ascii="Arial" w:cs="Arial" w:eastAsia="Arial" w:hAnsi="Arial"/>
          <w:sz w:val="21"/>
          <w:szCs w:val="21"/>
          <w:color w:val="auto"/>
        </w:rPr>
        <w:t>any Credit Party fairly presents the financial position of the Credit Parties (taken as a whole) as of such date in conformity with GAAP (and as to unaudited financial statements, subject to normal year-end adjustments and the absence of footnote disclosures). Since December 31, 2019, no event has occurred which would be reasonably likely to have a Material Adverse Effect.</w:t>
      </w:r>
    </w:p>
    <w:p>
      <w:pPr>
        <w:spacing w:after="0" w:line="178"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Section 3.6 </w:t>
      </w:r>
      <w:r>
        <w:rPr>
          <w:rFonts w:ascii="Arial" w:cs="Arial" w:eastAsia="Arial" w:hAnsi="Arial"/>
          <w:sz w:val="20"/>
          <w:szCs w:val="20"/>
          <w:u w:val="single" w:color="auto"/>
          <w:color w:val="auto"/>
        </w:rPr>
        <w:t>Litigation</w:t>
      </w:r>
      <w:r>
        <w:rPr>
          <w:rFonts w:ascii="Arial" w:cs="Arial" w:eastAsia="Arial" w:hAnsi="Arial"/>
          <w:sz w:val="21"/>
          <w:szCs w:val="21"/>
          <w:color w:val="auto"/>
        </w:rPr>
        <w:t>. Except as set forth on</w:t>
      </w:r>
      <w:r>
        <w:rPr>
          <w:rFonts w:ascii="Arial" w:cs="Arial" w:eastAsia="Arial" w:hAnsi="Arial"/>
          <w:sz w:val="20"/>
          <w:szCs w:val="20"/>
          <w:color w:val="auto"/>
        </w:rPr>
        <w:t xml:space="preserve"> </w:t>
      </w:r>
      <w:r>
        <w:rPr>
          <w:rFonts w:ascii="Arial" w:cs="Arial" w:eastAsia="Arial" w:hAnsi="Arial"/>
          <w:sz w:val="21"/>
          <w:szCs w:val="21"/>
          <w:u w:val="single" w:color="auto"/>
          <w:color w:val="auto"/>
        </w:rPr>
        <w:t>Schedule 3.6</w:t>
      </w:r>
      <w:r>
        <w:rPr>
          <w:rFonts w:ascii="Arial" w:cs="Arial" w:eastAsia="Arial" w:hAnsi="Arial"/>
          <w:sz w:val="20"/>
          <w:szCs w:val="20"/>
          <w:color w:val="auto"/>
        </w:rPr>
        <w:t xml:space="preserve"> </w:t>
      </w:r>
      <w:r>
        <w:rPr>
          <w:rFonts w:ascii="Arial" w:cs="Arial" w:eastAsia="Arial" w:hAnsi="Arial"/>
          <w:sz w:val="21"/>
          <w:szCs w:val="21"/>
          <w:color w:val="auto"/>
        </w:rPr>
        <w:t>as of the Closing Date, and except as hereafter</w:t>
      </w:r>
      <w:r>
        <w:rPr>
          <w:rFonts w:ascii="Arial" w:cs="Arial" w:eastAsia="Arial" w:hAnsi="Arial"/>
          <w:sz w:val="20"/>
          <w:szCs w:val="20"/>
          <w:color w:val="auto"/>
        </w:rPr>
        <w:t xml:space="preserve"> </w:t>
      </w:r>
      <w:r>
        <w:rPr>
          <w:rFonts w:ascii="Arial" w:cs="Arial" w:eastAsia="Arial" w:hAnsi="Arial"/>
          <w:sz w:val="21"/>
          <w:szCs w:val="21"/>
          <w:color w:val="auto"/>
        </w:rPr>
        <w:t>disclosed to Agent in writing, there is no Litigation pending against, or to such Borrower’s knowledge threatened in writing against or affecting, any Credit Party. There is no Litigation pending which would be reasonably likely to have a Material Adverse Effect or which in any manner draws into question the validity of any of the Financing Documents.</w:t>
      </w:r>
    </w:p>
    <w:p>
      <w:pPr>
        <w:spacing w:after="0" w:line="174"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Ownership of Property</w:t>
      </w:r>
      <w:r>
        <w:rPr>
          <w:rFonts w:ascii="Arial" w:cs="Arial" w:eastAsia="Arial" w:hAnsi="Arial"/>
          <w:sz w:val="19"/>
          <w:szCs w:val="19"/>
          <w:color w:val="auto"/>
        </w:rPr>
        <w:t>. Each Borrower and each of its Subsidiaries is the lawful owner of, has good</w:t>
      </w:r>
      <w:r>
        <w:rPr>
          <w:rFonts w:ascii="Arial" w:cs="Arial" w:eastAsia="Arial" w:hAnsi="Arial"/>
          <w:sz w:val="18"/>
          <w:szCs w:val="18"/>
          <w:color w:val="auto"/>
        </w:rPr>
        <w:t xml:space="preserve"> </w:t>
      </w:r>
      <w:r>
        <w:rPr>
          <w:rFonts w:ascii="Arial" w:cs="Arial" w:eastAsia="Arial" w:hAnsi="Arial"/>
          <w:sz w:val="19"/>
          <w:szCs w:val="19"/>
          <w:color w:val="auto"/>
        </w:rPr>
        <w:t>and marketable title to and is in lawful possession of, or has valid leasehold interests in, all properties, accounts and other assets (real or personal, tangible, intangible or mixed) purported or reported to be owned or leased (as the case may be) by such Person.</w:t>
      </w:r>
    </w:p>
    <w:p>
      <w:pPr>
        <w:spacing w:after="0" w:line="134"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Section 3.8 </w:t>
      </w:r>
      <w:r>
        <w:rPr>
          <w:rFonts w:ascii="Arial" w:cs="Arial" w:eastAsia="Arial" w:hAnsi="Arial"/>
          <w:sz w:val="20"/>
          <w:szCs w:val="20"/>
          <w:u w:val="single" w:color="auto"/>
          <w:color w:val="auto"/>
        </w:rPr>
        <w:t>No Default</w:t>
      </w:r>
      <w:r>
        <w:rPr>
          <w:rFonts w:ascii="Arial" w:cs="Arial" w:eastAsia="Arial" w:hAnsi="Arial"/>
          <w:sz w:val="21"/>
          <w:szCs w:val="21"/>
          <w:color w:val="auto"/>
        </w:rPr>
        <w:t>. No Event of Default, or to such Borrower’s knowledge, Default, has occurred and is</w:t>
      </w:r>
      <w:r>
        <w:rPr>
          <w:rFonts w:ascii="Arial" w:cs="Arial" w:eastAsia="Arial" w:hAnsi="Arial"/>
          <w:sz w:val="20"/>
          <w:szCs w:val="20"/>
          <w:color w:val="auto"/>
        </w:rPr>
        <w:t xml:space="preserve"> </w:t>
      </w:r>
      <w:r>
        <w:rPr>
          <w:rFonts w:ascii="Arial" w:cs="Arial" w:eastAsia="Arial" w:hAnsi="Arial"/>
          <w:sz w:val="21"/>
          <w:szCs w:val="21"/>
          <w:color w:val="auto"/>
        </w:rPr>
        <w:t>continuing. No Credit Party is in breach or default under or with respect to any contract, agreement, lease or other instrument to which it is a party or by which its property is bound or affected, which breach or default would reasonably be expected to have a Material Adverse Effect.</w:t>
      </w:r>
    </w:p>
    <w:p>
      <w:pPr>
        <w:spacing w:after="0" w:line="17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3.9 </w:t>
      </w:r>
      <w:r>
        <w:rPr>
          <w:rFonts w:ascii="Arial" w:cs="Arial" w:eastAsia="Arial" w:hAnsi="Arial"/>
          <w:sz w:val="20"/>
          <w:szCs w:val="20"/>
          <w:u w:val="single" w:color="auto"/>
          <w:color w:val="auto"/>
        </w:rPr>
        <w:t>Labor Matters</w:t>
      </w:r>
      <w:r>
        <w:rPr>
          <w:rFonts w:ascii="Arial" w:cs="Arial" w:eastAsia="Arial" w:hAnsi="Arial"/>
          <w:sz w:val="21"/>
          <w:szCs w:val="21"/>
          <w:color w:val="auto"/>
        </w:rPr>
        <w:t>. As of the Closing Date, there are no strikes or other labor disputes pending or, to any</w:t>
      </w:r>
      <w:r>
        <w:rPr>
          <w:rFonts w:ascii="Arial" w:cs="Arial" w:eastAsia="Arial" w:hAnsi="Arial"/>
          <w:sz w:val="20"/>
          <w:szCs w:val="20"/>
          <w:color w:val="auto"/>
        </w:rPr>
        <w:t xml:space="preserve"> </w:t>
      </w:r>
      <w:r>
        <w:rPr>
          <w:rFonts w:ascii="Arial" w:cs="Arial" w:eastAsia="Arial" w:hAnsi="Arial"/>
          <w:sz w:val="21"/>
          <w:szCs w:val="21"/>
          <w:color w:val="auto"/>
        </w:rPr>
        <w:t>Borrower’s knowledge, threatened in writing against any Credit Party. Hours worked and payments made to the employees of the Credit Parties have not been in violation of the Fair Labor Standards Act or any other applicable Law dealing with such matters. All payments due from the Credit Parties, or for which any claim may be made against any of them, on account of wages and employee and retiree health and welfare insurance and other benefits have been paid or accrued as a liability on their books, as the case may be. The consummation of the transactions contemplated by the Financing Documents will not give rise to a right of termination or right of renegotiation on the part of any union under any collective bargaining agreement to which it is a party or by which it is bound.</w:t>
      </w:r>
    </w:p>
    <w:p>
      <w:pPr>
        <w:spacing w:after="0" w:line="180"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Regulated Entities</w:t>
      </w:r>
      <w:r>
        <w:rPr>
          <w:rFonts w:ascii="Arial" w:cs="Arial" w:eastAsia="Arial" w:hAnsi="Arial"/>
          <w:sz w:val="21"/>
          <w:szCs w:val="21"/>
          <w:color w:val="auto"/>
        </w:rPr>
        <w:t>. No Credit Party is an “investment company” or a company “controlled” by an</w:t>
      </w:r>
      <w:r>
        <w:rPr>
          <w:rFonts w:ascii="Arial" w:cs="Arial" w:eastAsia="Arial" w:hAnsi="Arial"/>
          <w:sz w:val="20"/>
          <w:szCs w:val="20"/>
          <w:color w:val="auto"/>
        </w:rPr>
        <w:t xml:space="preserve"> </w:t>
      </w:r>
      <w:r>
        <w:rPr>
          <w:rFonts w:ascii="Arial" w:cs="Arial" w:eastAsia="Arial" w:hAnsi="Arial"/>
          <w:sz w:val="21"/>
          <w:szCs w:val="21"/>
          <w:color w:val="auto"/>
        </w:rPr>
        <w:t>“investment company” or a “subsidiary” of an “investment company,” all within the meaning of the Investment Company Act of 1940.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1" w:name="page162"/>
    <w:bookmarkEnd w:id="161"/>
    <w:p>
      <w:pPr>
        <w:jc w:val="both"/>
        <w:ind w:firstLine="864"/>
        <w:spacing w:after="0" w:line="246" w:lineRule="auto"/>
        <w:rPr>
          <w:sz w:val="20"/>
          <w:szCs w:val="20"/>
          <w:color w:val="auto"/>
        </w:rPr>
      </w:pPr>
      <w:r>
        <w:rPr>
          <w:rFonts w:ascii="Arial" w:cs="Arial" w:eastAsia="Arial" w:hAnsi="Arial"/>
          <w:sz w:val="20"/>
          <w:szCs w:val="20"/>
          <w:color w:val="auto"/>
        </w:rPr>
        <w:t xml:space="preserve">Section 3.11 </w:t>
      </w:r>
      <w:r>
        <w:rPr>
          <w:rFonts w:ascii="Arial" w:cs="Arial" w:eastAsia="Arial" w:hAnsi="Arial"/>
          <w:sz w:val="20"/>
          <w:szCs w:val="20"/>
          <w:u w:val="single" w:color="auto"/>
          <w:color w:val="auto"/>
        </w:rPr>
        <w:t>Margin Regulations</w:t>
      </w:r>
      <w:r>
        <w:rPr>
          <w:rFonts w:ascii="Arial" w:cs="Arial" w:eastAsia="Arial" w:hAnsi="Arial"/>
          <w:sz w:val="21"/>
          <w:szCs w:val="21"/>
          <w:color w:val="auto"/>
        </w:rPr>
        <w:t>. The Credit Parties and their Subsidiaries do not own any stock, partnership</w:t>
      </w:r>
      <w:r>
        <w:rPr>
          <w:rFonts w:ascii="Arial" w:cs="Arial" w:eastAsia="Arial" w:hAnsi="Arial"/>
          <w:sz w:val="20"/>
          <w:szCs w:val="20"/>
          <w:color w:val="auto"/>
        </w:rPr>
        <w:t xml:space="preserve"> </w:t>
      </w:r>
      <w:r>
        <w:rPr>
          <w:rFonts w:ascii="Arial" w:cs="Arial" w:eastAsia="Arial" w:hAnsi="Arial"/>
          <w:sz w:val="21"/>
          <w:szCs w:val="21"/>
          <w:color w:val="auto"/>
        </w:rPr>
        <w:t xml:space="preserve">interest or other equity securities, except for their respective Subsidiaries listed on </w:t>
      </w:r>
      <w:r>
        <w:rPr>
          <w:rFonts w:ascii="Arial" w:cs="Arial" w:eastAsia="Arial" w:hAnsi="Arial"/>
          <w:sz w:val="21"/>
          <w:szCs w:val="21"/>
          <w:u w:val="single" w:color="auto"/>
          <w:color w:val="auto"/>
        </w:rPr>
        <w:t>Schedule 3.4</w:t>
      </w:r>
      <w:r>
        <w:rPr>
          <w:rFonts w:ascii="Arial" w:cs="Arial" w:eastAsia="Arial" w:hAnsi="Arial"/>
          <w:sz w:val="21"/>
          <w:szCs w:val="21"/>
          <w:color w:val="auto"/>
        </w:rPr>
        <w:t xml:space="preserve"> and Permitted Investments. Without limiting the foregoing, the Credit Parties and their Subsidiaries do not own or hold any Margin Stock. None of the proceeds from the Loans have been or will be used, directly or indirectly, for the purpose of purchasing or carrying any “margin stock” (as defined in Regulation U of the Federal Reserve Board), for the purpose of reducing or retiring any indebtedness which was originally incurred to purchase or carry any “margin stock” or for any other purpose which might cause any of the Loans to be considered a “purpose credit” within the meaning of Regulation T, U or X of the Federal Reserve Board.</w:t>
      </w:r>
    </w:p>
    <w:p>
      <w:pPr>
        <w:spacing w:after="0" w:line="184"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8"/>
          <w:szCs w:val="18"/>
          <w:u w:val="single" w:color="auto"/>
          <w:color w:val="auto"/>
        </w:rPr>
        <w:t>Compliance With Laws; Anti-Terrorism Laws</w:t>
      </w:r>
      <w:r>
        <w:rPr>
          <w:rFonts w:ascii="Arial" w:cs="Arial" w:eastAsia="Arial" w:hAnsi="Arial"/>
          <w:sz w:val="18"/>
          <w:szCs w:val="18"/>
          <w:color w:val="auto"/>
        </w:rPr>
        <w:t>.</w:t>
      </w:r>
    </w:p>
    <w:p>
      <w:pPr>
        <w:spacing w:after="0" w:line="211" w:lineRule="exact"/>
        <w:rPr>
          <w:sz w:val="20"/>
          <w:szCs w:val="20"/>
          <w:color w:val="auto"/>
        </w:rPr>
      </w:pPr>
    </w:p>
    <w:p>
      <w:pPr>
        <w:ind w:firstLine="1735"/>
        <w:spacing w:after="0" w:line="250" w:lineRule="auto"/>
        <w:tabs>
          <w:tab w:leader="none" w:pos="2595" w:val="left"/>
        </w:tabs>
        <w:numPr>
          <w:ilvl w:val="0"/>
          <w:numId w:val="115"/>
        </w:numPr>
        <w:rPr>
          <w:rFonts w:ascii="Arial" w:cs="Arial" w:eastAsia="Arial" w:hAnsi="Arial"/>
          <w:sz w:val="20"/>
          <w:szCs w:val="20"/>
          <w:color w:val="auto"/>
        </w:rPr>
      </w:pPr>
      <w:r>
        <w:rPr>
          <w:rFonts w:ascii="Arial" w:cs="Arial" w:eastAsia="Arial" w:hAnsi="Arial"/>
          <w:sz w:val="22"/>
          <w:szCs w:val="22"/>
          <w:color w:val="auto"/>
        </w:rPr>
        <w:t>Each Credit Party is in compliance with the requirements of all applicable Laws, except for such Laws the noncompliance with which would not reasonably be expected to have a Material Adverse Effect.</w:t>
      </w:r>
    </w:p>
    <w:p>
      <w:pPr>
        <w:spacing w:after="0" w:line="174" w:lineRule="exact"/>
        <w:rPr>
          <w:rFonts w:ascii="Arial" w:cs="Arial" w:eastAsia="Arial" w:hAnsi="Arial"/>
          <w:sz w:val="20"/>
          <w:szCs w:val="20"/>
          <w:color w:val="auto"/>
        </w:rPr>
      </w:pPr>
    </w:p>
    <w:p>
      <w:pPr>
        <w:jc w:val="both"/>
        <w:ind w:firstLine="1735"/>
        <w:spacing w:after="0" w:line="244" w:lineRule="auto"/>
        <w:tabs>
          <w:tab w:leader="none" w:pos="2606" w:val="left"/>
        </w:tabs>
        <w:numPr>
          <w:ilvl w:val="0"/>
          <w:numId w:val="115"/>
        </w:numPr>
        <w:rPr>
          <w:rFonts w:ascii="Arial" w:cs="Arial" w:eastAsia="Arial" w:hAnsi="Arial"/>
          <w:sz w:val="19"/>
          <w:szCs w:val="19"/>
          <w:color w:val="auto"/>
        </w:rPr>
      </w:pPr>
      <w:r>
        <w:rPr>
          <w:rFonts w:ascii="Arial" w:cs="Arial" w:eastAsia="Arial" w:hAnsi="Arial"/>
          <w:sz w:val="21"/>
          <w:szCs w:val="21"/>
          <w:color w:val="auto"/>
        </w:rPr>
        <w:t>None of the Credit Parties and, to the knowledge of the Credit Parties, none of their Affiliates (i) is in violation of any Anti-Terrorism Law, (ii) engages in or conspires to engage in any transaction that evades or avoids, or has the purpose of evading or avoiding, or attempts to violate, any of the prohibitions set forth in any Anti-Terrorism Law, (iii) is a Blocked Person, or is controlled by a Blocked Person, (iv) is acting or will act for or on behalf of a Blocked Person, (v) is associated with, or will become associated with, a Blocked Person or (vi) is providing, or will provide, material, financial or technical support or other services to or in support of acts of terrorism of a Blocked Person. No Credit Party nor, to the knowledge of any Credit Party, any of its Affiliates or agents acting or benefiting in any capacity in connection with the transactions contemplated by this Agreement, (A) conducts any business or engages in making or receiving any contribution of funds, goods or services to or for the benefit of any Blocked Person, or (B)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Taxes</w:t>
      </w:r>
      <w:r>
        <w:rPr>
          <w:rFonts w:ascii="Arial" w:cs="Arial" w:eastAsia="Arial" w:hAnsi="Arial"/>
          <w:sz w:val="19"/>
          <w:szCs w:val="19"/>
          <w:color w:val="auto"/>
        </w:rPr>
        <w:t>. All U.S. federal and all other material foreign, state and local tax returns, reports and</w:t>
      </w:r>
      <w:r>
        <w:rPr>
          <w:rFonts w:ascii="Arial" w:cs="Arial" w:eastAsia="Arial" w:hAnsi="Arial"/>
          <w:sz w:val="18"/>
          <w:szCs w:val="18"/>
          <w:color w:val="auto"/>
        </w:rPr>
        <w:t xml:space="preserve"> </w:t>
      </w:r>
      <w:r>
        <w:rPr>
          <w:rFonts w:ascii="Arial" w:cs="Arial" w:eastAsia="Arial" w:hAnsi="Arial"/>
          <w:sz w:val="19"/>
          <w:szCs w:val="19"/>
          <w:color w:val="auto"/>
        </w:rPr>
        <w:t>statements required to be filed by or on behalf of each Credit Party have been filed with the appropriate Governmental Authorities in all jurisdictions in which such returns, reports and statements are required to be filed and, except to the extent subject to a Permitted Contest, all Taxes (including real property Taxes) and other charges shown to be due and payable in respect thereof have been timely paid prior to the date on which any fine, penalty, interest, late charge or loss may be added thereto for nonpayment thereof. Except to the extent subject to a Permitted Contest, all material state and local sales and use Taxes required to be paid by each Credit Party have been paid. All federal and material state returns have been filed by each Credit Party for all periods for which returns were due with respect to employee income tax withholding, social security and unemployment taxes, and, except to the extent subject to a Permitted Contest, the amounts shown thereon to be due and payable have been paid in full or adequate provisions therefor have been made therefor on the financial statements of the Credit Parties.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2" w:name="page163"/>
    <w:bookmarkEnd w:id="162"/>
    <w:p>
      <w:pPr>
        <w:ind w:left="880"/>
        <w:spacing w:after="0"/>
        <w:tabs>
          <w:tab w:leader="none" w:pos="2480" w:val="left"/>
        </w:tabs>
        <w:rPr>
          <w:sz w:val="20"/>
          <w:szCs w:val="20"/>
          <w:color w:val="auto"/>
        </w:rPr>
      </w:pPr>
      <w:r>
        <w:rPr>
          <w:rFonts w:ascii="Arial" w:cs="Arial" w:eastAsia="Arial" w:hAnsi="Arial"/>
          <w:sz w:val="20"/>
          <w:szCs w:val="20"/>
          <w:color w:val="auto"/>
        </w:rPr>
        <w:t>Section 3.14</w:t>
      </w:r>
      <w:r>
        <w:rPr>
          <w:sz w:val="20"/>
          <w:szCs w:val="20"/>
          <w:color w:val="auto"/>
        </w:rPr>
        <w:tab/>
      </w:r>
      <w:r>
        <w:rPr>
          <w:rFonts w:ascii="Arial" w:cs="Arial" w:eastAsia="Arial" w:hAnsi="Arial"/>
          <w:sz w:val="18"/>
          <w:szCs w:val="18"/>
          <w:u w:val="single" w:color="auto"/>
          <w:color w:val="auto"/>
        </w:rPr>
        <w:t>Compliance with ERISA</w:t>
      </w:r>
      <w:r>
        <w:rPr>
          <w:rFonts w:ascii="Arial" w:cs="Arial" w:eastAsia="Arial" w:hAnsi="Arial"/>
          <w:sz w:val="18"/>
          <w:szCs w:val="18"/>
          <w:color w:val="auto"/>
        </w:rPr>
        <w:t>.</w:t>
      </w:r>
    </w:p>
    <w:p>
      <w:pPr>
        <w:spacing w:after="0" w:line="211" w:lineRule="exact"/>
        <w:rPr>
          <w:sz w:val="20"/>
          <w:szCs w:val="20"/>
          <w:color w:val="auto"/>
        </w:rPr>
      </w:pPr>
    </w:p>
    <w:p>
      <w:pPr>
        <w:jc w:val="both"/>
        <w:ind w:firstLine="1735"/>
        <w:spacing w:after="0" w:line="279" w:lineRule="auto"/>
        <w:tabs>
          <w:tab w:leader="none" w:pos="2595" w:val="left"/>
        </w:tabs>
        <w:numPr>
          <w:ilvl w:val="0"/>
          <w:numId w:val="116"/>
        </w:numPr>
        <w:rPr>
          <w:rFonts w:ascii="Arial" w:cs="Arial" w:eastAsia="Arial" w:hAnsi="Arial"/>
          <w:sz w:val="18"/>
          <w:szCs w:val="18"/>
          <w:color w:val="auto"/>
        </w:rPr>
      </w:pPr>
      <w:r>
        <w:rPr>
          <w:rFonts w:ascii="Arial" w:cs="Arial" w:eastAsia="Arial" w:hAnsi="Arial"/>
          <w:sz w:val="19"/>
          <w:szCs w:val="19"/>
          <w:color w:val="auto"/>
        </w:rPr>
        <w:t>Except as would not reasonably be expected, individually or in the aggregate, to have a Material Adverse Effect, (i) each ERISA Plan (and the related trusts and funding agreements) complies in form and in operation with, has been administered in compliance with, and the terms of each ERISA Plan satisfy, the applicable requirements of ERISA and the Code; (ii) each ERISA Plan which is intended to be qualified under Section 401(a) of the Code is so qualified, and the United States Internal Revenue Service has issued a favorable determination letter with respect to each such ERISA Plan; and (iii) no Credit Party has incurred liability for any excise tax under any of Sections 4971 through 5000 of the Code.</w:t>
      </w:r>
    </w:p>
    <w:p>
      <w:pPr>
        <w:spacing w:after="0" w:line="150" w:lineRule="exact"/>
        <w:rPr>
          <w:rFonts w:ascii="Arial" w:cs="Arial" w:eastAsia="Arial" w:hAnsi="Arial"/>
          <w:sz w:val="18"/>
          <w:szCs w:val="18"/>
          <w:color w:val="auto"/>
        </w:rPr>
      </w:pPr>
    </w:p>
    <w:p>
      <w:pPr>
        <w:jc w:val="both"/>
        <w:ind w:firstLine="1735"/>
        <w:spacing w:after="0" w:line="270" w:lineRule="auto"/>
        <w:tabs>
          <w:tab w:leader="none" w:pos="2606" w:val="left"/>
        </w:tabs>
        <w:numPr>
          <w:ilvl w:val="0"/>
          <w:numId w:val="116"/>
        </w:numPr>
        <w:rPr>
          <w:rFonts w:ascii="Arial" w:cs="Arial" w:eastAsia="Arial" w:hAnsi="Arial"/>
          <w:sz w:val="18"/>
          <w:szCs w:val="18"/>
          <w:color w:val="auto"/>
        </w:rPr>
      </w:pPr>
      <w:r>
        <w:rPr>
          <w:rFonts w:ascii="Arial" w:cs="Arial" w:eastAsia="Arial" w:hAnsi="Arial"/>
          <w:sz w:val="19"/>
          <w:szCs w:val="19"/>
          <w:color w:val="auto"/>
        </w:rPr>
        <w:t>Except as would not reasonably be expected, individually or in the aggregate, to have a Material Adverse Effect, each Borrower and each Subsidiary is in compliance with the applicable provisions of ERISA and the provisions of the Code relating to ERISA Plans and the regulations and published interpretations therein. During the thirty-six (36) month period prior to the Closing Date or the making of any Loan (i) no steps have been taken to terminate any Pension Plan, other than pursuant to a “standard termination,” within the meaning of Section 4041(b) of ERISA, and (ii) no contribution failure has occurred with respect to any Pension Plan sufficient to give rise to a Lien under Section 303(k) of ERISA or Section 430(k) of the Code and no event has occurred that would give rise to a Lien under Section 4068 of ERISA. No condition exists or event or transaction has occurred with respect to any Pension Plan which could result in the incurrence by any Credit Party of any liability, fine or penalty in an amount in excess of $500,000. No Credit Party has incurred liability to the PBGC (other than for current premiums) with respect to any employee Pension Plan. Except as would not reasonably be expected to result in material liability to any Credit Party, all contributions (if any) have been made on a timely basis to any Multiemployer Plan that are required to be made by any Credit Party or any other member of the Controlled Group under the terms of the plan or of any collective bargaining agreement or by applicable Law; no Credit Party nor any member of the Controlled Group has withdrawn or partially withdrawn from any Multiemployer Plan, incurred any withdrawal liability with respect to any such plan or received notice of any claim or demand for withdrawal liability or partial withdrawal liability from any such plan, and no Credit Party nor any member of the Controlled Group has received any notice that any Multiemployer Plan is in reorganization, that any such plan is or may be terminated, or that any such plan is or may become insolvent.</w:t>
      </w:r>
    </w:p>
    <w:p>
      <w:pPr>
        <w:spacing w:after="0" w:line="200" w:lineRule="exact"/>
        <w:rPr>
          <w:sz w:val="20"/>
          <w:szCs w:val="20"/>
          <w:color w:val="auto"/>
        </w:rPr>
      </w:pPr>
    </w:p>
    <w:p>
      <w:pPr>
        <w:spacing w:after="0" w:line="214" w:lineRule="exact"/>
        <w:rPr>
          <w:sz w:val="20"/>
          <w:szCs w:val="20"/>
          <w:color w:val="auto"/>
        </w:rPr>
      </w:pPr>
    </w:p>
    <w:p>
      <w:pPr>
        <w:jc w:val="both"/>
        <w:ind w:right="20" w:firstLine="864"/>
        <w:spacing w:after="0" w:line="249" w:lineRule="auto"/>
        <w:rPr>
          <w:sz w:val="20"/>
          <w:szCs w:val="20"/>
          <w:color w:val="auto"/>
        </w:rPr>
      </w:pPr>
      <w:r>
        <w:rPr>
          <w:rFonts w:ascii="Arial" w:cs="Arial" w:eastAsia="Arial" w:hAnsi="Arial"/>
          <w:sz w:val="20"/>
          <w:szCs w:val="20"/>
          <w:color w:val="auto"/>
        </w:rPr>
        <w:t xml:space="preserve">Section 3.15 </w:t>
      </w:r>
      <w:r>
        <w:rPr>
          <w:rFonts w:ascii="Arial" w:cs="Arial" w:eastAsia="Arial" w:hAnsi="Arial"/>
          <w:sz w:val="20"/>
          <w:szCs w:val="20"/>
          <w:u w:val="single" w:color="auto"/>
          <w:color w:val="auto"/>
        </w:rPr>
        <w:t>Consummation of Financing Documents; Brokers</w:t>
      </w:r>
      <w:r>
        <w:rPr>
          <w:rFonts w:ascii="Arial" w:cs="Arial" w:eastAsia="Arial" w:hAnsi="Arial"/>
          <w:sz w:val="21"/>
          <w:szCs w:val="21"/>
          <w:color w:val="auto"/>
        </w:rPr>
        <w:t>. Except for fees payable to Agent and/or Lenders and</w:t>
      </w:r>
      <w:r>
        <w:rPr>
          <w:rFonts w:ascii="Arial" w:cs="Arial" w:eastAsia="Arial" w:hAnsi="Arial"/>
          <w:sz w:val="20"/>
          <w:szCs w:val="20"/>
          <w:color w:val="auto"/>
        </w:rPr>
        <w:t xml:space="preserve"> </w:t>
      </w: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3.15</w:t>
      </w:r>
      <w:r>
        <w:rPr>
          <w:rFonts w:ascii="Arial" w:cs="Arial" w:eastAsia="Arial" w:hAnsi="Arial"/>
          <w:sz w:val="21"/>
          <w:szCs w:val="21"/>
          <w:color w:val="auto"/>
        </w:rPr>
        <w:t xml:space="preserve">, no broker, finder or other intermediary has brought about the obtaining, making or closing of the transactions contemplated by the Financing Documents, and except as set forth on </w:t>
      </w:r>
      <w:r>
        <w:rPr>
          <w:rFonts w:ascii="Arial" w:cs="Arial" w:eastAsia="Arial" w:hAnsi="Arial"/>
          <w:sz w:val="21"/>
          <w:szCs w:val="21"/>
          <w:u w:val="single" w:color="auto"/>
          <w:color w:val="auto"/>
        </w:rPr>
        <w:t>Schedule 3.15</w:t>
      </w:r>
      <w:r>
        <w:rPr>
          <w:rFonts w:ascii="Arial" w:cs="Arial" w:eastAsia="Arial" w:hAnsi="Arial"/>
          <w:sz w:val="21"/>
          <w:szCs w:val="21"/>
          <w:color w:val="auto"/>
        </w:rPr>
        <w:t xml:space="preserve"> no Credit Party has or will have any obligation to any Person in respect of any finder’s or brokerage fees, commissions or other expenses in connection herewith or therewith.</w:t>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r>
              <w:rPr>
                <w:rFonts w:ascii="Arial" w:cs="Arial" w:eastAsia="Arial" w:hAnsi="Arial"/>
                <w:sz w:val="20"/>
                <w:szCs w:val="20"/>
                <w:color w:val="auto"/>
              </w:rPr>
              <w:t>Section 3.16</w:t>
            </w:r>
          </w:p>
        </w:tc>
        <w:tc>
          <w:tcPr>
            <w:tcW w:w="1540" w:type="dxa"/>
            <w:vAlign w:val="bottom"/>
            <w:gridSpan w:val="3"/>
          </w:tcPr>
          <w:p>
            <w:pPr>
              <w:spacing w:after="0"/>
              <w:rPr>
                <w:sz w:val="20"/>
                <w:szCs w:val="20"/>
                <w:color w:val="auto"/>
              </w:rPr>
            </w:pPr>
            <w:r>
              <w:rPr>
                <w:rFonts w:ascii="Arial" w:cs="Arial" w:eastAsia="Arial" w:hAnsi="Arial"/>
                <w:sz w:val="20"/>
                <w:szCs w:val="20"/>
                <w:color w:val="auto"/>
              </w:rPr>
              <w:t>Reserved</w:t>
            </w:r>
            <w:r>
              <w:rPr>
                <w:rFonts w:ascii="Arial" w:cs="Arial" w:eastAsia="Arial" w:hAnsi="Arial"/>
                <w:sz w:val="21"/>
                <w:szCs w:val="21"/>
                <w:color w:val="auto"/>
              </w:rPr>
              <w:t>.</w:t>
            </w:r>
          </w:p>
        </w:tc>
      </w:tr>
      <w:tr>
        <w:trPr>
          <w:trHeight w:val="20"/>
        </w:trPr>
        <w:tc>
          <w:tcPr>
            <w:tcW w:w="1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20"/>
                <w:szCs w:val="20"/>
                <w:color w:val="auto"/>
              </w:rPr>
              <w:t>Section 3.17</w:t>
            </w:r>
          </w:p>
        </w:tc>
        <w:tc>
          <w:tcPr>
            <w:tcW w:w="1540" w:type="dxa"/>
            <w:vAlign w:val="bottom"/>
            <w:gridSpan w:val="3"/>
          </w:tcPr>
          <w:p>
            <w:pPr>
              <w:spacing w:after="0"/>
              <w:rPr>
                <w:sz w:val="20"/>
                <w:szCs w:val="20"/>
                <w:color w:val="auto"/>
              </w:rPr>
            </w:pPr>
            <w:r>
              <w:rPr>
                <w:rFonts w:ascii="Arial" w:cs="Arial" w:eastAsia="Arial" w:hAnsi="Arial"/>
                <w:sz w:val="20"/>
                <w:szCs w:val="20"/>
                <w:color w:val="auto"/>
                <w:w w:val="90"/>
              </w:rPr>
              <w:t>Material Contracts</w:t>
            </w:r>
            <w:r>
              <w:rPr>
                <w:rFonts w:ascii="Arial" w:cs="Arial" w:eastAsia="Arial" w:hAnsi="Arial"/>
                <w:sz w:val="21"/>
                <w:szCs w:val="21"/>
                <w:color w:val="auto"/>
                <w:w w:val="90"/>
              </w:rPr>
              <w:t>.</w:t>
            </w:r>
          </w:p>
        </w:tc>
      </w:tr>
      <w:tr>
        <w:trPr>
          <w:trHeight w:val="20"/>
        </w:trPr>
        <w:tc>
          <w:tcPr>
            <w:tcW w:w="1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63" w:name="page164"/>
    <w:bookmarkEnd w:id="163"/>
    <w:p>
      <w:pPr>
        <w:jc w:val="both"/>
        <w:ind w:firstLine="1735"/>
        <w:spacing w:after="0" w:line="287" w:lineRule="auto"/>
        <w:tabs>
          <w:tab w:leader="none" w:pos="2595" w:val="left"/>
        </w:tabs>
        <w:numPr>
          <w:ilvl w:val="0"/>
          <w:numId w:val="117"/>
        </w:numPr>
        <w:rPr>
          <w:rFonts w:ascii="Arial" w:cs="Arial" w:eastAsia="Arial" w:hAnsi="Arial"/>
          <w:sz w:val="18"/>
          <w:szCs w:val="18"/>
          <w:color w:val="auto"/>
        </w:rPr>
      </w:pPr>
      <w:r>
        <w:rPr>
          <w:rFonts w:ascii="Arial" w:cs="Arial" w:eastAsia="Arial" w:hAnsi="Arial"/>
          <w:sz w:val="19"/>
          <w:szCs w:val="19"/>
          <w:color w:val="auto"/>
        </w:rPr>
        <w:t xml:space="preserve">Except for the Financing Documents and the agreements set forth on </w:t>
      </w:r>
      <w:r>
        <w:rPr>
          <w:rFonts w:ascii="Arial" w:cs="Arial" w:eastAsia="Arial" w:hAnsi="Arial"/>
          <w:sz w:val="19"/>
          <w:szCs w:val="19"/>
          <w:u w:val="single" w:color="auto"/>
          <w:color w:val="auto"/>
        </w:rPr>
        <w:t>Schedule 3.17</w:t>
      </w:r>
      <w:r>
        <w:rPr>
          <w:rFonts w:ascii="Arial" w:cs="Arial" w:eastAsia="Arial" w:hAnsi="Arial"/>
          <w:sz w:val="19"/>
          <w:szCs w:val="19"/>
          <w:color w:val="auto"/>
        </w:rPr>
        <w:t>, as of the Closing Date there are no Material Contracts. The consummation of the transactions contemplated by the Financing Documents will not give rise to a right of termination in favor of any party to any Material Contract (other than any Credit Party), except for such Material Contracts the noncompliance with which would not reasonably be expected to have a Material Adverse Effect.</w:t>
      </w:r>
    </w:p>
    <w:p>
      <w:pPr>
        <w:spacing w:after="0" w:line="142" w:lineRule="exact"/>
        <w:rPr>
          <w:rFonts w:ascii="Arial" w:cs="Arial" w:eastAsia="Arial" w:hAnsi="Arial"/>
          <w:sz w:val="18"/>
          <w:szCs w:val="18"/>
          <w:color w:val="auto"/>
        </w:rPr>
      </w:pPr>
    </w:p>
    <w:p>
      <w:pPr>
        <w:jc w:val="both"/>
        <w:ind w:firstLine="1735"/>
        <w:spacing w:after="0" w:line="272" w:lineRule="auto"/>
        <w:tabs>
          <w:tab w:leader="none" w:pos="2606" w:val="left"/>
        </w:tabs>
        <w:numPr>
          <w:ilvl w:val="0"/>
          <w:numId w:val="117"/>
        </w:numPr>
        <w:rPr>
          <w:rFonts w:ascii="Arial" w:cs="Arial" w:eastAsia="Arial" w:hAnsi="Arial"/>
          <w:sz w:val="18"/>
          <w:szCs w:val="18"/>
          <w:color w:val="auto"/>
        </w:rPr>
      </w:pPr>
      <w:r>
        <w:rPr>
          <w:rFonts w:ascii="Arial" w:cs="Arial" w:eastAsia="Arial" w:hAnsi="Arial"/>
          <w:sz w:val="19"/>
          <w:szCs w:val="19"/>
          <w:color w:val="auto"/>
        </w:rPr>
        <w:t>(i) Each Royalty Agreement is a legal, valid and binding agreement enforceable (subject, as to enforcement, to (x) the effect of applicable bankruptcy, insolvency, examinership or similar laws affecting the enforcement or creditors’ rights and (y) general principles of equity) against the Credit Parties party thereto in accordance with its terms; (ii) all of each Credit Party’s rights (including all Accounts) under the Ruxience Royalty Agreement and any other Royalty Agreement (excluding the IXINITY Royalty Agreement) to which it is a party are fully assignable to Agent, for the benefit of Lenders, without further consent of, or any action by, any other Person, and such an assignment would not constitute a default or breach of such Royalty Agreement; (iii) all of each Credit Party’s Accounts under the IXINITY Royalty Agreement are fully assignable to Agent, for the benefit of Lenders, without further consent of, or any action by, any other Person and such an assignment would not constitute a default or breach of the IXINITY Royalty Agreement; (iv) no Royalty Agreement or any Accounts of Borrowers in respect of any Royalty Agreement constitutes Excluded Property except as expressly set forth in the definition thereof; and (v) all payments to be made to a Credit Party pursuant to each Royalty Agreement are stated in Dollars (to the extent that specific amounts or currencies are therein stated) in the applicable Royalty Agreement no amounts under any Royalty Agreement are required to be paid in a currency other than Dollars.</w:t>
      </w:r>
    </w:p>
    <w:p>
      <w:pPr>
        <w:spacing w:after="0" w:line="155" w:lineRule="exact"/>
        <w:rPr>
          <w:rFonts w:ascii="Arial" w:cs="Arial" w:eastAsia="Arial" w:hAnsi="Arial"/>
          <w:sz w:val="18"/>
          <w:szCs w:val="18"/>
          <w:color w:val="auto"/>
        </w:rPr>
      </w:pPr>
    </w:p>
    <w:p>
      <w:pPr>
        <w:jc w:val="both"/>
        <w:ind w:firstLine="1735"/>
        <w:spacing w:after="0" w:line="249" w:lineRule="auto"/>
        <w:tabs>
          <w:tab w:leader="none" w:pos="2595" w:val="left"/>
        </w:tabs>
        <w:numPr>
          <w:ilvl w:val="0"/>
          <w:numId w:val="117"/>
        </w:numPr>
        <w:rPr>
          <w:rFonts w:ascii="Arial" w:cs="Arial" w:eastAsia="Arial" w:hAnsi="Arial"/>
          <w:sz w:val="19"/>
          <w:szCs w:val="19"/>
          <w:color w:val="auto"/>
        </w:rPr>
      </w:pPr>
      <w:r>
        <w:rPr>
          <w:rFonts w:ascii="Arial" w:cs="Arial" w:eastAsia="Arial" w:hAnsi="Arial"/>
          <w:sz w:val="21"/>
          <w:szCs w:val="21"/>
          <w:color w:val="auto"/>
        </w:rPr>
        <w:t>Except with respect to property constituting an “account,” “chattel paper,” a “promissory note” or a “payment intangible” (as each such term is defined in the UCC), no Credit Party makes any representation or warranty that the Agent or any Lender may exercise remedies, without the consent of the counterparty thereunder, in respect of any security interest in any Royalty Agreement containing an anti-assignment term. This disclaimer does not affect any representation or warranty relating to the attachment of the security interest.</w:t>
      </w:r>
    </w:p>
    <w:p>
      <w:pPr>
        <w:spacing w:after="0" w:line="178" w:lineRule="exact"/>
        <w:rPr>
          <w:rFonts w:ascii="Arial" w:cs="Arial" w:eastAsia="Arial" w:hAnsi="Arial"/>
          <w:sz w:val="19"/>
          <w:szCs w:val="19"/>
          <w:color w:val="auto"/>
        </w:rPr>
      </w:pPr>
    </w:p>
    <w:p>
      <w:pPr>
        <w:jc w:val="both"/>
        <w:ind w:firstLine="1735"/>
        <w:spacing w:after="0" w:line="287" w:lineRule="auto"/>
        <w:tabs>
          <w:tab w:leader="none" w:pos="2606" w:val="left"/>
        </w:tabs>
        <w:numPr>
          <w:ilvl w:val="0"/>
          <w:numId w:val="117"/>
        </w:numPr>
        <w:rPr>
          <w:rFonts w:ascii="Arial" w:cs="Arial" w:eastAsia="Arial" w:hAnsi="Arial"/>
          <w:sz w:val="18"/>
          <w:szCs w:val="18"/>
          <w:color w:val="auto"/>
        </w:rPr>
      </w:pPr>
      <w:r>
        <w:rPr>
          <w:rFonts w:ascii="Arial" w:cs="Arial" w:eastAsia="Arial" w:hAnsi="Arial"/>
          <w:sz w:val="19"/>
          <w:szCs w:val="19"/>
          <w:color w:val="auto"/>
        </w:rPr>
        <w:t>The obligations of Pfizer Inc., as successor to Wyeth LLC, to make payments in respect of CD20 Biosimilar Products (as defined in that certain Amendment No. 3 to the Ruxience Royalty Agreement dated as of May 18, 2011 (the “</w:t>
      </w:r>
      <w:r>
        <w:rPr>
          <w:rFonts w:ascii="Arial" w:cs="Arial" w:eastAsia="Arial" w:hAnsi="Arial"/>
          <w:sz w:val="19"/>
          <w:szCs w:val="19"/>
          <w:b w:val="1"/>
          <w:bCs w:val="1"/>
          <w:color w:val="auto"/>
        </w:rPr>
        <w:t>Third Amendment to Ruxience Royalty Agreement</w:t>
      </w:r>
      <w:r>
        <w:rPr>
          <w:rFonts w:ascii="Arial" w:cs="Arial" w:eastAsia="Arial" w:hAnsi="Arial"/>
          <w:sz w:val="19"/>
          <w:szCs w:val="19"/>
          <w:color w:val="auto"/>
        </w:rPr>
        <w:t>”)) to Borrower pursuant to and in accordance with the terms of the Third Amendment to Ruxience Royalty Agreement have not been terminated and remain in full force and effect.</w:t>
      </w:r>
    </w:p>
    <w:p>
      <w:pPr>
        <w:spacing w:after="0" w:line="143" w:lineRule="exact"/>
        <w:rPr>
          <w:sz w:val="20"/>
          <w:szCs w:val="20"/>
          <w:color w:val="auto"/>
        </w:rPr>
      </w:pPr>
    </w:p>
    <w:p>
      <w:pPr>
        <w:ind w:firstLine="864"/>
        <w:spacing w:after="0" w:line="274" w:lineRule="auto"/>
        <w:rPr>
          <w:sz w:val="20"/>
          <w:szCs w:val="20"/>
          <w:color w:val="auto"/>
        </w:rPr>
      </w:pPr>
      <w:r>
        <w:rPr>
          <w:rFonts w:ascii="Arial" w:cs="Arial" w:eastAsia="Arial" w:hAnsi="Arial"/>
          <w:sz w:val="20"/>
          <w:szCs w:val="20"/>
          <w:color w:val="auto"/>
        </w:rPr>
        <w:t xml:space="preserve">Section 3.18 </w:t>
      </w:r>
      <w:r>
        <w:rPr>
          <w:rFonts w:ascii="Arial" w:cs="Arial" w:eastAsia="Arial" w:hAnsi="Arial"/>
          <w:sz w:val="20"/>
          <w:szCs w:val="20"/>
          <w:u w:val="single" w:color="auto"/>
          <w:color w:val="auto"/>
        </w:rPr>
        <w:t>Compliance with Environmental Requirements; No Hazardous Materials</w:t>
      </w:r>
      <w:r>
        <w:rPr>
          <w:rFonts w:ascii="Arial" w:cs="Arial" w:eastAsia="Arial" w:hAnsi="Arial"/>
          <w:sz w:val="21"/>
          <w:szCs w:val="21"/>
          <w:color w:val="auto"/>
        </w:rPr>
        <w:t>. Except in each case as set forth</w:t>
      </w:r>
      <w:r>
        <w:rPr>
          <w:rFonts w:ascii="Arial" w:cs="Arial" w:eastAsia="Arial" w:hAnsi="Arial"/>
          <w:sz w:val="20"/>
          <w:szCs w:val="20"/>
          <w:color w:val="auto"/>
        </w:rPr>
        <w:t xml:space="preserve"> </w:t>
      </w:r>
      <w:r>
        <w:rPr>
          <w:rFonts w:ascii="Arial" w:cs="Arial" w:eastAsia="Arial" w:hAnsi="Arial"/>
          <w:sz w:val="21"/>
          <w:szCs w:val="21"/>
          <w:color w:val="auto"/>
        </w:rPr>
        <w:t xml:space="preserve">on </w:t>
      </w:r>
      <w:r>
        <w:rPr>
          <w:rFonts w:ascii="Arial" w:cs="Arial" w:eastAsia="Arial" w:hAnsi="Arial"/>
          <w:sz w:val="21"/>
          <w:szCs w:val="21"/>
          <w:u w:val="single" w:color="auto"/>
          <w:color w:val="auto"/>
        </w:rPr>
        <w:t>Schedule 3.18</w:t>
      </w:r>
      <w:r>
        <w:rPr>
          <w:rFonts w:ascii="Arial" w:cs="Arial" w:eastAsia="Arial" w:hAnsi="Arial"/>
          <w:sz w:val="21"/>
          <w:szCs w:val="21"/>
          <w:color w:val="auto"/>
        </w:rPr>
        <w:t>:</w:t>
      </w:r>
    </w:p>
    <w:p>
      <w:pPr>
        <w:spacing w:after="0" w:line="151" w:lineRule="exact"/>
        <w:rPr>
          <w:sz w:val="20"/>
          <w:szCs w:val="20"/>
          <w:color w:val="auto"/>
        </w:rPr>
      </w:pPr>
    </w:p>
    <w:p>
      <w:pPr>
        <w:jc w:val="both"/>
        <w:ind w:firstLine="1735"/>
        <w:spacing w:after="0" w:line="252" w:lineRule="auto"/>
        <w:tabs>
          <w:tab w:leader="none" w:pos="2595" w:val="left"/>
        </w:tabs>
        <w:numPr>
          <w:ilvl w:val="0"/>
          <w:numId w:val="118"/>
        </w:numPr>
        <w:rPr>
          <w:rFonts w:ascii="Arial" w:cs="Arial" w:eastAsia="Arial" w:hAnsi="Arial"/>
          <w:sz w:val="19"/>
          <w:szCs w:val="19"/>
          <w:color w:val="auto"/>
        </w:rPr>
      </w:pPr>
      <w:r>
        <w:rPr>
          <w:rFonts w:ascii="Arial" w:cs="Arial" w:eastAsia="Arial" w:hAnsi="Arial"/>
          <w:sz w:val="21"/>
          <w:szCs w:val="21"/>
          <w:color w:val="auto"/>
        </w:rPr>
        <w:t>no notice, notification, demand, request for information, citation, summons, complaint or order has been issued, no complaint has been filed, no penalty has been assessed and no investigation or review is pending, or to such Borrower’s knowledge, threatened in writing by any Governmental Authority or other Person with respect to any (i) alleged violation by any Credit Party of any Environmental Law, (ii) alleged failure by any Credit Party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4" w:name="page165"/>
    <w:bookmarkEnd w:id="164"/>
    <w:p>
      <w:pPr>
        <w:jc w:val="both"/>
        <w:spacing w:after="0" w:line="238" w:lineRule="auto"/>
        <w:rPr>
          <w:sz w:val="20"/>
          <w:szCs w:val="20"/>
          <w:color w:val="auto"/>
        </w:rPr>
      </w:pPr>
      <w:r>
        <w:rPr>
          <w:rFonts w:ascii="Arial" w:cs="Arial" w:eastAsia="Arial" w:hAnsi="Arial"/>
          <w:sz w:val="22"/>
          <w:szCs w:val="22"/>
          <w:color w:val="auto"/>
        </w:rPr>
        <w:t>to have any Permits required under any Environmental Law in connection with the conduct of its business or to comply with the terms and conditions thereof, (iii) any generation, treatment, storage, recycling, transportation or disposal of any Hazardous Materials by any Credit Party or any of its Subsidiaries, or (iv) release of Hazardous Materials caused by any Credit Party, any of its Subsidiaries, or any of its agents; and</w:t>
      </w:r>
    </w:p>
    <w:p>
      <w:pPr>
        <w:spacing w:after="0" w:line="185" w:lineRule="exact"/>
        <w:rPr>
          <w:sz w:val="20"/>
          <w:szCs w:val="20"/>
          <w:color w:val="auto"/>
        </w:rPr>
      </w:pPr>
    </w:p>
    <w:p>
      <w:pPr>
        <w:jc w:val="both"/>
        <w:ind w:firstLine="1735"/>
        <w:spacing w:after="0" w:line="275" w:lineRule="auto"/>
        <w:tabs>
          <w:tab w:leader="none" w:pos="2606" w:val="left"/>
        </w:tabs>
        <w:numPr>
          <w:ilvl w:val="0"/>
          <w:numId w:val="119"/>
        </w:numPr>
        <w:rPr>
          <w:rFonts w:ascii="Arial" w:cs="Arial" w:eastAsia="Arial" w:hAnsi="Arial"/>
          <w:sz w:val="18"/>
          <w:szCs w:val="18"/>
          <w:color w:val="auto"/>
        </w:rPr>
      </w:pPr>
      <w:r>
        <w:rPr>
          <w:rFonts w:ascii="Arial" w:cs="Arial" w:eastAsia="Arial" w:hAnsi="Arial"/>
          <w:sz w:val="19"/>
          <w:szCs w:val="19"/>
          <w:color w:val="auto"/>
        </w:rPr>
        <w:t>no property now owned or, to the knowledge of each Borrower, leased by any Credit Party and, to the knowledge of each Borrower, no such property previously owned or leased by any Credit Party, to which any Credit Party has, directly or indirectly, transported or arranged for the transportation of any Hazardous Materials, is listed or, to such Borrower’s knowledge, proposed for listing, on the National Priorities List promulgated pursuant to CERCLA, or CERCLIS (as defined in CERCLA) or any similar state list or is the subject of federal, state or local enforcement actions or, to the knowledge of such Borrower, other investigations which may lead to claims against any Credit Party for clean-up costs, remedial work, damage to natural resources or personal injury claims, including, without limitation, claims under CERCLA except in the case of the forgoing as would not reasonably be expected to result in a Material Adverse Effect.</w:t>
      </w:r>
    </w:p>
    <w:p>
      <w:pPr>
        <w:spacing w:after="0" w:line="157"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 xml:space="preserve">Section 3.19 </w:t>
      </w:r>
      <w:r>
        <w:rPr>
          <w:rFonts w:ascii="Arial" w:cs="Arial" w:eastAsia="Arial" w:hAnsi="Arial"/>
          <w:sz w:val="20"/>
          <w:szCs w:val="20"/>
          <w:u w:val="single" w:color="auto"/>
          <w:color w:val="auto"/>
        </w:rPr>
        <w:t>Intellectual Property and License Agreements</w:t>
      </w:r>
      <w:r>
        <w:rPr>
          <w:rFonts w:ascii="Arial" w:cs="Arial" w:eastAsia="Arial" w:hAnsi="Arial"/>
          <w:sz w:val="21"/>
          <w:szCs w:val="21"/>
          <w:color w:val="auto"/>
        </w:rPr>
        <w:t>. A list of all Registered Intellectual Property of each</w:t>
      </w:r>
      <w:r>
        <w:rPr>
          <w:rFonts w:ascii="Arial" w:cs="Arial" w:eastAsia="Arial" w:hAnsi="Arial"/>
          <w:sz w:val="20"/>
          <w:szCs w:val="20"/>
          <w:color w:val="auto"/>
        </w:rPr>
        <w:t xml:space="preserve"> </w:t>
      </w:r>
      <w:r>
        <w:rPr>
          <w:rFonts w:ascii="Arial" w:cs="Arial" w:eastAsia="Arial" w:hAnsi="Arial"/>
          <w:sz w:val="21"/>
          <w:szCs w:val="21"/>
          <w:color w:val="auto"/>
        </w:rPr>
        <w:t xml:space="preserve">Credit Party and all material in-bound license or sublicense agreements, material exclusive out-bound license or sublicense agreements, or other rights of any Credit Party to use material Intellectual Property (but excluding in-bound licenses of over-the-counter software that is commercially available to the public), as of the Closing Date and, as updated pursuant to Section 4.15, is set forth on </w:t>
      </w:r>
      <w:r>
        <w:rPr>
          <w:rFonts w:ascii="Arial" w:cs="Arial" w:eastAsia="Arial" w:hAnsi="Arial"/>
          <w:sz w:val="21"/>
          <w:szCs w:val="21"/>
          <w:u w:val="single" w:color="auto"/>
          <w:color w:val="auto"/>
        </w:rPr>
        <w:t>Schedule 3.19</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3.19</w:t>
      </w:r>
      <w:r>
        <w:rPr>
          <w:rFonts w:ascii="Arial" w:cs="Arial" w:eastAsia="Arial" w:hAnsi="Arial"/>
          <w:sz w:val="21"/>
          <w:szCs w:val="21"/>
          <w:color w:val="auto"/>
        </w:rPr>
        <w:t xml:space="preserve"> shall be prepared by Borrower in the form provided by Agent and contain all information required in such form. Except for Permitted Licenses, each Credit Party is the sole owner of its material Intellectual Property free and clear of any Liens other than Permitted Liens. No part of the Material Intangible Assets has been judged invalid or unenforceable, in whole or in part, and to the Borrower’s knowledge, no claim has been made in writing that any part of the Intellectual Property violates the rights of any third party where the effect of such violation would reasonably be expected to have a Material Adverse Effect.</w:t>
      </w:r>
    </w:p>
    <w:p>
      <w:pPr>
        <w:spacing w:after="0" w:line="181"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Section 3.20 </w:t>
      </w:r>
      <w:r>
        <w:rPr>
          <w:rFonts w:ascii="Arial" w:cs="Arial" w:eastAsia="Arial" w:hAnsi="Arial"/>
          <w:sz w:val="20"/>
          <w:szCs w:val="20"/>
          <w:u w:val="single" w:color="auto"/>
          <w:color w:val="auto"/>
        </w:rPr>
        <w:t>Solvency</w:t>
      </w:r>
      <w:r>
        <w:rPr>
          <w:rFonts w:ascii="Arial" w:cs="Arial" w:eastAsia="Arial" w:hAnsi="Arial"/>
          <w:sz w:val="21"/>
          <w:szCs w:val="21"/>
          <w:color w:val="auto"/>
        </w:rPr>
        <w:t>. After giving effect to the Loan advances and the liabilities and obligations of each</w:t>
      </w:r>
      <w:r>
        <w:rPr>
          <w:rFonts w:ascii="Arial" w:cs="Arial" w:eastAsia="Arial" w:hAnsi="Arial"/>
          <w:sz w:val="20"/>
          <w:szCs w:val="20"/>
          <w:color w:val="auto"/>
        </w:rPr>
        <w:t xml:space="preserve"> </w:t>
      </w:r>
      <w:r>
        <w:rPr>
          <w:rFonts w:ascii="Arial" w:cs="Arial" w:eastAsia="Arial" w:hAnsi="Arial"/>
          <w:sz w:val="21"/>
          <w:szCs w:val="21"/>
          <w:color w:val="auto"/>
        </w:rPr>
        <w:t>Borrower under the Financing Documents, each Borrower (after giving effect to all rights of such Borrower arising by virtue of Section 2.10(b) and any other rights of contribution or similar rights of such Borrower) is Solvent and the Credit Parties (taken as a whole) are Solvent.</w:t>
      </w:r>
    </w:p>
    <w:p>
      <w:pPr>
        <w:spacing w:after="0" w:line="174"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9"/>
          <w:szCs w:val="19"/>
          <w:color w:val="auto"/>
        </w:rPr>
        <w:t xml:space="preserve">Section 3.21 </w:t>
      </w:r>
      <w:r>
        <w:rPr>
          <w:rFonts w:ascii="Arial" w:cs="Arial" w:eastAsia="Arial" w:hAnsi="Arial"/>
          <w:sz w:val="19"/>
          <w:szCs w:val="19"/>
          <w:u w:val="single" w:color="auto"/>
          <w:color w:val="auto"/>
        </w:rPr>
        <w:t>Full Disclosure</w:t>
      </w:r>
      <w:r>
        <w:rPr>
          <w:rFonts w:ascii="Arial" w:cs="Arial" w:eastAsia="Arial" w:hAnsi="Arial"/>
          <w:sz w:val="20"/>
          <w:szCs w:val="20"/>
          <w:color w:val="auto"/>
        </w:rPr>
        <w:t>. The material written information (financial or otherwise) relating to the Credit</w:t>
      </w:r>
      <w:r>
        <w:rPr>
          <w:rFonts w:ascii="Arial" w:cs="Arial" w:eastAsia="Arial" w:hAnsi="Arial"/>
          <w:sz w:val="19"/>
          <w:szCs w:val="19"/>
          <w:color w:val="auto"/>
        </w:rPr>
        <w:t xml:space="preserve"> </w:t>
      </w:r>
      <w:r>
        <w:rPr>
          <w:rFonts w:ascii="Arial" w:cs="Arial" w:eastAsia="Arial" w:hAnsi="Arial"/>
          <w:sz w:val="20"/>
          <w:szCs w:val="20"/>
          <w:color w:val="auto"/>
        </w:rPr>
        <w:t>Parties, other than projections furnished by or on behalf of any Credit Party to Agent or any Lender in connection with the consummation of the transactions contemplated by the Financing Documents, when taken as a whole, is accurate and complete in all material respects and does not and will not, when taken as a whole, contain any untrue statement of a material fact or omit to state a material fact necessary to make the statements contained therein not materially misleading in light of the circumstances under which such statements were made. All financial projections delivered to Agent and Lenders by Borrowers (or their agents) have been prepared on the basis of the assumptions stated therein. Such projections represent each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5" w:name="page166"/>
    <w:bookmarkEnd w:id="165"/>
    <w:p>
      <w:pPr>
        <w:jc w:val="both"/>
        <w:spacing w:after="0" w:line="235" w:lineRule="auto"/>
        <w:rPr>
          <w:sz w:val="20"/>
          <w:szCs w:val="20"/>
          <w:color w:val="auto"/>
        </w:rPr>
      </w:pPr>
      <w:r>
        <w:rPr>
          <w:rFonts w:ascii="Arial" w:cs="Arial" w:eastAsia="Arial" w:hAnsi="Arial"/>
          <w:sz w:val="22"/>
          <w:szCs w:val="22"/>
          <w:color w:val="auto"/>
        </w:rPr>
        <w:t xml:space="preserve">Borrower’s good faith estimate of such Borrower’s future financial performance and such assumptions are believed by such Borrower to be fair and reasonable in light of current business conditions;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it being understood that projections are as to future events and are not to be viewed as facts, projections are subject to significant uncertainties and contingencies, many of which are beyond Borrowers’ control, that Borrowers can give no assurance that such projections will be attained and that actual results during the period or periods covered by any such projections may differ significantly from the projected results and such differences may be material.</w:t>
      </w:r>
    </w:p>
    <w:p>
      <w:pPr>
        <w:spacing w:after="0" w:line="18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 xml:space="preserve">Section 3.22 </w:t>
      </w:r>
      <w:r>
        <w:rPr>
          <w:rFonts w:ascii="Arial" w:cs="Arial" w:eastAsia="Arial" w:hAnsi="Arial"/>
          <w:sz w:val="20"/>
          <w:szCs w:val="20"/>
          <w:u w:val="single" w:color="auto"/>
          <w:color w:val="auto"/>
        </w:rPr>
        <w:t>Interest Rate</w:t>
      </w:r>
      <w:r>
        <w:rPr>
          <w:rFonts w:ascii="Arial" w:cs="Arial" w:eastAsia="Arial" w:hAnsi="Arial"/>
          <w:sz w:val="21"/>
          <w:szCs w:val="21"/>
          <w:color w:val="auto"/>
        </w:rPr>
        <w:t>. The rate of interest paid under the Notes and the method and manner of the calculation</w:t>
      </w:r>
      <w:r>
        <w:rPr>
          <w:rFonts w:ascii="Arial" w:cs="Arial" w:eastAsia="Arial" w:hAnsi="Arial"/>
          <w:sz w:val="20"/>
          <w:szCs w:val="20"/>
          <w:color w:val="auto"/>
        </w:rPr>
        <w:t xml:space="preserve"> </w:t>
      </w:r>
      <w:r>
        <w:rPr>
          <w:rFonts w:ascii="Arial" w:cs="Arial" w:eastAsia="Arial" w:hAnsi="Arial"/>
          <w:sz w:val="21"/>
          <w:szCs w:val="21"/>
          <w:color w:val="auto"/>
        </w:rPr>
        <w:t>thereof do not violate any usury or other law or applicable Laws on the Closing Date, any of the Organizational Documents, or any of the Financing Documents.</w:t>
      </w:r>
    </w:p>
    <w:p>
      <w:pPr>
        <w:spacing w:after="0" w:line="169"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0"/>
          <w:szCs w:val="20"/>
          <w:color w:val="auto"/>
        </w:rPr>
        <w:t xml:space="preserve">Section 3.23 </w:t>
      </w:r>
      <w:r>
        <w:rPr>
          <w:rFonts w:ascii="Arial" w:cs="Arial" w:eastAsia="Arial" w:hAnsi="Arial"/>
          <w:sz w:val="20"/>
          <w:szCs w:val="20"/>
          <w:u w:val="single" w:color="auto"/>
          <w:color w:val="auto"/>
        </w:rPr>
        <w:t>Subsidiaries</w:t>
      </w:r>
      <w:r>
        <w:rPr>
          <w:rFonts w:ascii="Arial" w:cs="Arial" w:eastAsia="Arial" w:hAnsi="Arial"/>
          <w:sz w:val="21"/>
          <w:szCs w:val="21"/>
          <w:color w:val="auto"/>
        </w:rPr>
        <w:t>. Borrowers do not own any stock, partnership interests, limited liability company</w:t>
      </w:r>
      <w:r>
        <w:rPr>
          <w:rFonts w:ascii="Arial" w:cs="Arial" w:eastAsia="Arial" w:hAnsi="Arial"/>
          <w:sz w:val="20"/>
          <w:szCs w:val="20"/>
          <w:color w:val="auto"/>
        </w:rPr>
        <w:t xml:space="preserve"> </w:t>
      </w:r>
      <w:r>
        <w:rPr>
          <w:rFonts w:ascii="Arial" w:cs="Arial" w:eastAsia="Arial" w:hAnsi="Arial"/>
          <w:sz w:val="21"/>
          <w:szCs w:val="21"/>
          <w:color w:val="auto"/>
        </w:rPr>
        <w:t>interests or other equity securities or Subsidiaries except for Permitted Investments.</w:t>
      </w:r>
    </w:p>
    <w:p>
      <w:pPr>
        <w:spacing w:after="0" w:line="151"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3.24</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8"/>
          <w:szCs w:val="18"/>
          <w:color w:val="auto"/>
        </w:rPr>
        <w:t>.</w:t>
      </w:r>
    </w:p>
    <w:p>
      <w:pPr>
        <w:spacing w:after="0" w:line="229"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Accuracy of Schedules</w:t>
      </w:r>
      <w:r>
        <w:rPr>
          <w:rFonts w:ascii="Arial" w:cs="Arial" w:eastAsia="Arial" w:hAnsi="Arial"/>
          <w:sz w:val="19"/>
          <w:szCs w:val="19"/>
          <w:color w:val="auto"/>
        </w:rPr>
        <w:t>. All information set forth in the Schedules to this Agreement (including</w:t>
      </w:r>
      <w:r>
        <w:rPr>
          <w:rFonts w:ascii="Arial" w:cs="Arial" w:eastAsia="Arial" w:hAnsi="Arial"/>
          <w:sz w:val="18"/>
          <w:szCs w:val="18"/>
          <w:color w:val="auto"/>
        </w:rPr>
        <w:t xml:space="preserve"> </w:t>
      </w:r>
      <w:r>
        <w:rPr>
          <w:rFonts w:ascii="Arial" w:cs="Arial" w:eastAsia="Arial" w:hAnsi="Arial"/>
          <w:sz w:val="19"/>
          <w:szCs w:val="19"/>
          <w:u w:val="single" w:color="auto"/>
          <w:color w:val="auto"/>
        </w:rPr>
        <w:t>Schedule 3.19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8.2(a)</w:t>
      </w:r>
      <w:r>
        <w:rPr>
          <w:rFonts w:ascii="Arial" w:cs="Arial" w:eastAsia="Arial" w:hAnsi="Arial"/>
          <w:sz w:val="19"/>
          <w:szCs w:val="19"/>
          <w:color w:val="auto"/>
        </w:rPr>
        <w:t>) is true, accurate and complete as of the Closing Date, the date of delivery of the last quarterly Compliance Certificate and any other subsequent date in which Borrower is requested to update such Schedules in accordance with this Agreement. All information set forth in the Perfection Certificate is true, accurate and complete as of the Closing Date and any other subsequent date in which Borrower is requested to update such certificate in accordance with this Agreement.</w:t>
      </w:r>
    </w:p>
    <w:p>
      <w:pPr>
        <w:spacing w:after="0" w:line="146" w:lineRule="exact"/>
        <w:rPr>
          <w:sz w:val="20"/>
          <w:szCs w:val="20"/>
          <w:color w:val="auto"/>
        </w:rPr>
      </w:pPr>
    </w:p>
    <w:p>
      <w:pPr>
        <w:ind w:left="3380"/>
        <w:spacing w:after="0"/>
        <w:tabs>
          <w:tab w:leader="none" w:pos="5040" w:val="left"/>
        </w:tabs>
        <w:rPr>
          <w:sz w:val="20"/>
          <w:szCs w:val="20"/>
          <w:color w:val="auto"/>
        </w:rPr>
      </w:pPr>
      <w:r>
        <w:rPr>
          <w:rFonts w:ascii="Arial" w:cs="Arial" w:eastAsia="Arial" w:hAnsi="Arial"/>
          <w:sz w:val="20"/>
          <w:szCs w:val="20"/>
          <w:b w:val="1"/>
          <w:bCs w:val="1"/>
          <w:color w:val="auto"/>
        </w:rPr>
        <w:t>ARTICLE 4</w:t>
      </w:r>
      <w:r>
        <w:rPr>
          <w:sz w:val="20"/>
          <w:szCs w:val="20"/>
          <w:color w:val="auto"/>
        </w:rPr>
        <w:tab/>
      </w:r>
      <w:r>
        <w:rPr>
          <w:rFonts w:ascii="Arial" w:cs="Arial" w:eastAsia="Arial" w:hAnsi="Arial"/>
          <w:sz w:val="20"/>
          <w:szCs w:val="20"/>
          <w:b w:val="1"/>
          <w:bCs w:val="1"/>
          <w:color w:val="auto"/>
        </w:rPr>
        <w:t>- AFFIRMATIVE COVENANTS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Each Borrower agrees that, so long as any Credit Exposure exists:</w:t>
      </w:r>
    </w:p>
    <w:p>
      <w:pPr>
        <w:spacing w:after="0" w:line="21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8"/>
          <w:szCs w:val="18"/>
          <w:u w:val="single" w:color="auto"/>
          <w:color w:val="auto"/>
        </w:rPr>
        <w:t>Financial Statements and Other Reports</w:t>
      </w:r>
      <w:r>
        <w:rPr>
          <w:rFonts w:ascii="Arial" w:cs="Arial" w:eastAsia="Arial" w:hAnsi="Arial"/>
          <w:sz w:val="19"/>
          <w:szCs w:val="19"/>
          <w:color w:val="auto"/>
        </w:rPr>
        <w:t>. Each Borrower will deliver to Agent:</w:t>
      </w:r>
    </w:p>
    <w:p>
      <w:pPr>
        <w:spacing w:after="0" w:line="229" w:lineRule="exact"/>
        <w:rPr>
          <w:sz w:val="20"/>
          <w:szCs w:val="20"/>
          <w:color w:val="auto"/>
        </w:rPr>
      </w:pPr>
    </w:p>
    <w:p>
      <w:pPr>
        <w:ind w:firstLine="1735"/>
        <w:spacing w:after="0" w:line="274" w:lineRule="auto"/>
        <w:tabs>
          <w:tab w:leader="none" w:pos="2595" w:val="left"/>
        </w:tabs>
        <w:numPr>
          <w:ilvl w:val="0"/>
          <w:numId w:val="120"/>
        </w:numPr>
        <w:rPr>
          <w:rFonts w:ascii="Arial" w:cs="Arial" w:eastAsia="Arial" w:hAnsi="Arial"/>
          <w:sz w:val="19"/>
          <w:szCs w:val="19"/>
          <w:color w:val="auto"/>
        </w:rPr>
      </w:pPr>
      <w:r>
        <w:rPr>
          <w:rFonts w:ascii="Arial" w:cs="Arial" w:eastAsia="Arial" w:hAnsi="Arial"/>
          <w:sz w:val="21"/>
          <w:szCs w:val="21"/>
          <w:color w:val="auto"/>
        </w:rPr>
        <w:t>as soon as available, but no later than thirty (30) days after the last day of each month, a bank statement of each Borrower certified by a Responsible Officer and in a form reasonably acceptable to the Agent;</w:t>
      </w:r>
    </w:p>
    <w:p>
      <w:pPr>
        <w:spacing w:after="0" w:line="150" w:lineRule="exact"/>
        <w:rPr>
          <w:rFonts w:ascii="Arial" w:cs="Arial" w:eastAsia="Arial" w:hAnsi="Arial"/>
          <w:sz w:val="19"/>
          <w:szCs w:val="19"/>
          <w:color w:val="auto"/>
        </w:rPr>
      </w:pPr>
    </w:p>
    <w:p>
      <w:pPr>
        <w:jc w:val="both"/>
        <w:ind w:firstLine="1735"/>
        <w:spacing w:after="0" w:line="238" w:lineRule="auto"/>
        <w:tabs>
          <w:tab w:leader="none" w:pos="2606" w:val="left"/>
        </w:tabs>
        <w:numPr>
          <w:ilvl w:val="0"/>
          <w:numId w:val="120"/>
        </w:numPr>
        <w:rPr>
          <w:rFonts w:ascii="Arial" w:cs="Arial" w:eastAsia="Arial" w:hAnsi="Arial"/>
          <w:sz w:val="20"/>
          <w:szCs w:val="20"/>
          <w:color w:val="auto"/>
        </w:rPr>
      </w:pPr>
      <w:r>
        <w:rPr>
          <w:rFonts w:ascii="Arial" w:cs="Arial" w:eastAsia="Arial" w:hAnsi="Arial"/>
          <w:sz w:val="22"/>
          <w:szCs w:val="22"/>
          <w:color w:val="auto"/>
        </w:rPr>
        <w:t>as soon as available, but no later than forty-five (45) days after the last day of each fiscal quarter, a company prepared consolidated balance sheet, cash flow and income statement covering Borrowers’ and their Consolidated Subsidiaries’ consolidated operations during the period, prepared under GAAP, consistently applied, certified by a Responsible Officer and in a form reasonably acceptable to Agent;</w:t>
      </w:r>
    </w:p>
    <w:p>
      <w:pPr>
        <w:spacing w:after="0" w:line="184" w:lineRule="exact"/>
        <w:rPr>
          <w:rFonts w:ascii="Arial" w:cs="Arial" w:eastAsia="Arial" w:hAnsi="Arial"/>
          <w:sz w:val="20"/>
          <w:szCs w:val="20"/>
          <w:color w:val="auto"/>
        </w:rPr>
      </w:pPr>
    </w:p>
    <w:p>
      <w:pPr>
        <w:jc w:val="both"/>
        <w:ind w:firstLine="1735"/>
        <w:spacing w:after="0" w:line="238" w:lineRule="auto"/>
        <w:tabs>
          <w:tab w:leader="none" w:pos="2595" w:val="left"/>
        </w:tabs>
        <w:numPr>
          <w:ilvl w:val="0"/>
          <w:numId w:val="120"/>
        </w:numPr>
        <w:rPr>
          <w:rFonts w:ascii="Arial" w:cs="Arial" w:eastAsia="Arial" w:hAnsi="Arial"/>
          <w:sz w:val="20"/>
          <w:szCs w:val="20"/>
          <w:color w:val="auto"/>
        </w:rPr>
      </w:pPr>
      <w:r>
        <w:rPr>
          <w:rFonts w:ascii="Arial" w:cs="Arial" w:eastAsia="Arial" w:hAnsi="Arial"/>
          <w:sz w:val="22"/>
          <w:szCs w:val="22"/>
          <w:color w:val="auto"/>
        </w:rPr>
        <w:t>as soon as available, but no later than one hundred twenty (120) days after the last day of Borrower’s fiscal year, audited consolidated financial statements prepared under GAAP, consistently applied, together with an unqualified opinion (other than any going concern qualification with respect to, or resulting from an upcoming maturity date of any Debt occurring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6" w:name="page167"/>
    <w:bookmarkEnd w:id="166"/>
    <w:p>
      <w:pPr>
        <w:ind w:right="20"/>
        <w:spacing w:after="0" w:line="250" w:lineRule="auto"/>
        <w:rPr>
          <w:sz w:val="20"/>
          <w:szCs w:val="20"/>
          <w:color w:val="auto"/>
        </w:rPr>
      </w:pPr>
      <w:r>
        <w:rPr>
          <w:rFonts w:ascii="Arial" w:cs="Arial" w:eastAsia="Arial" w:hAnsi="Arial"/>
          <w:sz w:val="22"/>
          <w:szCs w:val="22"/>
          <w:color w:val="auto"/>
        </w:rPr>
        <w:t>within one year from the time such opinion is delivered) on the financial statements from Ernst &amp; Young or another independent certified public accounting firm acceptable to Agent in its reasonable discretion;</w:t>
      </w:r>
    </w:p>
    <w:p>
      <w:pPr>
        <w:spacing w:after="0" w:line="175" w:lineRule="exact"/>
        <w:rPr>
          <w:sz w:val="20"/>
          <w:szCs w:val="20"/>
          <w:color w:val="auto"/>
        </w:rPr>
      </w:pPr>
    </w:p>
    <w:p>
      <w:pPr>
        <w:jc w:val="both"/>
        <w:ind w:firstLine="1735"/>
        <w:spacing w:after="0" w:line="238" w:lineRule="auto"/>
        <w:tabs>
          <w:tab w:leader="none" w:pos="2606" w:val="left"/>
        </w:tabs>
        <w:numPr>
          <w:ilvl w:val="0"/>
          <w:numId w:val="121"/>
        </w:numPr>
        <w:rPr>
          <w:rFonts w:ascii="Arial" w:cs="Arial" w:eastAsia="Arial" w:hAnsi="Arial"/>
          <w:sz w:val="20"/>
          <w:szCs w:val="20"/>
          <w:color w:val="auto"/>
        </w:rPr>
      </w:pPr>
      <w:r>
        <w:rPr>
          <w:rFonts w:ascii="Arial" w:cs="Arial" w:eastAsia="Arial" w:hAnsi="Arial"/>
          <w:sz w:val="22"/>
          <w:szCs w:val="22"/>
          <w:color w:val="auto"/>
        </w:rPr>
        <w:t>within five (5) Business Days of delivery or filing thereof, copies of all material statements, reports and notices made available to Borrowers’ security holders or to any holders of any Subordinated Debt and copies of all reports and other filings made by any Borrower with any stock exchange on which any securities of any Borrower are traded and/or the SEC;</w:t>
      </w:r>
    </w:p>
    <w:p>
      <w:pPr>
        <w:spacing w:after="0" w:line="184" w:lineRule="exact"/>
        <w:rPr>
          <w:rFonts w:ascii="Arial" w:cs="Arial" w:eastAsia="Arial" w:hAnsi="Arial"/>
          <w:sz w:val="20"/>
          <w:szCs w:val="20"/>
          <w:color w:val="auto"/>
        </w:rPr>
      </w:pPr>
    </w:p>
    <w:p>
      <w:pPr>
        <w:jc w:val="both"/>
        <w:ind w:firstLine="1735"/>
        <w:spacing w:after="0"/>
        <w:tabs>
          <w:tab w:leader="none" w:pos="2595" w:val="left"/>
        </w:tabs>
        <w:numPr>
          <w:ilvl w:val="0"/>
          <w:numId w:val="121"/>
        </w:numPr>
        <w:rPr>
          <w:rFonts w:ascii="Arial" w:cs="Arial" w:eastAsia="Arial" w:hAnsi="Arial"/>
          <w:sz w:val="20"/>
          <w:szCs w:val="20"/>
          <w:color w:val="auto"/>
        </w:rPr>
      </w:pPr>
      <w:r>
        <w:rPr>
          <w:rFonts w:ascii="Arial" w:cs="Arial" w:eastAsia="Arial" w:hAnsi="Arial"/>
          <w:sz w:val="22"/>
          <w:szCs w:val="22"/>
          <w:color w:val="auto"/>
        </w:rPr>
        <w:t>a prompt written report of any legal actions pending or threatened in writing against any Borrower or any of its Subsidiaries that would reasonably be expected to result in damages or costs to any Borrower or any of its Subsidiaries of Five Hundred Thousand Dollars ($500,000) or more;</w:t>
      </w:r>
    </w:p>
    <w:p>
      <w:pPr>
        <w:spacing w:after="0" w:line="186" w:lineRule="exact"/>
        <w:rPr>
          <w:rFonts w:ascii="Arial" w:cs="Arial" w:eastAsia="Arial" w:hAnsi="Arial"/>
          <w:sz w:val="20"/>
          <w:szCs w:val="20"/>
          <w:color w:val="auto"/>
        </w:rPr>
      </w:pPr>
    </w:p>
    <w:p>
      <w:pPr>
        <w:ind w:left="2580" w:hanging="845"/>
        <w:spacing w:after="0"/>
        <w:tabs>
          <w:tab w:leader="none" w:pos="2580" w:val="left"/>
        </w:tabs>
        <w:numPr>
          <w:ilvl w:val="0"/>
          <w:numId w:val="121"/>
        </w:numPr>
        <w:rPr>
          <w:rFonts w:ascii="Arial" w:cs="Arial" w:eastAsia="Arial" w:hAnsi="Arial"/>
          <w:sz w:val="18"/>
          <w:szCs w:val="18"/>
          <w:color w:val="auto"/>
        </w:rPr>
      </w:pPr>
      <w:r>
        <w:rPr>
          <w:rFonts w:ascii="Arial" w:cs="Arial" w:eastAsia="Arial" w:hAnsi="Arial"/>
          <w:sz w:val="19"/>
          <w:szCs w:val="19"/>
          <w:color w:val="auto"/>
        </w:rPr>
        <w:t>prompt written notice of an event that materially and adversely affects the value of any Intellectual</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Property;</w:t>
      </w:r>
    </w:p>
    <w:p>
      <w:pPr>
        <w:spacing w:after="0" w:line="188" w:lineRule="exact"/>
        <w:rPr>
          <w:rFonts w:ascii="Arial" w:cs="Arial" w:eastAsia="Arial" w:hAnsi="Arial"/>
          <w:sz w:val="18"/>
          <w:szCs w:val="18"/>
          <w:color w:val="auto"/>
        </w:rPr>
      </w:pPr>
    </w:p>
    <w:p>
      <w:pPr>
        <w:ind w:firstLine="1735"/>
        <w:spacing w:after="0" w:line="250" w:lineRule="auto"/>
        <w:tabs>
          <w:tab w:leader="none" w:pos="2606" w:val="left"/>
        </w:tabs>
        <w:numPr>
          <w:ilvl w:val="0"/>
          <w:numId w:val="121"/>
        </w:numPr>
        <w:rPr>
          <w:rFonts w:ascii="Arial" w:cs="Arial" w:eastAsia="Arial" w:hAnsi="Arial"/>
          <w:sz w:val="20"/>
          <w:szCs w:val="20"/>
          <w:color w:val="auto"/>
        </w:rPr>
      </w:pPr>
      <w:r>
        <w:rPr>
          <w:rFonts w:ascii="Arial" w:cs="Arial" w:eastAsia="Arial" w:hAnsi="Arial"/>
          <w:sz w:val="22"/>
          <w:szCs w:val="22"/>
          <w:color w:val="auto"/>
        </w:rPr>
        <w:t>within sixty (60) days after the start of each fiscal year, projections for the forthcoming two fiscal years, on a quarterly basis for the current year and on an annual basis for the subsequent year;</w:t>
      </w:r>
    </w:p>
    <w:p>
      <w:pPr>
        <w:spacing w:after="0" w:line="174" w:lineRule="exact"/>
        <w:rPr>
          <w:rFonts w:ascii="Arial" w:cs="Arial" w:eastAsia="Arial" w:hAnsi="Arial"/>
          <w:sz w:val="20"/>
          <w:szCs w:val="20"/>
          <w:color w:val="auto"/>
        </w:rPr>
      </w:pPr>
    </w:p>
    <w:p>
      <w:pPr>
        <w:jc w:val="both"/>
        <w:ind w:firstLine="1735"/>
        <w:spacing w:after="0" w:line="287" w:lineRule="auto"/>
        <w:tabs>
          <w:tab w:leader="none" w:pos="2606" w:val="left"/>
        </w:tabs>
        <w:numPr>
          <w:ilvl w:val="0"/>
          <w:numId w:val="121"/>
        </w:numPr>
        <w:rPr>
          <w:rFonts w:ascii="Arial" w:cs="Arial" w:eastAsia="Arial" w:hAnsi="Arial"/>
          <w:sz w:val="18"/>
          <w:szCs w:val="18"/>
          <w:color w:val="auto"/>
        </w:rPr>
      </w:pPr>
      <w:r>
        <w:rPr>
          <w:rFonts w:ascii="Arial" w:cs="Arial" w:eastAsia="Arial" w:hAnsi="Arial"/>
          <w:sz w:val="19"/>
          <w:szCs w:val="19"/>
          <w:color w:val="auto"/>
        </w:rPr>
        <w:t xml:space="preserve">promptly (and in any event within ten (10) days of any request therefor) such readily available other budgets, sales projections, operating plans and other financial information and information, reports or statements regarding the Borrowers, their business and the Collateral as Agent may from time to time reasonably request;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reporting related to Regulatory Required Permits and/or Regulatory Reporting Events shall be governed by Section 4.17;</w:t>
      </w:r>
    </w:p>
    <w:p>
      <w:pPr>
        <w:spacing w:after="0" w:line="142" w:lineRule="exact"/>
        <w:rPr>
          <w:rFonts w:ascii="Arial" w:cs="Arial" w:eastAsia="Arial" w:hAnsi="Arial"/>
          <w:sz w:val="18"/>
          <w:szCs w:val="18"/>
          <w:color w:val="auto"/>
        </w:rPr>
      </w:pPr>
    </w:p>
    <w:p>
      <w:pPr>
        <w:jc w:val="both"/>
        <w:ind w:firstLine="1735"/>
        <w:spacing w:after="0"/>
        <w:tabs>
          <w:tab w:leader="none" w:pos="2562" w:val="left"/>
        </w:tabs>
        <w:numPr>
          <w:ilvl w:val="0"/>
          <w:numId w:val="121"/>
        </w:numPr>
        <w:rPr>
          <w:rFonts w:ascii="Arial" w:cs="Arial" w:eastAsia="Arial" w:hAnsi="Arial"/>
          <w:sz w:val="20"/>
          <w:szCs w:val="20"/>
          <w:color w:val="auto"/>
        </w:rPr>
      </w:pPr>
      <w:r>
        <w:rPr>
          <w:rFonts w:ascii="Arial" w:cs="Arial" w:eastAsia="Arial" w:hAnsi="Arial"/>
          <w:sz w:val="22"/>
          <w:szCs w:val="22"/>
          <w:color w:val="auto"/>
        </w:rPr>
        <w:t>within thirty (30) days after the last day of each month (or forty-five (45) days if such month is the last month of a fiscal quarter), deliver to Agent with the financial statements described in clause (a) or (b) above (as applicable), a duly completed Compliance Certificate; and</w:t>
      </w:r>
    </w:p>
    <w:p>
      <w:pPr>
        <w:spacing w:after="0" w:line="186" w:lineRule="exact"/>
        <w:rPr>
          <w:rFonts w:ascii="Arial" w:cs="Arial" w:eastAsia="Arial" w:hAnsi="Arial"/>
          <w:sz w:val="20"/>
          <w:szCs w:val="20"/>
          <w:color w:val="auto"/>
        </w:rPr>
      </w:pPr>
    </w:p>
    <w:p>
      <w:pPr>
        <w:jc w:val="both"/>
        <w:ind w:firstLine="1735"/>
        <w:spacing w:after="0" w:line="238" w:lineRule="auto"/>
        <w:tabs>
          <w:tab w:leader="none" w:pos="2562" w:val="left"/>
        </w:tabs>
        <w:numPr>
          <w:ilvl w:val="0"/>
          <w:numId w:val="121"/>
        </w:numPr>
        <w:rPr>
          <w:rFonts w:ascii="Arial" w:cs="Arial" w:eastAsia="Arial" w:hAnsi="Arial"/>
          <w:sz w:val="20"/>
          <w:szCs w:val="20"/>
          <w:color w:val="auto"/>
        </w:rPr>
      </w:pPr>
      <w:r>
        <w:rPr>
          <w:rFonts w:ascii="Arial" w:cs="Arial" w:eastAsia="Arial" w:hAnsi="Arial"/>
          <w:sz w:val="22"/>
          <w:szCs w:val="22"/>
          <w:color w:val="auto"/>
        </w:rPr>
        <w:t>together with each quarterly Compliance Certificate required to be delivered pursuant to Section 4.1(i), a report of the amount of all Royalties received by or on behalf of Borrowers and their Subsidiaries during such calendar quarter, the dates of payment of such Royalties, the payor(s) of such Royalties and the net sales upon which such Royalties were calculated.</w:t>
      </w:r>
    </w:p>
    <w:p>
      <w:pPr>
        <w:spacing w:after="0" w:line="185"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u w:val="single" w:color="auto"/>
          <w:color w:val="auto"/>
        </w:rPr>
        <w:t>Payment and Performance of Obligations</w:t>
      </w:r>
      <w:r>
        <w:rPr>
          <w:rFonts w:ascii="Arial" w:cs="Arial" w:eastAsia="Arial" w:hAnsi="Arial"/>
          <w:sz w:val="20"/>
          <w:szCs w:val="20"/>
          <w:color w:val="auto"/>
        </w:rPr>
        <w:t>. Each Borrower (a) will pay and discharge, and cause each</w:t>
      </w:r>
      <w:r>
        <w:rPr>
          <w:rFonts w:ascii="Arial" w:cs="Arial" w:eastAsia="Arial" w:hAnsi="Arial"/>
          <w:sz w:val="19"/>
          <w:szCs w:val="19"/>
          <w:color w:val="auto"/>
        </w:rPr>
        <w:t xml:space="preserve"> </w:t>
      </w:r>
      <w:r>
        <w:rPr>
          <w:rFonts w:ascii="Arial" w:cs="Arial" w:eastAsia="Arial" w:hAnsi="Arial"/>
          <w:sz w:val="20"/>
          <w:szCs w:val="20"/>
          <w:color w:val="auto"/>
        </w:rPr>
        <w:t>Subsidiary to pay and discharge, on a timely basis as and when due, all of their respective obligations and liabilities, except for such obligations and/or liabilities (i) that may be the subject of a Permitted Contest, and (ii) the nonpayment or nondischarge of which would not reasonably be expected to have a Material Adverse Effect or result in a Lien against any Collateral, except for Permitted Liens, (b) without limiting anything contained in the foregoing clause (a), and except to the extent subject to a Permitted Contest, pay all amounts due and owing in respect of taxes (including without limitation, payroll and withholding tax</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7" w:name="page168"/>
    <w:bookmarkEnd w:id="167"/>
    <w:p>
      <w:pPr>
        <w:jc w:val="both"/>
        <w:spacing w:after="0" w:line="279" w:lineRule="auto"/>
        <w:rPr>
          <w:sz w:val="20"/>
          <w:szCs w:val="20"/>
          <w:color w:val="auto"/>
        </w:rPr>
      </w:pPr>
      <w:r>
        <w:rPr>
          <w:rFonts w:ascii="Arial" w:cs="Arial" w:eastAsia="Arial" w:hAnsi="Arial"/>
          <w:sz w:val="19"/>
          <w:szCs w:val="19"/>
          <w:color w:val="auto"/>
        </w:rPr>
        <w:t>liabilities) on a timely basis as and when due, and in any case prior to the date on which any fine, penalty, interest, late charge or loss may be added thereto for nonpayment thereof, (c) will maintain, and cause each Subsidiary to maintain, in accordance with GAAP, reserves in respect of their respective obligations and liabilities as such obligations and liabilities are reasonably expected to become due and payable, and (d) will not breach or permit any Subsidiary to breach, or permit to exist any default under, the terms of any lease, commitment, contract, instrument or obligation to which it is a party, or by which its properties or assets are bound, except for such breaches or defaults which would not reasonably be expected to have a Material Adverse Effect.</w:t>
      </w:r>
    </w:p>
    <w:p>
      <w:pPr>
        <w:spacing w:after="0" w:line="150"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Maintenance of Existence</w:t>
      </w:r>
      <w:r>
        <w:rPr>
          <w:rFonts w:ascii="Arial" w:cs="Arial" w:eastAsia="Arial" w:hAnsi="Arial"/>
          <w:sz w:val="21"/>
          <w:szCs w:val="21"/>
          <w:color w:val="auto"/>
        </w:rPr>
        <w:t>. Each Borrower will preserve, renew and keep in full force and effect and in</w:t>
      </w:r>
      <w:r>
        <w:rPr>
          <w:rFonts w:ascii="Arial" w:cs="Arial" w:eastAsia="Arial" w:hAnsi="Arial"/>
          <w:sz w:val="20"/>
          <w:szCs w:val="20"/>
          <w:color w:val="auto"/>
        </w:rPr>
        <w:t xml:space="preserve"> </w:t>
      </w:r>
      <w:r>
        <w:rPr>
          <w:rFonts w:ascii="Arial" w:cs="Arial" w:eastAsia="Arial" w:hAnsi="Arial"/>
          <w:sz w:val="21"/>
          <w:szCs w:val="21"/>
          <w:color w:val="auto"/>
        </w:rPr>
        <w:t>good standing, and will cause each Subsidiary to preserve, renew and keep in full force and effect and in good standing, (a) their respective existence (except as resulting from transactions permitted by Section 5.6) and (b) their respective rights, privileges and franchises necessary or desirable in the normal conduct of business except, in case of this clause (b) where a failure to do so would not reasonably be expected to result in a Material Adverse Effect.</w:t>
      </w:r>
    </w:p>
    <w:p>
      <w:pPr>
        <w:spacing w:after="0" w:line="178"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7"/>
          <w:szCs w:val="17"/>
          <w:u w:val="single" w:color="auto"/>
          <w:color w:val="auto"/>
        </w:rPr>
        <w:t>Maintenance of Property; Insurance</w:t>
      </w:r>
      <w:r>
        <w:rPr>
          <w:rFonts w:ascii="Arial" w:cs="Arial" w:eastAsia="Arial" w:hAnsi="Arial"/>
          <w:sz w:val="18"/>
          <w:szCs w:val="18"/>
          <w:color w:val="auto"/>
        </w:rPr>
        <w:t>.</w:t>
      </w:r>
    </w:p>
    <w:p>
      <w:pPr>
        <w:spacing w:after="0" w:line="229" w:lineRule="exact"/>
        <w:rPr>
          <w:sz w:val="20"/>
          <w:szCs w:val="20"/>
          <w:color w:val="auto"/>
        </w:rPr>
      </w:pPr>
    </w:p>
    <w:p>
      <w:pPr>
        <w:jc w:val="both"/>
        <w:ind w:firstLine="1735"/>
        <w:spacing w:after="0" w:line="252" w:lineRule="auto"/>
        <w:tabs>
          <w:tab w:leader="none" w:pos="2595" w:val="left"/>
        </w:tabs>
        <w:numPr>
          <w:ilvl w:val="0"/>
          <w:numId w:val="122"/>
        </w:numPr>
        <w:rPr>
          <w:rFonts w:ascii="Arial" w:cs="Arial" w:eastAsia="Arial" w:hAnsi="Arial"/>
          <w:sz w:val="19"/>
          <w:szCs w:val="19"/>
          <w:color w:val="auto"/>
        </w:rPr>
      </w:pPr>
      <w:r>
        <w:rPr>
          <w:rFonts w:ascii="Arial" w:cs="Arial" w:eastAsia="Arial" w:hAnsi="Arial"/>
          <w:sz w:val="21"/>
          <w:szCs w:val="21"/>
          <w:color w:val="auto"/>
        </w:rPr>
        <w:t>Each Borrower will keep, and will cause each Subsidiary to keep, all property useful and necessary in its business in good working order and condition, ordinary wear and tear excepted. If all or any part of the Collateral necessary in its business becomes damaged or destroyed, each Borrower will, and will cause each Subsidiary to, promptly and completely repair and/or restore the affected Collateral in a good and workmanlike manner.</w:t>
      </w:r>
    </w:p>
    <w:p>
      <w:pPr>
        <w:spacing w:after="0" w:line="173" w:lineRule="exact"/>
        <w:rPr>
          <w:rFonts w:ascii="Arial" w:cs="Arial" w:eastAsia="Arial" w:hAnsi="Arial"/>
          <w:sz w:val="19"/>
          <w:szCs w:val="19"/>
          <w:color w:val="auto"/>
        </w:rPr>
      </w:pPr>
    </w:p>
    <w:p>
      <w:pPr>
        <w:jc w:val="both"/>
        <w:ind w:firstLine="1735"/>
        <w:spacing w:after="0"/>
        <w:tabs>
          <w:tab w:leader="none" w:pos="2606" w:val="left"/>
        </w:tabs>
        <w:numPr>
          <w:ilvl w:val="0"/>
          <w:numId w:val="122"/>
        </w:numPr>
        <w:rPr>
          <w:rFonts w:ascii="Arial" w:cs="Arial" w:eastAsia="Arial" w:hAnsi="Arial"/>
          <w:sz w:val="20"/>
          <w:szCs w:val="20"/>
          <w:color w:val="auto"/>
        </w:rPr>
      </w:pPr>
      <w:r>
        <w:rPr>
          <w:rFonts w:ascii="Arial" w:cs="Arial" w:eastAsia="Arial" w:hAnsi="Arial"/>
          <w:sz w:val="22"/>
          <w:szCs w:val="22"/>
          <w:color w:val="auto"/>
        </w:rPr>
        <w:t>Upon completion of any Permitted Contest, Borrowers shall, and will cause each Subsidiary to, promptly pay the amount due, if any, and deliver to Agent proof of the completion of the contest and payment of the amount due, if any.</w:t>
      </w:r>
    </w:p>
    <w:p>
      <w:pPr>
        <w:spacing w:after="0" w:line="186" w:lineRule="exact"/>
        <w:rPr>
          <w:rFonts w:ascii="Arial" w:cs="Arial" w:eastAsia="Arial" w:hAnsi="Arial"/>
          <w:sz w:val="20"/>
          <w:szCs w:val="20"/>
          <w:color w:val="auto"/>
        </w:rPr>
      </w:pPr>
    </w:p>
    <w:p>
      <w:pPr>
        <w:jc w:val="both"/>
        <w:ind w:firstLine="1735"/>
        <w:spacing w:after="0" w:line="273" w:lineRule="auto"/>
        <w:tabs>
          <w:tab w:leader="none" w:pos="2595" w:val="left"/>
        </w:tabs>
        <w:numPr>
          <w:ilvl w:val="0"/>
          <w:numId w:val="122"/>
        </w:numPr>
        <w:rPr>
          <w:rFonts w:ascii="Arial" w:cs="Arial" w:eastAsia="Arial" w:hAnsi="Arial"/>
          <w:sz w:val="18"/>
          <w:szCs w:val="18"/>
          <w:color w:val="auto"/>
        </w:rPr>
      </w:pPr>
      <w:r>
        <w:rPr>
          <w:rFonts w:ascii="Arial" w:cs="Arial" w:eastAsia="Arial" w:hAnsi="Arial"/>
          <w:sz w:val="19"/>
          <w:szCs w:val="19"/>
          <w:color w:val="auto"/>
        </w:rPr>
        <w:t xml:space="preserve">Each Borrower will maintain (i) property and casualty insurance on all real and personal property on an all risks basis (including the perils of flood, windstorm and quake, if applicable), covering the repair and replacement cost of all such property and coverage, business interruption and rent loss coverages with extended period of indemnity (for the period required by Agent from time to time) and indemnity for extra expense, in each case without application of coinsurance and with agreed amount endorsements, (ii) general and professional liability insurance (including products/completed operations liability coverage), and (iii) such other insurance coverage, in each case against loss or damage of the kinds customarily insured against by Persons engaged in the same or similar business, of such types and in such amounts as are customarily carried under similar circumstances by such other Persons;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such insurance be in amounts or with coverage less than, or with carriers with credit ratings materially inferior to, any of the insurance or carriers in existence as of the Closing Date (or required to be in existence after the Closing Date under a Financing Document).</w:t>
      </w:r>
    </w:p>
    <w:p>
      <w:pPr>
        <w:spacing w:after="0" w:line="160" w:lineRule="exact"/>
        <w:rPr>
          <w:rFonts w:ascii="Arial" w:cs="Arial" w:eastAsia="Arial" w:hAnsi="Arial"/>
          <w:sz w:val="18"/>
          <w:szCs w:val="18"/>
          <w:color w:val="auto"/>
        </w:rPr>
      </w:pPr>
    </w:p>
    <w:p>
      <w:pPr>
        <w:jc w:val="both"/>
        <w:ind w:firstLine="1735"/>
        <w:spacing w:after="0" w:line="297" w:lineRule="auto"/>
        <w:tabs>
          <w:tab w:leader="none" w:pos="2606" w:val="left"/>
        </w:tabs>
        <w:numPr>
          <w:ilvl w:val="0"/>
          <w:numId w:val="122"/>
        </w:numPr>
        <w:rPr>
          <w:rFonts w:ascii="Arial" w:cs="Arial" w:eastAsia="Arial" w:hAnsi="Arial"/>
          <w:sz w:val="18"/>
          <w:szCs w:val="18"/>
          <w:color w:val="auto"/>
        </w:rPr>
      </w:pPr>
      <w:r>
        <w:rPr>
          <w:rFonts w:ascii="Arial" w:cs="Arial" w:eastAsia="Arial" w:hAnsi="Arial"/>
          <w:sz w:val="19"/>
          <w:szCs w:val="19"/>
          <w:color w:val="auto"/>
        </w:rPr>
        <w:t>On or prior to the Closing Date, and at all times thereafter, each Borrower will cause Agent to be named as an additional insured, assignee and lender loss payee (which shall include, as applicable, identification as mortgagee), as applicable, on each policy of property, casualty or liability insurance required to be maintained pursuant to this Section 4.4</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8" w:name="page169"/>
    <w:bookmarkEnd w:id="168"/>
    <w:p>
      <w:pPr>
        <w:spacing w:after="0"/>
        <w:rPr>
          <w:sz w:val="20"/>
          <w:szCs w:val="20"/>
          <w:color w:val="auto"/>
        </w:rPr>
      </w:pPr>
      <w:r>
        <w:rPr>
          <w:rFonts w:ascii="Arial" w:cs="Arial" w:eastAsia="Arial" w:hAnsi="Arial"/>
          <w:sz w:val="19"/>
          <w:szCs w:val="19"/>
          <w:color w:val="auto"/>
        </w:rPr>
        <w:t>pursuant to endorsements in form and substance reasonably acceptable to Agent. Borrowers shall deliver to Agent and Lenders</w:t>
      </w:r>
    </w:p>
    <w:p>
      <w:pPr>
        <w:spacing w:after="0" w:line="43" w:lineRule="exact"/>
        <w:rPr>
          <w:sz w:val="20"/>
          <w:szCs w:val="20"/>
          <w:color w:val="auto"/>
        </w:rPr>
      </w:pPr>
    </w:p>
    <w:p>
      <w:pPr>
        <w:jc w:val="both"/>
        <w:ind w:firstLine="8"/>
        <w:spacing w:after="0" w:line="242" w:lineRule="auto"/>
        <w:tabs>
          <w:tab w:leader="none" w:pos="277" w:val="left"/>
        </w:tabs>
        <w:numPr>
          <w:ilvl w:val="0"/>
          <w:numId w:val="123"/>
        </w:numPr>
        <w:rPr>
          <w:rFonts w:ascii="Arial" w:cs="Arial" w:eastAsia="Arial" w:hAnsi="Arial"/>
          <w:sz w:val="21"/>
          <w:szCs w:val="21"/>
          <w:color w:val="auto"/>
        </w:rPr>
      </w:pPr>
      <w:r>
        <w:rPr>
          <w:rFonts w:ascii="Arial" w:cs="Arial" w:eastAsia="Arial" w:hAnsi="Arial"/>
          <w:sz w:val="21"/>
          <w:szCs w:val="21"/>
          <w:color w:val="auto"/>
        </w:rPr>
        <w:t>on the Closing Date, a certificate from Borrowers’ insurance broker dated such date showing the amount of coverage as of such date, and that such policies will include effective waivers (whether under the terms of any such policy or otherwise) by the insurer of all claims for insurance premiums against all loss payees and additional insureds (other than Credit Parties) and all rights of subrogation against all loss payees and additional insureds (other than Credit Parties), and that if all or any part of such policy is canceled, terminated or expires, the insurer will forthwith give notice thereof to each additional insured or loss payee and that no cancellation, reduction in amount or material change in coverage thereof shall be effective until at least thirty (30) days after receipt by each additional insured, assignee and loss payee of written notice thereof (ten (10) days in the case of non-payment of premium), (ii) on an annual basis, and upon the request of any Lender through Agent from time to time all information as to the insurance carried reasonably requested by Agent, (iii) within five (5) Business Days of receipt of notice from any insurer, a copy of any notice of cancellation, nonrenewal or material change in coverage from that existing on the date of this Agreement, (iv) forthwith, notice of any cancellation or nonrenewal of coverage by any Borrower, and (v) at least twenty (20) Business Days prior to expiration of any policy of insurance, evidence of renewal of such insurance upon the terms and conditions herein required.</w:t>
      </w:r>
    </w:p>
    <w:p>
      <w:pPr>
        <w:spacing w:after="0" w:line="191" w:lineRule="exact"/>
        <w:rPr>
          <w:rFonts w:ascii="Arial" w:cs="Arial" w:eastAsia="Arial" w:hAnsi="Arial"/>
          <w:sz w:val="21"/>
          <w:szCs w:val="21"/>
          <w:color w:val="auto"/>
        </w:rPr>
      </w:pPr>
    </w:p>
    <w:p>
      <w:pPr>
        <w:jc w:val="both"/>
        <w:ind w:firstLine="1735"/>
        <w:spacing w:after="0" w:line="273" w:lineRule="auto"/>
        <w:tabs>
          <w:tab w:leader="none" w:pos="2595" w:val="left"/>
        </w:tabs>
        <w:numPr>
          <w:ilvl w:val="1"/>
          <w:numId w:val="123"/>
        </w:numPr>
        <w:rPr>
          <w:rFonts w:ascii="Arial" w:cs="Arial" w:eastAsia="Arial" w:hAnsi="Arial"/>
          <w:sz w:val="18"/>
          <w:szCs w:val="18"/>
          <w:color w:val="auto"/>
        </w:rPr>
      </w:pPr>
      <w:r>
        <w:rPr>
          <w:rFonts w:ascii="Arial" w:cs="Arial" w:eastAsia="Arial" w:hAnsi="Arial"/>
          <w:sz w:val="19"/>
          <w:szCs w:val="19"/>
          <w:color w:val="auto"/>
        </w:rPr>
        <w:t>In the event any Borrower fails to provide Agent with evidence of the insurance coverage required by this Agreement promptly following request, Agent may purchase insurance at Borrowers’ expense to protect Agent’s interests in the Collateral. This insurance may, but need not, protect such Borrower’s interests. The coverage purchased by Agent may not pay any claim made by such Borrower or any claim that is made against such Borrower in connection with the Collateral. Such Borrower may later cancel any insurance purchased by Agent, but only after providing Agent with evidence that such Borrower has obtained insurance as required by this Agreement. If Agent purchases insurance for the Collateral, Borrowers will be responsible for the costs of that insurance to the fullest extent provided by law, including interest and other charges imposed by Agent in connection with the placement of the insurance, until the effective date of the cancellation or expiration of the insurance. The costs of the insurance may be added to the Obligations. The costs of the insurance may be more than the cost of insurance such Borrower is able to obtain on its own.</w:t>
      </w:r>
    </w:p>
    <w:p>
      <w:pPr>
        <w:spacing w:after="0" w:line="161"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Compliance with Laws and Material Contracts</w:t>
      </w:r>
      <w:r>
        <w:rPr>
          <w:rFonts w:ascii="Arial" w:cs="Arial" w:eastAsia="Arial" w:hAnsi="Arial"/>
          <w:sz w:val="21"/>
          <w:szCs w:val="21"/>
          <w:color w:val="auto"/>
        </w:rPr>
        <w:t>. Each Borrower will comply, and cause each Subsidiary</w:t>
      </w:r>
      <w:r>
        <w:rPr>
          <w:rFonts w:ascii="Arial" w:cs="Arial" w:eastAsia="Arial" w:hAnsi="Arial"/>
          <w:sz w:val="20"/>
          <w:szCs w:val="20"/>
          <w:color w:val="auto"/>
        </w:rPr>
        <w:t xml:space="preserve"> </w:t>
      </w:r>
      <w:r>
        <w:rPr>
          <w:rFonts w:ascii="Arial" w:cs="Arial" w:eastAsia="Arial" w:hAnsi="Arial"/>
          <w:sz w:val="21"/>
          <w:szCs w:val="21"/>
          <w:color w:val="auto"/>
        </w:rPr>
        <w:t>to comply, with the requirements of all applicable Laws and Material Contracts, except to the extent that failure to so comply would not reasonably be expected to (a) have a Material Adverse Effect, or (b) result in any Lien upon a material portion of the assets of any such Person in favor of any Governmental Authority.</w:t>
      </w:r>
    </w:p>
    <w:p>
      <w:pPr>
        <w:spacing w:after="0" w:line="174"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Inspection of Property, Books and Records</w:t>
      </w:r>
      <w:r>
        <w:rPr>
          <w:rFonts w:ascii="Arial" w:cs="Arial" w:eastAsia="Arial" w:hAnsi="Arial"/>
          <w:sz w:val="20"/>
          <w:szCs w:val="20"/>
          <w:color w:val="auto"/>
        </w:rPr>
        <w:t>. Each Borrower will keep, and will cause each Subsidiary to</w:t>
      </w:r>
      <w:r>
        <w:rPr>
          <w:rFonts w:ascii="Arial" w:cs="Arial" w:eastAsia="Arial" w:hAnsi="Arial"/>
          <w:sz w:val="19"/>
          <w:szCs w:val="19"/>
          <w:color w:val="auto"/>
        </w:rPr>
        <w:t xml:space="preserve"> </w:t>
      </w:r>
      <w:r>
        <w:rPr>
          <w:rFonts w:ascii="Arial" w:cs="Arial" w:eastAsia="Arial" w:hAnsi="Arial"/>
          <w:sz w:val="20"/>
          <w:szCs w:val="20"/>
          <w:color w:val="auto"/>
        </w:rPr>
        <w:t>keep, proper books of record substantially in accordance with GAAP in which full, true and correct entries shall be made of all dealings and transactions in relation to its business and activities; and will permit, and will cause each Subsidiary to permit, at the sole cost of the applicable Borrower or any applicable Subsidiary, representatives of Agent and of any Lender (if accompanied by Agent) to visit and inspect any of their respective properties, to examine and make abstracts or copies from any of their respective books and records, to conduct a collateral audit and analysis of their respective operations and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9" w:name="page170"/>
    <w:bookmarkEnd w:id="169"/>
    <w:p>
      <w:pPr>
        <w:jc w:val="both"/>
        <w:spacing w:after="0" w:line="234" w:lineRule="auto"/>
        <w:rPr>
          <w:sz w:val="20"/>
          <w:szCs w:val="20"/>
          <w:color w:val="auto"/>
        </w:rPr>
      </w:pPr>
      <w:r>
        <w:rPr>
          <w:rFonts w:ascii="Arial" w:cs="Arial" w:eastAsia="Arial" w:hAnsi="Arial"/>
          <w:sz w:val="22"/>
          <w:szCs w:val="22"/>
          <w:color w:val="auto"/>
        </w:rPr>
        <w:t xml:space="preserve">Collateral, to verify the amount and age of the Accounts, the identity and credit of the respective Account Debtors, to review the billing practices of Borrowers and to discuss their respective affairs, finances and accounts with their respective officers, employees and independent public accountants as often as may reasonably be desired;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absence of a Default or an Event of Default, such rights pursuant to this Section 4.6 may be exercised (a) during reasonable business hours, (b) on at least two (2) Business Days advance written notice and (c) not more than twice per calendar year at the Borrowers’ expense; provided further that the restrictions set forth in clause (a) through (c) shall not apply during the existence and continuance of any Event of Default.</w:t>
      </w:r>
    </w:p>
    <w:p>
      <w:pPr>
        <w:spacing w:after="0" w:line="19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 xml:space="preserve">Section 4.7 </w:t>
      </w:r>
      <w:r>
        <w:rPr>
          <w:rFonts w:ascii="Arial" w:cs="Arial" w:eastAsia="Arial" w:hAnsi="Arial"/>
          <w:sz w:val="20"/>
          <w:szCs w:val="20"/>
          <w:u w:val="single" w:color="auto"/>
          <w:color w:val="auto"/>
        </w:rPr>
        <w:t>Use of Proceeds</w:t>
      </w:r>
      <w:r>
        <w:rPr>
          <w:rFonts w:ascii="Arial" w:cs="Arial" w:eastAsia="Arial" w:hAnsi="Arial"/>
          <w:sz w:val="21"/>
          <w:szCs w:val="21"/>
          <w:color w:val="auto"/>
        </w:rPr>
        <w:t>. Borrowers shall use the proceeds of the Loans solely for (a) transaction fees incurred</w:t>
      </w:r>
      <w:r>
        <w:rPr>
          <w:rFonts w:ascii="Arial" w:cs="Arial" w:eastAsia="Arial" w:hAnsi="Arial"/>
          <w:sz w:val="20"/>
          <w:szCs w:val="20"/>
          <w:color w:val="auto"/>
        </w:rPr>
        <w:t xml:space="preserve"> </w:t>
      </w:r>
      <w:r>
        <w:rPr>
          <w:rFonts w:ascii="Arial" w:cs="Arial" w:eastAsia="Arial" w:hAnsi="Arial"/>
          <w:sz w:val="21"/>
          <w:szCs w:val="21"/>
          <w:color w:val="auto"/>
        </w:rPr>
        <w:t>in connection with the Financing Documents, and (b) for working capital needs of Borrowers and their Subsidiaries. No portion of the proceeds of the Loans will be used for family, personal, agricultural or household use.</w:t>
      </w:r>
    </w:p>
    <w:p>
      <w:pPr>
        <w:spacing w:after="0" w:line="16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Section 4.8 </w:t>
      </w:r>
      <w:r>
        <w:rPr>
          <w:rFonts w:ascii="Arial" w:cs="Arial" w:eastAsia="Arial" w:hAnsi="Arial"/>
          <w:sz w:val="20"/>
          <w:szCs w:val="20"/>
          <w:u w:val="single" w:color="auto"/>
          <w:color w:val="auto"/>
        </w:rPr>
        <w:t>Estoppel Certificates</w:t>
      </w:r>
      <w:r>
        <w:rPr>
          <w:rFonts w:ascii="Arial" w:cs="Arial" w:eastAsia="Arial" w:hAnsi="Arial"/>
          <w:sz w:val="21"/>
          <w:szCs w:val="21"/>
          <w:color w:val="auto"/>
        </w:rPr>
        <w:t>. After written request by Agent which, so long as no Event of Default has</w:t>
      </w:r>
      <w:r>
        <w:rPr>
          <w:rFonts w:ascii="Arial" w:cs="Arial" w:eastAsia="Arial" w:hAnsi="Arial"/>
          <w:sz w:val="20"/>
          <w:szCs w:val="20"/>
          <w:color w:val="auto"/>
        </w:rPr>
        <w:t xml:space="preserve"> </w:t>
      </w:r>
      <w:r>
        <w:rPr>
          <w:rFonts w:ascii="Arial" w:cs="Arial" w:eastAsia="Arial" w:hAnsi="Arial"/>
          <w:sz w:val="21"/>
          <w:szCs w:val="21"/>
          <w:color w:val="auto"/>
        </w:rPr>
        <w:t>occurred and is continuing, shall be limited to one (1) such request per fiscal year of Borrowers, Borrowers, within fifteen</w:t>
      </w:r>
    </w:p>
    <w:p>
      <w:pPr>
        <w:spacing w:after="0" w:line="1" w:lineRule="exact"/>
        <w:rPr>
          <w:sz w:val="20"/>
          <w:szCs w:val="20"/>
          <w:color w:val="auto"/>
        </w:rPr>
      </w:pPr>
    </w:p>
    <w:p>
      <w:pPr>
        <w:jc w:val="both"/>
        <w:ind w:firstLine="8"/>
        <w:spacing w:after="0" w:line="266" w:lineRule="auto"/>
        <w:tabs>
          <w:tab w:leader="none" w:pos="41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days and at their expense, will furnish Agent with a statement, duly acknowledged and certified, setting forth (a) the amount of the original principal amount of the Notes, and the unpaid principal amount of the Notes, (b) the rate of interest of the Notes,</w:t>
      </w:r>
    </w:p>
    <w:p>
      <w:pPr>
        <w:spacing w:after="0" w:line="1" w:lineRule="exact"/>
        <w:rPr>
          <w:rFonts w:ascii="Arial" w:cs="Arial" w:eastAsia="Arial" w:hAnsi="Arial"/>
          <w:sz w:val="19"/>
          <w:szCs w:val="19"/>
          <w:color w:val="auto"/>
        </w:rPr>
      </w:pPr>
    </w:p>
    <w:p>
      <w:pPr>
        <w:jc w:val="both"/>
        <w:spacing w:after="0" w:line="270" w:lineRule="auto"/>
        <w:rPr>
          <w:rFonts w:ascii="Arial" w:cs="Arial" w:eastAsia="Arial" w:hAnsi="Arial"/>
          <w:sz w:val="19"/>
          <w:szCs w:val="19"/>
          <w:color w:val="auto"/>
        </w:rPr>
      </w:pPr>
      <w:r>
        <w:rPr>
          <w:rFonts w:ascii="Arial" w:cs="Arial" w:eastAsia="Arial" w:hAnsi="Arial"/>
          <w:sz w:val="19"/>
          <w:szCs w:val="19"/>
          <w:color w:val="auto"/>
        </w:rPr>
        <w:t>(c) the date payments of interest and/or principal were last paid, (d) any offsets or defenses to the payment of the Obligations, and if any are alleged, the nature thereof, (e) that the Notes and this Agreement have not been modified or if modified, giving particulars of such modification, and (f) that there has occurred and is then continuing no Default or if such Default exists, the nature thereof, the period of time it has existed, and the action being taken to remedy such Default. After written request by Agent, which, so long as no Event of Default has occurred and is continuing, shall be limited to one (1) such request per fiscal year of Borrowers, Borrowers, within fifteen (15) days and at their expense, will furnish Agent with a certificate, signed by a Responsible Officer of Borrowers, updating all of the representations and warranties contained in this Agreement and the other Financing Documents and making any required disclosures required to make such representations and warranties to be true, accurate and complete (after taking into such disclosures as if such representations and warranties provided for disclosure schedules) and certifying that all of the representations and warranties contained in this Agreement and the other Financing Documents, as updated pursuant to such certificate and such required disclosures, are true, accurate and complete in all material respects as of the date of such certificate.</w:t>
      </w:r>
    </w:p>
    <w:p>
      <w:pPr>
        <w:spacing w:after="0" w:line="200" w:lineRule="exact"/>
        <w:rPr>
          <w:sz w:val="20"/>
          <w:szCs w:val="20"/>
          <w:color w:val="auto"/>
        </w:rPr>
      </w:pPr>
    </w:p>
    <w:p>
      <w:pPr>
        <w:spacing w:after="0" w:line="215"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4.9</w:t>
      </w:r>
      <w:r>
        <w:rPr>
          <w:sz w:val="20"/>
          <w:szCs w:val="20"/>
          <w:color w:val="auto"/>
        </w:rPr>
        <w:tab/>
      </w:r>
      <w:r>
        <w:rPr>
          <w:rFonts w:ascii="Arial" w:cs="Arial" w:eastAsia="Arial" w:hAnsi="Arial"/>
          <w:sz w:val="18"/>
          <w:szCs w:val="18"/>
          <w:u w:val="single" w:color="auto"/>
          <w:color w:val="auto"/>
        </w:rPr>
        <w:t>Notices of Material Contracts, Litigation and Defaults</w:t>
      </w:r>
      <w:r>
        <w:rPr>
          <w:rFonts w:ascii="Arial" w:cs="Arial" w:eastAsia="Arial" w:hAnsi="Arial"/>
          <w:sz w:val="18"/>
          <w:szCs w:val="18"/>
          <w:color w:val="auto"/>
        </w:rPr>
        <w:t>.</w:t>
      </w:r>
    </w:p>
    <w:p>
      <w:pPr>
        <w:spacing w:after="0" w:line="211" w:lineRule="exact"/>
        <w:rPr>
          <w:sz w:val="20"/>
          <w:szCs w:val="20"/>
          <w:color w:val="auto"/>
        </w:rPr>
      </w:pPr>
    </w:p>
    <w:p>
      <w:pPr>
        <w:jc w:val="both"/>
        <w:ind w:firstLine="1735"/>
        <w:spacing w:after="0" w:line="234" w:lineRule="auto"/>
        <w:tabs>
          <w:tab w:leader="none" w:pos="2595" w:val="left"/>
        </w:tabs>
        <w:numPr>
          <w:ilvl w:val="0"/>
          <w:numId w:val="125"/>
        </w:numPr>
        <w:rPr>
          <w:rFonts w:ascii="Arial" w:cs="Arial" w:eastAsia="Arial" w:hAnsi="Arial"/>
          <w:sz w:val="20"/>
          <w:szCs w:val="20"/>
          <w:color w:val="auto"/>
        </w:rPr>
      </w:pPr>
      <w:r>
        <w:rPr>
          <w:rFonts w:ascii="Arial" w:cs="Arial" w:eastAsia="Arial" w:hAnsi="Arial"/>
          <w:sz w:val="22"/>
          <w:szCs w:val="22"/>
          <w:color w:val="auto"/>
        </w:rPr>
        <w:t xml:space="preserve">Borrower shall provide three (3) Business Days (i) written notice to Agent of Borrower (1) executing and delivering any amendment, consent, waiver or other modification to any Material Contract which is material and adverse to such Material Contract or which would reasonably be expected to have a Material Adverse Effect, (2) receiving or delivering any notice of termination or default or similar notice in connection with any Material Contract, or (3) with respect to any Royalty Agreement, receiving any notice decreasing or ceasing the payment of any Royalties thereunder; </w:t>
      </w:r>
      <w:r>
        <w:rPr>
          <w:rFonts w:ascii="Arial" w:cs="Arial" w:eastAsia="Arial" w:hAnsi="Arial"/>
          <w:sz w:val="22"/>
          <w:szCs w:val="22"/>
          <w:i w:val="1"/>
          <w:iCs w:val="1"/>
          <w:color w:val="auto"/>
        </w:rPr>
        <w:t>provided</w:t>
      </w:r>
      <w:r>
        <w:rPr>
          <w:rFonts w:ascii="Arial" w:cs="Arial" w:eastAsia="Arial" w:hAnsi="Arial"/>
          <w:sz w:val="22"/>
          <w:szCs w:val="22"/>
          <w:color w:val="auto"/>
        </w:rPr>
        <w:t>, that this clause (3) shall not require Borrower to breach the terms and conditions of any confidentiality agreement in connection a Royalty Agreement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0" w:name="page171"/>
    <w:bookmarkEnd w:id="170"/>
    <w:p>
      <w:pPr>
        <w:jc w:val="both"/>
        <w:spacing w:after="0" w:line="257" w:lineRule="auto"/>
        <w:rPr>
          <w:sz w:val="20"/>
          <w:szCs w:val="20"/>
          <w:color w:val="auto"/>
        </w:rPr>
      </w:pPr>
      <w:r>
        <w:rPr>
          <w:rFonts w:ascii="Arial" w:cs="Arial" w:eastAsia="Arial" w:hAnsi="Arial"/>
          <w:sz w:val="21"/>
          <w:szCs w:val="21"/>
          <w:color w:val="auto"/>
        </w:rPr>
        <w:t>existing prior to the Closing Date, and (ii) together with delivery of the Compliance Certificate due after such date (included as an update to any such schedule delivered therewith) the execution of any new Material Contract and/or any new material amendment, consent, waiver or other modification to any Material Contract not previously disclosed.</w:t>
      </w:r>
    </w:p>
    <w:p>
      <w:pPr>
        <w:spacing w:after="0" w:line="169" w:lineRule="exact"/>
        <w:rPr>
          <w:sz w:val="20"/>
          <w:szCs w:val="20"/>
          <w:color w:val="auto"/>
        </w:rPr>
      </w:pPr>
    </w:p>
    <w:p>
      <w:pPr>
        <w:jc w:val="both"/>
        <w:ind w:firstLine="1735"/>
        <w:spacing w:after="0" w:line="268" w:lineRule="auto"/>
        <w:tabs>
          <w:tab w:leader="none" w:pos="2606" w:val="left"/>
        </w:tabs>
        <w:numPr>
          <w:ilvl w:val="1"/>
          <w:numId w:val="126"/>
        </w:numPr>
        <w:rPr>
          <w:rFonts w:ascii="Arial" w:cs="Arial" w:eastAsia="Arial" w:hAnsi="Arial"/>
          <w:sz w:val="18"/>
          <w:szCs w:val="18"/>
          <w:color w:val="auto"/>
        </w:rPr>
      </w:pPr>
      <w:r>
        <w:rPr>
          <w:rFonts w:ascii="Arial" w:cs="Arial" w:eastAsia="Arial" w:hAnsi="Arial"/>
          <w:sz w:val="19"/>
          <w:szCs w:val="19"/>
          <w:color w:val="auto"/>
        </w:rPr>
        <w:t>Borrowers will give prompt written notice to Agent (but in any event within five (5) Business Days) (i) of any litigation or governmental proceedings pending or threatened (in writing) against Borrowers or other Credit Party which would reasonably be expected to have a Material Adverse Effect with respect to Borrowers or any other Credit Party or which in any manner calls into question the validity or enforceability of any Financing Document, (ii) upon any Borrower becoming aware of the existence of any Default or Event of Default, (iii) of any strikes or other labor disputes pending or, to any Borrower’s knowledge, threatened in writing against any Credit Party, which would reasonably be expected to have a Material Adverse Effect (iv) if there is any infringement or written claim of infringement by any other Person with respect to any Intellectual Property rights of any Credit Party that would reasonably be expected to have a Material Adverse Effect, or if there is any written claim by any other Person that any Credit Party in the conduct of its business is infringing on the Intellectual Property rights of others and an adverse resolution of such claim would reasonably be expected to have a Material Adverse Effect, and</w:t>
      </w:r>
    </w:p>
    <w:p>
      <w:pPr>
        <w:spacing w:after="0" w:line="8" w:lineRule="exact"/>
        <w:rPr>
          <w:rFonts w:ascii="Arial" w:cs="Arial" w:eastAsia="Arial" w:hAnsi="Arial"/>
          <w:sz w:val="18"/>
          <w:szCs w:val="18"/>
          <w:color w:val="auto"/>
        </w:rPr>
      </w:pPr>
    </w:p>
    <w:p>
      <w:pPr>
        <w:jc w:val="both"/>
        <w:ind w:firstLine="8"/>
        <w:spacing w:after="0" w:line="233" w:lineRule="auto"/>
        <w:tabs>
          <w:tab w:leader="none" w:pos="34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of all returns, recoveries, disputes and claims that involve more than $250,000. Borrowers represent and warrant that </w:t>
      </w:r>
      <w:r>
        <w:rPr>
          <w:rFonts w:ascii="Arial" w:cs="Arial" w:eastAsia="Arial" w:hAnsi="Arial"/>
          <w:sz w:val="22"/>
          <w:szCs w:val="22"/>
          <w:u w:val="single" w:color="auto"/>
          <w:color w:val="auto"/>
        </w:rPr>
        <w:t>Schedule 4.9</w:t>
      </w:r>
      <w:r>
        <w:rPr>
          <w:rFonts w:ascii="Arial" w:cs="Arial" w:eastAsia="Arial" w:hAnsi="Arial"/>
          <w:sz w:val="22"/>
          <w:szCs w:val="22"/>
          <w:color w:val="auto"/>
        </w:rPr>
        <w:t xml:space="preserve"> sets forth a complete list of all matters existing as of the Closing Date for which notice could be required under this Section and all litigation or governmental proceedings pending or threatened (in writing) against Borrowers or other Credit Party as of the Closing Date.</w:t>
      </w:r>
    </w:p>
    <w:p>
      <w:pPr>
        <w:spacing w:after="0" w:line="187" w:lineRule="exact"/>
        <w:rPr>
          <w:rFonts w:ascii="Arial" w:cs="Arial" w:eastAsia="Arial" w:hAnsi="Arial"/>
          <w:sz w:val="22"/>
          <w:szCs w:val="22"/>
          <w:color w:val="auto"/>
        </w:rPr>
      </w:pPr>
    </w:p>
    <w:p>
      <w:pPr>
        <w:jc w:val="both"/>
        <w:ind w:firstLine="1735"/>
        <w:spacing w:after="0" w:line="246" w:lineRule="auto"/>
        <w:tabs>
          <w:tab w:leader="none" w:pos="2595" w:val="left"/>
        </w:tabs>
        <w:numPr>
          <w:ilvl w:val="1"/>
          <w:numId w:val="127"/>
        </w:numPr>
        <w:rPr>
          <w:rFonts w:ascii="Arial" w:cs="Arial" w:eastAsia="Arial" w:hAnsi="Arial"/>
          <w:sz w:val="19"/>
          <w:szCs w:val="19"/>
          <w:color w:val="auto"/>
        </w:rPr>
      </w:pPr>
      <w:r>
        <w:rPr>
          <w:rFonts w:ascii="Arial" w:cs="Arial" w:eastAsia="Arial" w:hAnsi="Arial"/>
          <w:sz w:val="21"/>
          <w:szCs w:val="21"/>
          <w:color w:val="auto"/>
        </w:rPr>
        <w:t>Borrower shall, and shall cause each Credit Party, to provide such further information (including copies of such documentation) as Agent or any Lender shall reasonably request with respect to any of the events or notices described in clauses (a) and (b) above. From the date hereof and continuing through the termination of this Agreement, Borrower shall, and shall cause each Credit Party to, make reasonably available to Agent and each Lender, without expense to Agent or any Lender, each Credit Party’s officers, employees and agents and books, to the extent that Agent or any Lender may deem them reasonably necessary to prosecute or defend any third-party suit or proceeding instituted by or against Agent or any Lender with respect to any Collateral or relating to a Credit Party.</w:t>
      </w:r>
    </w:p>
    <w:p>
      <w:pPr>
        <w:spacing w:after="0" w:line="184" w:lineRule="exact"/>
        <w:rPr>
          <w:rFonts w:ascii="Arial" w:cs="Arial" w:eastAsia="Arial" w:hAnsi="Arial"/>
          <w:sz w:val="19"/>
          <w:szCs w:val="19"/>
          <w:color w:val="auto"/>
        </w:rPr>
      </w:pPr>
    </w:p>
    <w:p>
      <w:pPr>
        <w:jc w:val="both"/>
        <w:ind w:firstLine="1735"/>
        <w:spacing w:after="0" w:line="238" w:lineRule="auto"/>
        <w:tabs>
          <w:tab w:leader="none" w:pos="2606" w:val="left"/>
        </w:tabs>
        <w:numPr>
          <w:ilvl w:val="1"/>
          <w:numId w:val="127"/>
        </w:numPr>
        <w:rPr>
          <w:rFonts w:ascii="Arial" w:cs="Arial" w:eastAsia="Arial" w:hAnsi="Arial"/>
          <w:sz w:val="20"/>
          <w:szCs w:val="20"/>
          <w:color w:val="auto"/>
        </w:rPr>
      </w:pPr>
      <w:r>
        <w:rPr>
          <w:rFonts w:ascii="Arial" w:cs="Arial" w:eastAsia="Arial" w:hAnsi="Arial"/>
          <w:sz w:val="22"/>
          <w:szCs w:val="22"/>
          <w:color w:val="auto"/>
        </w:rPr>
        <w:t>Borrower shall, and shall cause each Credit Party to, promptly (but in any event within five (5) Business Days of any request therefor) deliver to Agent information and documentation reasonably requested by Agent or any Lender for purposes of compliance with applicable “know your customer” requirements under the PATRIOT Act or other applicable anti-money laundering laws.</w:t>
      </w:r>
    </w:p>
    <w:p>
      <w:pPr>
        <w:spacing w:after="0" w:line="189"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Hazardous Materials; Remediation</w:t>
      </w:r>
      <w:r>
        <w:rPr>
          <w:rFonts w:ascii="Arial" w:cs="Arial" w:eastAsia="Arial" w:hAnsi="Arial"/>
          <w:sz w:val="18"/>
          <w:szCs w:val="18"/>
          <w:color w:val="auto"/>
        </w:rPr>
        <w:t>. If any release or disposal of Hazardous Materials shall occur or shall have occurred on any real property owned or leased by a Credit Party or any other assets of any Borrower or any other Credit Party, such Borrower will cause, or direct the applicable Credit Party to cause, the prompt containment and removal of such Hazardous Materials and the remediation of such real property or other assets to the extent required to comply with all applicable Environmental Laws and to preserve the value of such real property or other assets except as would not reasonably be expected to result in a Material Adverse Effect. Without limiting the generality of the foregoing, each Borrower shall, and shall cause each other Credit Party to, comply with each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1" w:name="page172"/>
    <w:bookmarkEnd w:id="171"/>
    <w:p>
      <w:pPr>
        <w:spacing w:after="0" w:line="260" w:lineRule="auto"/>
        <w:rPr>
          <w:sz w:val="20"/>
          <w:szCs w:val="20"/>
          <w:color w:val="auto"/>
        </w:rPr>
      </w:pPr>
      <w:r>
        <w:rPr>
          <w:rFonts w:ascii="Arial" w:cs="Arial" w:eastAsia="Arial" w:hAnsi="Arial"/>
          <w:sz w:val="20"/>
          <w:szCs w:val="20"/>
          <w:color w:val="auto"/>
        </w:rPr>
        <w:t>Environmental Law requiring the performance at any real property by any Credit Party of activities in response to the release or threatened release of a Hazardous Material except as would not reasonably be expected to have a Material Adverse Effect.</w:t>
      </w:r>
    </w:p>
    <w:p>
      <w:pPr>
        <w:spacing w:after="0" w:line="177"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4.11</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11" w:lineRule="exact"/>
        <w:rPr>
          <w:sz w:val="20"/>
          <w:szCs w:val="20"/>
          <w:color w:val="auto"/>
        </w:rPr>
      </w:pPr>
    </w:p>
    <w:p>
      <w:pPr>
        <w:jc w:val="both"/>
        <w:ind w:firstLine="1735"/>
        <w:spacing w:after="0" w:line="233" w:lineRule="auto"/>
        <w:tabs>
          <w:tab w:leader="none" w:pos="2595" w:val="left"/>
        </w:tabs>
        <w:numPr>
          <w:ilvl w:val="0"/>
          <w:numId w:val="128"/>
        </w:numPr>
        <w:rPr>
          <w:rFonts w:ascii="Arial" w:cs="Arial" w:eastAsia="Arial" w:hAnsi="Arial"/>
          <w:sz w:val="20"/>
          <w:szCs w:val="20"/>
          <w:color w:val="auto"/>
        </w:rPr>
      </w:pPr>
      <w:r>
        <w:rPr>
          <w:rFonts w:ascii="Arial" w:cs="Arial" w:eastAsia="Arial" w:hAnsi="Arial"/>
          <w:sz w:val="22"/>
          <w:szCs w:val="22"/>
          <w:color w:val="auto"/>
        </w:rPr>
        <w:t>Each Borrower will, and will cause each Subsidiary to, at its own cost and expense, promptly and duly take, execute, acknowledge and deliver all such further acts, documents and assurances as may from time to time be necessary or as Agent or the Required Lenders may from time to time reasonably request in order to carry out the intent and purposes of the Financing Documents and the transactions contemplated thereby, including all such actions to (i) establish, create, preserve, protect and perfect a first priority Lien (subject only to Permitted Liens) in favor of Agent for itself and for the benefit of Lenders on the Collateral (including Collateral acquired after the Closing Date), (ii) unless Agent shall agree otherwise in writing, cause all Subsidiaries of Borrowers (other than Excluded Foreign Subsidiaries) to be jointly and severally obligated with the other Borrowers under all covenants and obligations under this Agreement, including the obligation to repay the Obligations.</w:t>
      </w:r>
    </w:p>
    <w:p>
      <w:pPr>
        <w:spacing w:after="0" w:line="192" w:lineRule="exact"/>
        <w:rPr>
          <w:rFonts w:ascii="Arial" w:cs="Arial" w:eastAsia="Arial" w:hAnsi="Arial"/>
          <w:sz w:val="20"/>
          <w:szCs w:val="20"/>
          <w:color w:val="auto"/>
        </w:rPr>
      </w:pPr>
    </w:p>
    <w:p>
      <w:pPr>
        <w:jc w:val="both"/>
        <w:ind w:firstLine="1735"/>
        <w:spacing w:after="0" w:line="282" w:lineRule="auto"/>
        <w:tabs>
          <w:tab w:leader="none" w:pos="2606" w:val="left"/>
        </w:tabs>
        <w:numPr>
          <w:ilvl w:val="0"/>
          <w:numId w:val="128"/>
        </w:numPr>
        <w:rPr>
          <w:rFonts w:ascii="Arial" w:cs="Arial" w:eastAsia="Arial" w:hAnsi="Arial"/>
          <w:sz w:val="18"/>
          <w:szCs w:val="18"/>
          <w:color w:val="auto"/>
        </w:rPr>
      </w:pPr>
      <w:r>
        <w:rPr>
          <w:rFonts w:ascii="Arial" w:cs="Arial" w:eastAsia="Arial" w:hAnsi="Arial"/>
          <w:sz w:val="19"/>
          <w:szCs w:val="19"/>
          <w:color w:val="auto"/>
        </w:rPr>
        <w:t>Upon receipt of an affidavit of an authorized representative of Agent or a Lender as to the loss, theft, destruction or mutilation of any Note or any other Financing Document which is not of public record, and, in the case of any such mutilation, upon surrender and cancellation of such Note or other applicable Financing Document, Borrowers will issue, in lieu thereof, a replacement Note or other applicable Financing Document, dated the date of such lost, stolen, destroyed or mutilated Note or other Financing Document in the same principal amount thereof and otherwise of like tenor.</w:t>
      </w:r>
    </w:p>
    <w:p>
      <w:pPr>
        <w:spacing w:after="0" w:line="147" w:lineRule="exact"/>
        <w:rPr>
          <w:rFonts w:ascii="Arial" w:cs="Arial" w:eastAsia="Arial" w:hAnsi="Arial"/>
          <w:sz w:val="18"/>
          <w:szCs w:val="18"/>
          <w:color w:val="auto"/>
        </w:rPr>
      </w:pPr>
    </w:p>
    <w:p>
      <w:pPr>
        <w:jc w:val="both"/>
        <w:ind w:firstLine="1735"/>
        <w:spacing w:after="0" w:line="277" w:lineRule="auto"/>
        <w:tabs>
          <w:tab w:leader="none" w:pos="2595" w:val="left"/>
        </w:tabs>
        <w:numPr>
          <w:ilvl w:val="0"/>
          <w:numId w:val="128"/>
        </w:numPr>
        <w:rPr>
          <w:rFonts w:ascii="Arial" w:cs="Arial" w:eastAsia="Arial" w:hAnsi="Arial"/>
          <w:sz w:val="18"/>
          <w:szCs w:val="18"/>
          <w:color w:val="auto"/>
        </w:rPr>
      </w:pPr>
      <w:r>
        <w:rPr>
          <w:rFonts w:ascii="Arial" w:cs="Arial" w:eastAsia="Arial" w:hAnsi="Arial"/>
          <w:sz w:val="19"/>
          <w:szCs w:val="19"/>
          <w:color w:val="auto"/>
        </w:rPr>
        <w:t>Upon the request of Agent, Borrowers shall obtain a landlord’s agreement or mortgagee agreement, as applicable, from the lessor of each leased property or mortgagee of owned property with respect to any business location where any material portion of the Collateral included or the records relating to such Collateral and/or software and equipment relating to such records or Collateral, is stored or located (unless such books and records are also located at another business location that is subject to landlord’s or mortgagee agreement in favor of Agent), which agreement or letter shall be reasonably satisfactory in form and substance to Agent. Borrowers shall timely and fully pay and perform its obligations under all leases and other agreements with respect to each leased location where any Collateral, or any records related thereto, is or may be located.</w:t>
      </w:r>
    </w:p>
    <w:p>
      <w:pPr>
        <w:spacing w:after="0" w:line="151" w:lineRule="exact"/>
        <w:rPr>
          <w:rFonts w:ascii="Arial" w:cs="Arial" w:eastAsia="Arial" w:hAnsi="Arial"/>
          <w:sz w:val="18"/>
          <w:szCs w:val="18"/>
          <w:color w:val="auto"/>
        </w:rPr>
      </w:pPr>
    </w:p>
    <w:p>
      <w:pPr>
        <w:jc w:val="both"/>
        <w:ind w:firstLine="1735"/>
        <w:spacing w:after="0" w:line="275" w:lineRule="auto"/>
        <w:tabs>
          <w:tab w:leader="none" w:pos="2606" w:val="left"/>
        </w:tabs>
        <w:numPr>
          <w:ilvl w:val="0"/>
          <w:numId w:val="128"/>
        </w:numPr>
        <w:rPr>
          <w:rFonts w:ascii="Arial" w:cs="Arial" w:eastAsia="Arial" w:hAnsi="Arial"/>
          <w:sz w:val="18"/>
          <w:szCs w:val="18"/>
          <w:color w:val="auto"/>
        </w:rPr>
      </w:pPr>
      <w:r>
        <w:rPr>
          <w:rFonts w:ascii="Arial" w:cs="Arial" w:eastAsia="Arial" w:hAnsi="Arial"/>
          <w:sz w:val="19"/>
          <w:szCs w:val="19"/>
          <w:color w:val="auto"/>
        </w:rPr>
        <w:t>Borrower shall provide Agent with at least thirty (30) days (or such shorter period as Agent may accept in its sole discretion) prior written notice of its intention to create (or to the extent permitted under this Agreement, acquire) a new Subsidiary. Upon the formation (or to the extent permitted under this Agreement, acquisition) of a new Subsidiary, Borrowers shall within thirty (30) days thereof (i) pledge, have pledged or cause or have caused to be pledged to Agent pursuant to a pledge agreement in form and substance satisfactory to Agent, all of the outstanding shares of equity interests or other equity interests of such new Subsidiary owned directly or indirectly by any Borrower (unless such shares constitute Excluded Property or are held by an Excluded Foreign Subsidiary or an Excluded Domestic Holdco), along with undated stock or equivalent powers for such certificates, executed in blank; (ii) unless Agent shall agree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2" w:name="page173"/>
    <w:bookmarkEnd w:id="172"/>
    <w:p>
      <w:pPr>
        <w:jc w:val="both"/>
        <w:spacing w:after="0" w:line="268" w:lineRule="auto"/>
        <w:rPr>
          <w:sz w:val="20"/>
          <w:szCs w:val="20"/>
          <w:color w:val="auto"/>
        </w:rPr>
      </w:pPr>
      <w:r>
        <w:rPr>
          <w:rFonts w:ascii="Arial" w:cs="Arial" w:eastAsia="Arial" w:hAnsi="Arial"/>
          <w:sz w:val="19"/>
          <w:szCs w:val="19"/>
          <w:color w:val="auto"/>
        </w:rPr>
        <w:t>otherwise in writing, cause such new Subsidiary (other than an Excluded Foreign Subsidiary or an Excluded Domestic Holdco) to take such other actions (including entering into or joining any Security Documents) as are necessary or advisable in the reasonable opinion of Agent in order to grant Agent, acting on behalf of the Lenders, a first priority Lien (subject to Permitted Liens) on all real and personal property of such Subsidiary in existence as of such date and in all after acquired property, which first priority Liens are required to be granted pursuant to this Agreement; (iii) unless Agent shall agree otherwise in writing, cause such new Subsidiary (other than an Excluded Foreign Subsidiary or an Excluded Domestic Holdco) to either (at the election of Agent) become a Borrower hereunder with joint and several liability for all obligations of Borrowers hereunder and under the other Financing Documents pursuant to a joinder agreement or other similar agreement in form and substance reasonably satisfactory to Agent or to become a Guarantor of the obligations of Borrowers hereunder and under the other Financing Documents pursuant to a guaranty and suretyship agreement in form and substance satisfactory to Agent; and</w:t>
      </w:r>
    </w:p>
    <w:p>
      <w:pPr>
        <w:spacing w:after="0" w:line="8" w:lineRule="exact"/>
        <w:rPr>
          <w:sz w:val="20"/>
          <w:szCs w:val="20"/>
          <w:color w:val="auto"/>
        </w:rPr>
      </w:pPr>
    </w:p>
    <w:p>
      <w:pPr>
        <w:jc w:val="both"/>
        <w:ind w:firstLine="8"/>
        <w:spacing w:after="0" w:line="244" w:lineRule="auto"/>
        <w:tabs>
          <w:tab w:leader="none" w:pos="369" w:val="left"/>
        </w:tabs>
        <w:numPr>
          <w:ilvl w:val="0"/>
          <w:numId w:val="129"/>
        </w:numPr>
        <w:rPr>
          <w:rFonts w:ascii="Arial" w:cs="Arial" w:eastAsia="Arial" w:hAnsi="Arial"/>
          <w:sz w:val="21"/>
          <w:szCs w:val="21"/>
          <w:color w:val="auto"/>
        </w:rPr>
      </w:pPr>
      <w:r>
        <w:rPr>
          <w:rFonts w:ascii="Arial" w:cs="Arial" w:eastAsia="Arial" w:hAnsi="Arial"/>
          <w:sz w:val="21"/>
          <w:szCs w:val="21"/>
          <w:color w:val="auto"/>
        </w:rPr>
        <w:t>cause such new Subsidiary (other than an Excluded Foreign Subsidiary or an Excluded Domestic Holdco) to deliver certified copies of such Subsidiary’s certificate or articles of incorporation, together with good standing certificates, by-laws (or other operating agreement or governing documents), resolutions of the Board of Directors or other governing body, approving and authorize the execution and delivery of the Security Documents, incumbency certificates and to execute and/or deliver such other documents and legal opinions or to take such other actions as may be reasonably requested by Agent, in each case, in form and substance reasonably satisfactory to Agent.</w:t>
      </w:r>
    </w:p>
    <w:p>
      <w:pPr>
        <w:spacing w:after="0" w:line="182" w:lineRule="exact"/>
        <w:rPr>
          <w:rFonts w:ascii="Arial" w:cs="Arial" w:eastAsia="Arial" w:hAnsi="Arial"/>
          <w:sz w:val="21"/>
          <w:szCs w:val="21"/>
          <w:color w:val="auto"/>
        </w:rPr>
      </w:pPr>
    </w:p>
    <w:p>
      <w:pPr>
        <w:ind w:firstLine="1735"/>
        <w:spacing w:after="0" w:line="250" w:lineRule="auto"/>
        <w:tabs>
          <w:tab w:leader="none" w:pos="2595" w:val="left"/>
        </w:tabs>
        <w:numPr>
          <w:ilvl w:val="1"/>
          <w:numId w:val="129"/>
        </w:numPr>
        <w:rPr>
          <w:rFonts w:ascii="Arial" w:cs="Arial" w:eastAsia="Arial" w:hAnsi="Arial"/>
          <w:sz w:val="20"/>
          <w:szCs w:val="20"/>
          <w:color w:val="auto"/>
        </w:rPr>
      </w:pPr>
      <w:r>
        <w:rPr>
          <w:rFonts w:ascii="Arial" w:cs="Arial" w:eastAsia="Arial" w:hAnsi="Arial"/>
          <w:sz w:val="22"/>
          <w:szCs w:val="22"/>
          <w:color w:val="auto"/>
        </w:rPr>
        <w:t>Borrower further agrees to comply, and cause its respective Subsidiaries to comply with the following requirements with respect to the Excluded Foreign Subsidiaries and the Excluded Domestic Holdcos:</w:t>
      </w:r>
    </w:p>
    <w:p>
      <w:pPr>
        <w:spacing w:after="0" w:line="174" w:lineRule="exact"/>
        <w:rPr>
          <w:rFonts w:ascii="Arial" w:cs="Arial" w:eastAsia="Arial" w:hAnsi="Arial"/>
          <w:sz w:val="20"/>
          <w:szCs w:val="20"/>
          <w:color w:val="auto"/>
        </w:rPr>
      </w:pPr>
    </w:p>
    <w:p>
      <w:pPr>
        <w:jc w:val="both"/>
        <w:ind w:left="880" w:firstLine="1586"/>
        <w:spacing w:after="0" w:line="235" w:lineRule="auto"/>
        <w:tabs>
          <w:tab w:leader="none" w:pos="3309" w:val="left"/>
        </w:tabs>
        <w:numPr>
          <w:ilvl w:val="2"/>
          <w:numId w:val="129"/>
        </w:numPr>
        <w:rPr>
          <w:rFonts w:ascii="Arial" w:cs="Arial" w:eastAsia="Arial" w:hAnsi="Arial"/>
          <w:sz w:val="20"/>
          <w:szCs w:val="20"/>
          <w:color w:val="auto"/>
        </w:rPr>
      </w:pPr>
      <w:r>
        <w:rPr>
          <w:rFonts w:ascii="Arial" w:cs="Arial" w:eastAsia="Arial" w:hAnsi="Arial"/>
          <w:sz w:val="22"/>
          <w:szCs w:val="22"/>
          <w:color w:val="auto"/>
        </w:rPr>
        <w:t>the total amount of cash and cash equivalents held by the Excluded Foreign Subsidiaries and the Excluded Domestic Holdcos (collectively) shall not at any time exceed the lesser of (x) $100,000 in the aggregate; and (y) the aggregate amount necessary to fund the current and projected operating expenses of each Excluded Foreign Subsidiary (after taking into account its revenue from other sources, in each case) as determined based on projections prepared by Borrower and approved by Agent (such approval not to be unreasonably withheld or delayed); and</w:t>
      </w:r>
    </w:p>
    <w:p>
      <w:pPr>
        <w:spacing w:after="0" w:line="187" w:lineRule="exact"/>
        <w:rPr>
          <w:rFonts w:ascii="Arial" w:cs="Arial" w:eastAsia="Arial" w:hAnsi="Arial"/>
          <w:sz w:val="20"/>
          <w:szCs w:val="20"/>
          <w:color w:val="auto"/>
        </w:rPr>
      </w:pPr>
    </w:p>
    <w:p>
      <w:pPr>
        <w:jc w:val="both"/>
        <w:ind w:left="880" w:firstLine="1586"/>
        <w:spacing w:after="0" w:line="235" w:lineRule="auto"/>
        <w:tabs>
          <w:tab w:leader="none" w:pos="3364" w:val="left"/>
        </w:tabs>
        <w:numPr>
          <w:ilvl w:val="2"/>
          <w:numId w:val="129"/>
        </w:numPr>
        <w:rPr>
          <w:rFonts w:ascii="Arial" w:cs="Arial" w:eastAsia="Arial" w:hAnsi="Arial"/>
          <w:sz w:val="20"/>
          <w:szCs w:val="20"/>
          <w:color w:val="auto"/>
        </w:rPr>
      </w:pPr>
      <w:r>
        <w:rPr>
          <w:rFonts w:ascii="Arial" w:cs="Arial" w:eastAsia="Arial" w:hAnsi="Arial"/>
          <w:sz w:val="22"/>
          <w:szCs w:val="22"/>
          <w:color w:val="auto"/>
        </w:rPr>
        <w:t>No Credit Party shall (i) transfer any asset (including any Intellectual Property) to any Excluded Foreign Subsidiary or any Excluded Domestic Holdco, (ii) make any payment in respect of intercompany Debt to any Excluded Foreign Subsidiary or any Excluded Domestic Holdco, or (iii) make any Investment in any Excluded Foreign Subsidiary or any Excluded Domestic Holdco following the Closing Date other than, in each case, Investments of cash and cash equivalents permitted to be made pursuant to clauses (j) of the definition of Permitted Investments.</w:t>
      </w:r>
    </w:p>
    <w:p>
      <w:pPr>
        <w:spacing w:after="0" w:line="187" w:lineRule="exact"/>
        <w:rPr>
          <w:rFonts w:ascii="Arial" w:cs="Arial" w:eastAsia="Arial" w:hAnsi="Arial"/>
          <w:sz w:val="20"/>
          <w:szCs w:val="20"/>
          <w:color w:val="auto"/>
        </w:rPr>
      </w:pPr>
    </w:p>
    <w:p>
      <w:pPr>
        <w:jc w:val="both"/>
        <w:ind w:firstLine="1735"/>
        <w:spacing w:after="0" w:line="252" w:lineRule="auto"/>
        <w:tabs>
          <w:tab w:leader="none" w:pos="2573" w:val="left"/>
        </w:tabs>
        <w:numPr>
          <w:ilvl w:val="1"/>
          <w:numId w:val="129"/>
        </w:numPr>
        <w:rPr>
          <w:rFonts w:ascii="Arial" w:cs="Arial" w:eastAsia="Arial" w:hAnsi="Arial"/>
          <w:sz w:val="19"/>
          <w:szCs w:val="19"/>
          <w:color w:val="auto"/>
        </w:rPr>
      </w:pPr>
      <w:r>
        <w:rPr>
          <w:rFonts w:ascii="Arial" w:cs="Arial" w:eastAsia="Arial" w:hAnsi="Arial"/>
          <w:sz w:val="21"/>
          <w:szCs w:val="21"/>
          <w:color w:val="auto"/>
        </w:rPr>
        <w:t>Following (a) the occurrence and continuation of an Event of Default and (b) the exercise by Agent of any right, option or remedy provided for hereunder, under any Financing Document or at law or in equity, Credit Parties shall cause each Excluded Foreign Subsidiary to declare and pay to the applicable Credit Party the maximum amount of dividends and other distributions in respect of its capital stock or other equity interest legally permitted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3" w:name="page174"/>
    <w:bookmarkEnd w:id="173"/>
    <w:p>
      <w:pPr>
        <w:jc w:val="both"/>
        <w:spacing w:after="0" w:line="238" w:lineRule="auto"/>
        <w:rPr>
          <w:sz w:val="20"/>
          <w:szCs w:val="20"/>
          <w:color w:val="auto"/>
        </w:rPr>
      </w:pPr>
      <w:r>
        <w:rPr>
          <w:rFonts w:ascii="Arial" w:cs="Arial" w:eastAsia="Arial" w:hAnsi="Arial"/>
          <w:sz w:val="22"/>
          <w:szCs w:val="22"/>
          <w:color w:val="auto"/>
        </w:rPr>
        <w:t xml:space="preserve">be paid by each such Excluded Foreign Subsidiary;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Excluded Foreign Subsidiary shall be able to retain for working capital purposes such other amounts used by such Excluded Foreign Subsidiaries in the Ordinary Course of Business and as are reasonable necessary for its operations based on its current projections, as provided to the Agent pursuant to Section 4.1.</w:t>
      </w:r>
    </w:p>
    <w:p>
      <w:pPr>
        <w:spacing w:after="0" w:line="18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4.12</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8"/>
          <w:szCs w:val="18"/>
          <w:color w:val="auto"/>
        </w:rPr>
        <w:t>.</w:t>
      </w:r>
    </w:p>
    <w:p>
      <w:pPr>
        <w:spacing w:after="0" w:line="229"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Power of Attorney</w:t>
      </w:r>
      <w:r>
        <w:rPr>
          <w:rFonts w:ascii="Arial" w:cs="Arial" w:eastAsia="Arial" w:hAnsi="Arial"/>
          <w:sz w:val="19"/>
          <w:szCs w:val="19"/>
          <w:color w:val="auto"/>
        </w:rPr>
        <w:t>. Each of the authorized representatives of Agent is hereby irrevocably made,</w:t>
      </w:r>
      <w:r>
        <w:rPr>
          <w:rFonts w:ascii="Arial" w:cs="Arial" w:eastAsia="Arial" w:hAnsi="Arial"/>
          <w:sz w:val="18"/>
          <w:szCs w:val="18"/>
          <w:color w:val="auto"/>
        </w:rPr>
        <w:t xml:space="preserve"> </w:t>
      </w:r>
      <w:r>
        <w:rPr>
          <w:rFonts w:ascii="Arial" w:cs="Arial" w:eastAsia="Arial" w:hAnsi="Arial"/>
          <w:sz w:val="19"/>
          <w:szCs w:val="19"/>
          <w:color w:val="auto"/>
        </w:rPr>
        <w:t>constituted and appointed the true and lawful attorney for Borrowers (without requiring any of them to act as such) with full power of substitution to do the following: (a) endorse the name of Borrowers upon any and all checks, drafts, money orders, and other instruments for the payment of money that are payable to Borrowers and constitute collections on Borrowers’ Accounts;</w:t>
      </w:r>
    </w:p>
    <w:p>
      <w:pPr>
        <w:spacing w:after="0" w:line="3" w:lineRule="exact"/>
        <w:rPr>
          <w:sz w:val="20"/>
          <w:szCs w:val="20"/>
          <w:color w:val="auto"/>
        </w:rPr>
      </w:pPr>
    </w:p>
    <w:p>
      <w:pPr>
        <w:jc w:val="both"/>
        <w:ind w:firstLine="8"/>
        <w:spacing w:after="0" w:line="271" w:lineRule="auto"/>
        <w:tabs>
          <w:tab w:leader="none" w:pos="311" w:val="left"/>
        </w:tabs>
        <w:numPr>
          <w:ilvl w:val="0"/>
          <w:numId w:val="130"/>
        </w:numPr>
        <w:rPr>
          <w:rFonts w:ascii="Arial" w:cs="Arial" w:eastAsia="Arial" w:hAnsi="Arial"/>
          <w:sz w:val="19"/>
          <w:szCs w:val="19"/>
          <w:color w:val="auto"/>
        </w:rPr>
      </w:pPr>
      <w:r>
        <w:rPr>
          <w:rFonts w:ascii="Arial" w:cs="Arial" w:eastAsia="Arial" w:hAnsi="Arial"/>
          <w:sz w:val="19"/>
          <w:szCs w:val="19"/>
          <w:color w:val="auto"/>
        </w:rPr>
        <w:t>so long as Agent has provided not less than five (5) Business Days’ prior written notice to Borrower to perform the same and Borrower has failed to take such action, execute in the name of Borrowers any schedules, assignments, instruments, documents, and statements that Borrowers are obligated to give Agent under this Agreement; (c) after the occurrence and during the continuance of an Event of Default, take any action Borrowers are required to take under this Agreement; (d) so long as Agent has provided not less than five (5) Business Days’ prior written notice to Borrower to perform the same and Borrower has failed to take such action, do such other and further acts and deeds in the name of Borrowers that Agent may deem necessary or desirable to enforce any Account or other Collateral or perfect Agent’s security interest or Lien in any Collateral; and (e) after the occurrence and during the continuance of an Event of Default, do such other and further acts and deeds in the name of Borrowers that Agent may deem necessary or desirable to enforce its rights with regard to any Account or other Collateral. This power of attorney shall be irrevocable and coupled with an interest.</w:t>
      </w:r>
    </w:p>
    <w:p>
      <w:pPr>
        <w:spacing w:after="0" w:line="161"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4.14</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8"/>
          <w:szCs w:val="18"/>
          <w:color w:val="auto"/>
        </w:rPr>
        <w:t>.</w:t>
      </w:r>
    </w:p>
    <w:p>
      <w:pPr>
        <w:spacing w:after="0" w:line="22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4.15 </w:t>
      </w:r>
      <w:r>
        <w:rPr>
          <w:rFonts w:ascii="Arial" w:cs="Arial" w:eastAsia="Arial" w:hAnsi="Arial"/>
          <w:sz w:val="20"/>
          <w:szCs w:val="20"/>
          <w:u w:val="single" w:color="auto"/>
          <w:color w:val="auto"/>
        </w:rPr>
        <w:t>Schedule Updates</w:t>
      </w:r>
      <w:r>
        <w:rPr>
          <w:rFonts w:ascii="Arial" w:cs="Arial" w:eastAsia="Arial" w:hAnsi="Arial"/>
          <w:sz w:val="21"/>
          <w:szCs w:val="21"/>
          <w:color w:val="auto"/>
        </w:rPr>
        <w:t>. Borrower shall, in the event of any information in the Schedules becoming</w:t>
      </w:r>
      <w:r>
        <w:rPr>
          <w:rFonts w:ascii="Arial" w:cs="Arial" w:eastAsia="Arial" w:hAnsi="Arial"/>
          <w:sz w:val="20"/>
          <w:szCs w:val="20"/>
          <w:color w:val="auto"/>
        </w:rPr>
        <w:t xml:space="preserve"> </w:t>
      </w:r>
      <w:r>
        <w:rPr>
          <w:rFonts w:ascii="Arial" w:cs="Arial" w:eastAsia="Arial" w:hAnsi="Arial"/>
          <w:sz w:val="21"/>
          <w:szCs w:val="21"/>
          <w:color w:val="auto"/>
        </w:rPr>
        <w:t>outdated, inaccurate, incomplete or misleading, deliver to Agent, together with the next quarterly Compliance Certificate required to be delivered under this Agreement after such event a proposed update to such Schedule correcting all outdated, inaccurate, incomplete or misleading information; provided, however, with respect to any proposed updates to the Schedules involving Permitted Liens, Permitted Debt or Permitted Investments, Agent will replace the respective Schedule attached hereto with such proposed update only if such updated information is consistent with the definitions of and limitations herein pertaining to Permitted Liens, Permitted Debt or Permitted Investments.</w:t>
      </w:r>
    </w:p>
    <w:p>
      <w:pPr>
        <w:spacing w:after="0" w:line="184"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4.16</w:t>
      </w:r>
      <w:r>
        <w:rPr>
          <w:sz w:val="20"/>
          <w:szCs w:val="20"/>
          <w:color w:val="auto"/>
        </w:rPr>
        <w:tab/>
      </w:r>
      <w:r>
        <w:rPr>
          <w:rFonts w:ascii="Arial" w:cs="Arial" w:eastAsia="Arial" w:hAnsi="Arial"/>
          <w:sz w:val="18"/>
          <w:szCs w:val="18"/>
          <w:u w:val="single" w:color="auto"/>
          <w:color w:val="auto"/>
        </w:rPr>
        <w:t>Intellectual Property and Licensing</w:t>
      </w:r>
      <w:r>
        <w:rPr>
          <w:rFonts w:ascii="Arial" w:cs="Arial" w:eastAsia="Arial" w:hAnsi="Arial"/>
          <w:sz w:val="19"/>
          <w:szCs w:val="19"/>
          <w:color w:val="auto"/>
        </w:rPr>
        <w:t>.</w:t>
      </w:r>
    </w:p>
    <w:p>
      <w:pPr>
        <w:spacing w:after="0" w:line="234" w:lineRule="exact"/>
        <w:rPr>
          <w:sz w:val="20"/>
          <w:szCs w:val="20"/>
          <w:color w:val="auto"/>
        </w:rPr>
      </w:pPr>
    </w:p>
    <w:p>
      <w:pPr>
        <w:jc w:val="both"/>
        <w:ind w:firstLine="1760"/>
        <w:spacing w:after="0" w:line="244" w:lineRule="auto"/>
        <w:tabs>
          <w:tab w:leader="none" w:pos="26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Together with each quarterly Compliance Certificate required to be delivered pursuant to Section 4.1 to the extent (A) Borrower acquires and/or develops any new Registered Intellectual Property registered in the United States or any new material foreign Registered Intellectual Property, in each case, for which it is the registered owner, or (B) Borrower enters into or becomes bound by any additional in-bound license or sublicense agreement, any additional exclusive out-bound license or sublicense agreement with respect to rights in Intellectual Property (other than (i) over-the-counter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4" w:name="page175"/>
    <w:bookmarkEnd w:id="174"/>
    <w:p>
      <w:pPr>
        <w:jc w:val="both"/>
        <w:spacing w:after="0" w:line="278" w:lineRule="auto"/>
        <w:rPr>
          <w:sz w:val="20"/>
          <w:szCs w:val="20"/>
          <w:color w:val="auto"/>
        </w:rPr>
      </w:pPr>
      <w:r>
        <w:rPr>
          <w:rFonts w:ascii="Arial" w:cs="Arial" w:eastAsia="Arial" w:hAnsi="Arial"/>
          <w:sz w:val="18"/>
          <w:szCs w:val="18"/>
          <w:color w:val="auto"/>
        </w:rPr>
        <w:t xml:space="preserve">software that is commercially available to the public and (ii) in-bound license or sublicense agreements that are not material to Borrower’s business), or (C) there occurs any other material change in Borrower’s Registered Intellectual Property, in-bound licenses or sublicenses or exclusive out-bound licenses or sublicenses from that listed on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together with such Compliance Certificate, deliver to Agent an updated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reflecting such updated information. With respect to any updates to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involving exclusive out-bound licenses or sublicenses, such licenses shall be consistent with the definitions of and limitations herein pertaining to Permitted Licenses.</w:t>
      </w:r>
    </w:p>
    <w:p>
      <w:pPr>
        <w:spacing w:after="0" w:line="165" w:lineRule="exact"/>
        <w:rPr>
          <w:sz w:val="20"/>
          <w:szCs w:val="20"/>
          <w:color w:val="auto"/>
        </w:rPr>
      </w:pPr>
    </w:p>
    <w:p>
      <w:pPr>
        <w:jc w:val="both"/>
        <w:ind w:firstLine="1760"/>
        <w:spacing w:after="0" w:line="255" w:lineRule="auto"/>
        <w:tabs>
          <w:tab w:leader="none" w:pos="263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If Borrower obtains any Registered Intellectual Property registered in the United States or any material foreign Registered Intellectual Property, in each case, for which it is the registered owner, other than copyrights, mask works and related applications, which are addressed below, Borrower shall notify Agent on a quarterly basis and execute such documents and provide such other information (including, without limitation, copies of applications) and take such other actions as Agent shall request in its good faith business judgment to perfect and maintain a first priority perfected security interest (subject to Permitted Liens) in favor of Agent, for the ratable benefit of Lenders, the Registered Intellectual Property (other than Excluded Property and any security interest that is not required to be perfected under the terms of this Agreement). Borrower shall take such actions as Agent shall request in its good faith business judgment to perfect and maintain a first priority perfected security interest (subject to Permitted Liens) in favor of Agent, for the ratable benefit of Lenders, in the Registered Intellectual Property (other than Excluded Property and any security interest that is not required to be perfected under the terms of this Agreement).</w:t>
      </w:r>
    </w:p>
    <w:p>
      <w:pPr>
        <w:spacing w:after="0" w:line="189" w:lineRule="exact"/>
        <w:rPr>
          <w:rFonts w:ascii="Arial" w:cs="Arial" w:eastAsia="Arial" w:hAnsi="Arial"/>
          <w:sz w:val="19"/>
          <w:szCs w:val="19"/>
          <w:color w:val="auto"/>
        </w:rPr>
      </w:pPr>
    </w:p>
    <w:p>
      <w:pPr>
        <w:jc w:val="both"/>
        <w:ind w:firstLine="1760"/>
        <w:spacing w:after="0" w:line="243" w:lineRule="auto"/>
        <w:tabs>
          <w:tab w:leader="none" w:pos="262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Borrower shall, if requested by Agent, take commercially reasonable steps (not involving the payment of money) to obtain the consent of, or waiver by, any person whose consent or waiver is necessary for (x) all licenses or agreements to be deemed “Collateral” and for Agent to have a security interest in it that might otherwise be restricted or prohibited by Law or by the terms of any such license or agreement, whether now existing or entered into in the future, and (y) Agent to have the ability in the event of a liquidation of any Collateral to dispose of such Collateral in accordance with Agent’s rights and remedies under this Agreement and the other Financing Documents.</w:t>
      </w:r>
    </w:p>
    <w:p>
      <w:pPr>
        <w:spacing w:after="0" w:line="195" w:lineRule="exact"/>
        <w:rPr>
          <w:rFonts w:ascii="Arial" w:cs="Arial" w:eastAsia="Arial" w:hAnsi="Arial"/>
          <w:sz w:val="20"/>
          <w:szCs w:val="20"/>
          <w:color w:val="auto"/>
        </w:rPr>
      </w:pPr>
    </w:p>
    <w:p>
      <w:pPr>
        <w:jc w:val="both"/>
        <w:ind w:firstLine="1760"/>
        <w:spacing w:after="0" w:line="257" w:lineRule="auto"/>
        <w:tabs>
          <w:tab w:leader="none" w:pos="263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Borrower shall own, or be licensed to use or otherwise have the right to use, all Material Intangible Assets. Borrower shall cause all Registered Intellectual Property to be duly and properly registered, filed or issued in the appropriate office and jurisdictions for such registrations, filings or issuances, except where the failure to do so would not reasonably be expected to result in a Material Adverse Effect. Borrower shall at all times conduct its business without material infringement of any Intellectual Property rights of others. Borrower shall (i) protect, defend and maintain the validity and enforceability of its Material Intangible Assets (ii) promptly advise Agent in writing of material infringements of its Material Intangible Assets, or of a material claim of infringement by Borrower on the Intellectual Property rights of others; and (iii) not allow any of Borrower’s Material Intangible Assets to be abandoned, invalidated, forfeited or dedicated to the public or to become unenforceable.</w:t>
      </w:r>
    </w:p>
    <w:p>
      <w:pPr>
        <w:spacing w:after="0" w:line="180" w:lineRule="exact"/>
        <w:rPr>
          <w:rFonts w:ascii="Arial" w:cs="Arial" w:eastAsia="Arial" w:hAnsi="Arial"/>
          <w:sz w:val="19"/>
          <w:szCs w:val="19"/>
          <w:color w:val="auto"/>
        </w:rPr>
      </w:pPr>
    </w:p>
    <w:p>
      <w:pPr>
        <w:jc w:val="both"/>
        <w:ind w:firstLine="1760"/>
        <w:spacing w:after="0" w:line="244" w:lineRule="auto"/>
        <w:tabs>
          <w:tab w:leader="none" w:pos="262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Borrower shall not become a party to, nor become bound by, any new material license or other agreement after the Closing Date with respect to which Borrower is the licensee that prohibits or otherwise restricts Borrower from granting a security interest in Borrower’s interest in such license or agreement or other property;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this clause (e) shall not prohibit the inclusion of customary anti-assignment provisions in such licenses or other agreements so long as the effect of such provisions would not cause such license or other agreement to be Excluded Property.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5" w:name="page176"/>
    <w:bookmarkEnd w:id="175"/>
    <w:p>
      <w:pPr>
        <w:ind w:left="880"/>
        <w:spacing w:after="0"/>
        <w:tabs>
          <w:tab w:leader="none" w:pos="2480" w:val="left"/>
        </w:tabs>
        <w:rPr>
          <w:sz w:val="20"/>
          <w:szCs w:val="20"/>
          <w:color w:val="auto"/>
        </w:rPr>
      </w:pPr>
      <w:r>
        <w:rPr>
          <w:rFonts w:ascii="Arial" w:cs="Arial" w:eastAsia="Arial" w:hAnsi="Arial"/>
          <w:sz w:val="20"/>
          <w:szCs w:val="20"/>
          <w:color w:val="auto"/>
        </w:rPr>
        <w:t>Section 4.17</w:t>
      </w:r>
      <w:r>
        <w:rPr>
          <w:sz w:val="20"/>
          <w:szCs w:val="20"/>
          <w:color w:val="auto"/>
        </w:rPr>
        <w:tab/>
      </w:r>
      <w:r>
        <w:rPr>
          <w:rFonts w:ascii="Arial" w:cs="Arial" w:eastAsia="Arial" w:hAnsi="Arial"/>
          <w:sz w:val="16"/>
          <w:szCs w:val="16"/>
          <w:u w:val="single" w:color="auto"/>
          <w:color w:val="auto"/>
        </w:rPr>
        <w:t>Regulatory Reporting and Covenants</w:t>
      </w:r>
      <w:r>
        <w:rPr>
          <w:rFonts w:ascii="Arial" w:cs="Arial" w:eastAsia="Arial" w:hAnsi="Arial"/>
          <w:sz w:val="16"/>
          <w:szCs w:val="16"/>
          <w:color w:val="auto"/>
        </w:rPr>
        <w:t>.</w:t>
      </w:r>
    </w:p>
    <w:p>
      <w:pPr>
        <w:spacing w:after="0" w:line="216" w:lineRule="exact"/>
        <w:rPr>
          <w:sz w:val="20"/>
          <w:szCs w:val="20"/>
          <w:color w:val="auto"/>
        </w:rPr>
      </w:pPr>
    </w:p>
    <w:p>
      <w:pPr>
        <w:jc w:val="both"/>
        <w:ind w:firstLine="1760"/>
        <w:spacing w:after="0" w:line="269" w:lineRule="auto"/>
        <w:tabs>
          <w:tab w:leader="none" w:pos="26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Borrower shall notify Agent and each Lender promptly, and in any event within 3 Business Days of receiving, becoming aware of or determining that, (each, a “Regulatory Reporting Event” and collectively, the “Regulatory Reporting Events”): (i) any Governmental Authority, specifically including the FDA is conducting or has conducted (A) if applicable, an inspection of any of Borrower’s or its Subsidiaries’ manufacturing facilities and processes for any Product which inspection has disclosed, and notification of which has been provided to Borrower in writing, of any material deficiencies or violations of Laws and/or the Regulatory Required Permits related to such thereto or (B) a material investigation or review of any Regulatory Required Permit (other than routine reviews in the Ordinary Course of Business associated with the renewal or maintenance of a Regulatory Required Permit which would not reasonably be expected to result in a Material Adverse Effect), (ii) development, testing, and/or manufacturing of any Product or provision of any service that is material to the business of Borrower or its Subsidiaries should cease, (iii) a Product that is material to the business of the Borrower or its Subsidiaries has been approved for marketing and sale, any marketing or sales of such Product should cease or such Product should be withdrawn from the marketplace, (iv) adverse clinical trial test results with respect to any Product which have or would reasonably be expected to result in a Material Adverse Effect, (v) any Product Recalls or voluntary Product withdrawals from any market which have or would reasonably be expected to result in a Material Adverse Effect or (vi) any significant failures in the manufacturing of any Product such that the amount of such Product successfully manufactured in accordance with all specifications thereof and any required payments to be made to Borrower therefor in any month shall decrease significantly with respect to the quantities of such Product and payments produced in the prior month, in each case, which would reasonably be expected to result in a Material Adverse Effect. Borrower shall provide to Agent or any Lender such further information (including copies of such documentation) as Agent or any Lender shall reasonably request with respect to any such Regulatory Reporting Event.</w:t>
      </w:r>
    </w:p>
    <w:p>
      <w:pPr>
        <w:spacing w:after="0" w:line="171" w:lineRule="exact"/>
        <w:rPr>
          <w:rFonts w:ascii="Arial" w:cs="Arial" w:eastAsia="Arial" w:hAnsi="Arial"/>
          <w:sz w:val="18"/>
          <w:szCs w:val="18"/>
          <w:color w:val="auto"/>
        </w:rPr>
      </w:pPr>
    </w:p>
    <w:p>
      <w:pPr>
        <w:jc w:val="both"/>
        <w:ind w:firstLine="1760"/>
        <w:spacing w:after="0" w:line="257" w:lineRule="auto"/>
        <w:tabs>
          <w:tab w:leader="none" w:pos="263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Borrower shall, and shall cause each Credit Party to, obtain all Regulatory Required Permits necessary for compliance in all material respects with Laws with respect to testing, manufacturing, developing, selling or marketing of Products and shall, and shall cause each Credit Party to, maintain and comply in all material respects with all such Regulatory Required Permits, the noncompliance with which would have a Material Adverse Effect. In the event Borrower or any Credit Party obtains any new material Regulatory Required Permit or any information on the </w:t>
      </w:r>
      <w:r>
        <w:rPr>
          <w:rFonts w:ascii="Arial" w:cs="Arial" w:eastAsia="Arial" w:hAnsi="Arial"/>
          <w:sz w:val="19"/>
          <w:szCs w:val="19"/>
          <w:u w:val="single" w:color="auto"/>
          <w:color w:val="auto"/>
        </w:rPr>
        <w:t>Schedule 8.2(a)</w:t>
      </w:r>
      <w:r>
        <w:rPr>
          <w:rFonts w:ascii="Arial" w:cs="Arial" w:eastAsia="Arial" w:hAnsi="Arial"/>
          <w:sz w:val="19"/>
          <w:szCs w:val="19"/>
          <w:color w:val="auto"/>
        </w:rPr>
        <w:t xml:space="preserve"> becomes outdated, inaccurate, incomplete or misleading, Borrower shall, together with the next Compliance Certificate required to be delivered under this Agreement after such event, provide Agent with an updated </w:t>
      </w:r>
      <w:r>
        <w:rPr>
          <w:rFonts w:ascii="Arial" w:cs="Arial" w:eastAsia="Arial" w:hAnsi="Arial"/>
          <w:sz w:val="19"/>
          <w:szCs w:val="19"/>
          <w:u w:val="single" w:color="auto"/>
          <w:color w:val="auto"/>
        </w:rPr>
        <w:t>Schedule 8.2(a)</w:t>
      </w:r>
      <w:r>
        <w:rPr>
          <w:rFonts w:ascii="Arial" w:cs="Arial" w:eastAsia="Arial" w:hAnsi="Arial"/>
          <w:sz w:val="19"/>
          <w:szCs w:val="19"/>
          <w:color w:val="auto"/>
        </w:rPr>
        <w:t xml:space="preserve"> including such updated information.</w:t>
      </w:r>
    </w:p>
    <w:p>
      <w:pPr>
        <w:spacing w:after="0" w:line="184" w:lineRule="exact"/>
        <w:rPr>
          <w:rFonts w:ascii="Arial" w:cs="Arial" w:eastAsia="Arial" w:hAnsi="Arial"/>
          <w:sz w:val="19"/>
          <w:szCs w:val="19"/>
          <w:color w:val="auto"/>
        </w:rPr>
      </w:pPr>
    </w:p>
    <w:p>
      <w:pPr>
        <w:jc w:val="both"/>
        <w:ind w:firstLine="1760"/>
        <w:spacing w:after="0" w:line="263" w:lineRule="auto"/>
        <w:tabs>
          <w:tab w:leader="none" w:pos="262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If, after the Closing Date, (i) Borrower determines to manufacture, sell, develop, test or market any new Product, Borrower shall deliver prior written notice to Agent of such determination (which shall include a brief description of such Product) and, together with delivery of the next Compliance Certificate shall provide an updated </w:t>
      </w:r>
      <w:r>
        <w:rPr>
          <w:rFonts w:ascii="Arial" w:cs="Arial" w:eastAsia="Arial" w:hAnsi="Arial"/>
          <w:sz w:val="19"/>
          <w:szCs w:val="19"/>
          <w:u w:val="single" w:color="auto"/>
          <w:color w:val="auto"/>
        </w:rPr>
        <w:t>Schedule 3.19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8.2(a)</w:t>
      </w:r>
      <w:r>
        <w:rPr>
          <w:rFonts w:ascii="Arial" w:cs="Arial" w:eastAsia="Arial" w:hAnsi="Arial"/>
          <w:sz w:val="19"/>
          <w:szCs w:val="19"/>
          <w:color w:val="auto"/>
        </w:rPr>
        <w:t xml:space="preserve"> (Licensing and Products) (and copies of such Permits as Agent may request) reflecting updates related to such determination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6" w:name="page177"/>
    <w:bookmarkEnd w:id="176"/>
    <w:p>
      <w:pPr>
        <w:ind w:left="3560"/>
        <w:spacing w:after="0"/>
        <w:tabs>
          <w:tab w:leader="none" w:pos="5220" w:val="left"/>
        </w:tabs>
        <w:rPr>
          <w:sz w:val="20"/>
          <w:szCs w:val="20"/>
          <w:color w:val="auto"/>
        </w:rPr>
      </w:pPr>
      <w:r>
        <w:rPr>
          <w:rFonts w:ascii="Arial" w:cs="Arial" w:eastAsia="Arial" w:hAnsi="Arial"/>
          <w:sz w:val="20"/>
          <w:szCs w:val="20"/>
          <w:b w:val="1"/>
          <w:bCs w:val="1"/>
          <w:color w:val="auto"/>
        </w:rPr>
        <w:t>ARTICLE 5</w:t>
      </w:r>
      <w:r>
        <w:rPr>
          <w:sz w:val="20"/>
          <w:szCs w:val="20"/>
          <w:color w:val="auto"/>
        </w:rPr>
        <w:tab/>
      </w:r>
      <w:r>
        <w:rPr>
          <w:rFonts w:ascii="Arial" w:cs="Arial" w:eastAsia="Arial" w:hAnsi="Arial"/>
          <w:sz w:val="20"/>
          <w:szCs w:val="20"/>
          <w:b w:val="1"/>
          <w:bCs w:val="1"/>
          <w:color w:val="auto"/>
        </w:rPr>
        <w:t>- NEGATIVE COVENANTS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Each Borrower agrees that, so long as any Credit Exposure exists:</w:t>
      </w:r>
    </w:p>
    <w:p>
      <w:pPr>
        <w:spacing w:after="0" w:line="211"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Debt; Contingent Obligations</w:t>
      </w:r>
      <w:r>
        <w:rPr>
          <w:rFonts w:ascii="Arial" w:cs="Arial" w:eastAsia="Arial" w:hAnsi="Arial"/>
          <w:sz w:val="21"/>
          <w:szCs w:val="21"/>
          <w:color w:val="auto"/>
        </w:rPr>
        <w:t>. No Borrower will, or will permit any Subsidiary to, directly or indirectly,</w:t>
      </w:r>
      <w:r>
        <w:rPr>
          <w:rFonts w:ascii="Arial" w:cs="Arial" w:eastAsia="Arial" w:hAnsi="Arial"/>
          <w:sz w:val="20"/>
          <w:szCs w:val="20"/>
          <w:color w:val="auto"/>
        </w:rPr>
        <w:t xml:space="preserve"> </w:t>
      </w:r>
      <w:r>
        <w:rPr>
          <w:rFonts w:ascii="Arial" w:cs="Arial" w:eastAsia="Arial" w:hAnsi="Arial"/>
          <w:sz w:val="21"/>
          <w:szCs w:val="21"/>
          <w:color w:val="auto"/>
        </w:rPr>
        <w:t>create, incur, assume, guarantee or otherwise become or remain directly or indirectly liable with respect to, any Debt, except for Permitted Debt. No Borrower will, or will permit any Subsidiary to, directly or indirectly, create, assume, incur or suffer to exist any Contingent Obligations, except for Permitted Contingent Obligations.</w:t>
      </w:r>
    </w:p>
    <w:p>
      <w:pPr>
        <w:spacing w:after="0" w:line="174"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Liens</w:t>
      </w:r>
      <w:r>
        <w:rPr>
          <w:rFonts w:ascii="Arial" w:cs="Arial" w:eastAsia="Arial" w:hAnsi="Arial"/>
          <w:sz w:val="21"/>
          <w:szCs w:val="21"/>
          <w:color w:val="auto"/>
        </w:rPr>
        <w:t>. No Borrower will, or will permit any Subsidiary to, directly or indirectly, create, assume or</w:t>
      </w:r>
      <w:r>
        <w:rPr>
          <w:rFonts w:ascii="Arial" w:cs="Arial" w:eastAsia="Arial" w:hAnsi="Arial"/>
          <w:sz w:val="20"/>
          <w:szCs w:val="20"/>
          <w:color w:val="auto"/>
        </w:rPr>
        <w:t xml:space="preserve"> </w:t>
      </w:r>
      <w:r>
        <w:rPr>
          <w:rFonts w:ascii="Arial" w:cs="Arial" w:eastAsia="Arial" w:hAnsi="Arial"/>
          <w:sz w:val="21"/>
          <w:szCs w:val="21"/>
          <w:color w:val="auto"/>
        </w:rPr>
        <w:t>suffer to exist any Lien on any asset now owned or hereafter acquired by it, except for Permitted Liens.</w:t>
      </w:r>
    </w:p>
    <w:p>
      <w:pPr>
        <w:spacing w:after="0" w:line="151"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0"/>
          <w:szCs w:val="20"/>
          <w:color w:val="auto"/>
        </w:rPr>
        <w:t xml:space="preserve">Section 5.3 </w:t>
      </w:r>
      <w:r>
        <w:rPr>
          <w:rFonts w:ascii="Arial" w:cs="Arial" w:eastAsia="Arial" w:hAnsi="Arial"/>
          <w:sz w:val="20"/>
          <w:szCs w:val="20"/>
          <w:u w:val="single" w:color="auto"/>
          <w:color w:val="auto"/>
        </w:rPr>
        <w:t>Distributions</w:t>
      </w:r>
      <w:r>
        <w:rPr>
          <w:rFonts w:ascii="Arial" w:cs="Arial" w:eastAsia="Arial" w:hAnsi="Arial"/>
          <w:sz w:val="21"/>
          <w:szCs w:val="21"/>
          <w:color w:val="auto"/>
        </w:rPr>
        <w:t>. No Borrower will, or will permit any Subsidiary to, directly or indirectly, declare, order,</w:t>
      </w:r>
      <w:r>
        <w:rPr>
          <w:rFonts w:ascii="Arial" w:cs="Arial" w:eastAsia="Arial" w:hAnsi="Arial"/>
          <w:sz w:val="20"/>
          <w:szCs w:val="20"/>
          <w:color w:val="auto"/>
        </w:rPr>
        <w:t xml:space="preserve"> </w:t>
      </w:r>
      <w:r>
        <w:rPr>
          <w:rFonts w:ascii="Arial" w:cs="Arial" w:eastAsia="Arial" w:hAnsi="Arial"/>
          <w:sz w:val="21"/>
          <w:szCs w:val="21"/>
          <w:color w:val="auto"/>
        </w:rPr>
        <w:t>pay, make or set apart any sum for any Distribution, except for Permitted Distributions.</w:t>
      </w:r>
    </w:p>
    <w:p>
      <w:pPr>
        <w:spacing w:after="0" w:line="151" w:lineRule="exact"/>
        <w:rPr>
          <w:sz w:val="20"/>
          <w:szCs w:val="20"/>
          <w:color w:val="auto"/>
        </w:rPr>
      </w:pPr>
    </w:p>
    <w:p>
      <w:pPr>
        <w:ind w:left="880"/>
        <w:spacing w:after="0"/>
        <w:tabs>
          <w:tab w:leader="none" w:pos="2420" w:val="left"/>
          <w:tab w:leader="none" w:pos="454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20"/>
          <w:szCs w:val="20"/>
          <w:u w:val="single" w:color="auto"/>
          <w:color w:val="auto"/>
        </w:rPr>
        <w:t>Restrictive Agreements</w:t>
      </w: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No Borrower will, or will permit any Subsidiary to, directly or indirectly</w:t>
      </w:r>
    </w:p>
    <w:p>
      <w:pPr>
        <w:spacing w:after="0" w:line="20" w:lineRule="exact"/>
        <w:rPr>
          <w:sz w:val="20"/>
          <w:szCs w:val="20"/>
          <w:color w:val="auto"/>
        </w:rPr>
      </w:pPr>
    </w:p>
    <w:p>
      <w:pPr>
        <w:jc w:val="both"/>
        <w:ind w:firstLine="8"/>
        <w:spacing w:after="0" w:line="266" w:lineRule="auto"/>
        <w:tabs>
          <w:tab w:leader="none" w:pos="29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enter into or assume any agreement (other than the Financing Documents, any Subordinated Debt Documents, any agreements for purchase money debt permitted under clause (c) of the definition of Permitted Debt and any agreements related solely to IXINITY Royalty Excluded Deposit Account) prohibiting the creation or assumption of any Lien upon its properties or assets, whether now owned or hereafter acquired, or (b) create or otherwise cause or suffer to exist or become effective any consensual encumbrance or restriction of any kind (except as provided by the Financing Documents) on the ability of any Subsidiary to: (i) pay or make Distributions to any Borrower or any Subsidiary; (ii) pay any Debt owed to any Borrower or any Subsidiary;</w:t>
      </w:r>
    </w:p>
    <w:p>
      <w:pPr>
        <w:spacing w:after="0" w:line="5" w:lineRule="exact"/>
        <w:rPr>
          <w:rFonts w:ascii="Arial" w:cs="Arial" w:eastAsia="Arial" w:hAnsi="Arial"/>
          <w:sz w:val="19"/>
          <w:szCs w:val="19"/>
          <w:color w:val="auto"/>
        </w:rPr>
      </w:pPr>
    </w:p>
    <w:p>
      <w:pPr>
        <w:ind w:firstLine="8"/>
        <w:spacing w:after="0" w:line="236" w:lineRule="auto"/>
        <w:tabs>
          <w:tab w:leader="none" w:pos="388" w:val="left"/>
        </w:tabs>
        <w:numPr>
          <w:ilvl w:val="0"/>
          <w:numId w:val="135"/>
        </w:numPr>
        <w:rPr>
          <w:rFonts w:ascii="Arial" w:cs="Arial" w:eastAsia="Arial" w:hAnsi="Arial"/>
          <w:sz w:val="22"/>
          <w:szCs w:val="22"/>
          <w:color w:val="auto"/>
        </w:rPr>
      </w:pPr>
      <w:r>
        <w:rPr>
          <w:rFonts w:ascii="Arial" w:cs="Arial" w:eastAsia="Arial" w:hAnsi="Arial"/>
          <w:sz w:val="22"/>
          <w:szCs w:val="22"/>
          <w:color w:val="auto"/>
        </w:rPr>
        <w:t>make loans or advances to any Borrower or any Subsidiary; or (iv) transfer any of its property or assets to any Borrower or any Subsidiary.</w:t>
      </w:r>
    </w:p>
    <w:p>
      <w:pPr>
        <w:spacing w:after="0" w:line="18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Payments and Modifications of Subordinated Debt</w:t>
      </w:r>
      <w:r>
        <w:rPr>
          <w:rFonts w:ascii="Arial" w:cs="Arial" w:eastAsia="Arial" w:hAnsi="Arial"/>
          <w:sz w:val="20"/>
          <w:szCs w:val="20"/>
          <w:color w:val="auto"/>
        </w:rPr>
        <w:t>. No Borrower will, or will permit any Subsidiary to,</w:t>
      </w:r>
      <w:r>
        <w:rPr>
          <w:rFonts w:ascii="Arial" w:cs="Arial" w:eastAsia="Arial" w:hAnsi="Arial"/>
          <w:sz w:val="19"/>
          <w:szCs w:val="19"/>
          <w:color w:val="auto"/>
        </w:rPr>
        <w:t xml:space="preserve"> </w:t>
      </w:r>
      <w:r>
        <w:rPr>
          <w:rFonts w:ascii="Arial" w:cs="Arial" w:eastAsia="Arial" w:hAnsi="Arial"/>
          <w:sz w:val="20"/>
          <w:szCs w:val="20"/>
          <w:color w:val="auto"/>
        </w:rPr>
        <w:t>directly or indirectly (a) declare, pay, make or set aside any amount for payment in respect of Subordinated Debt, except for payments made in full compliance with and expressly permitted under the Subordination Agreement, (b) amend or otherwise modify the terms of any Subordinated Debt, except for amendments or modifications made in full compliance with the Subordination Agreement relating thereto, or (c) declare, pay, make or set aside any amount for payment in respect of any Debt hereinafter incurred that, by its terms, or by separate agreement, is subordinated to the Obligations, except for payments permitted under the subordination provisions applicable thereto. Borrowers shall, prior to entering into any such amendment or modification, deliver to Agent reasonably in advance of the execution thereof, any final or execution form copy thereof.</w:t>
      </w:r>
    </w:p>
    <w:p>
      <w:pPr>
        <w:spacing w:after="0" w:line="17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5.6</w:t>
      </w:r>
      <w:r>
        <w:rPr>
          <w:sz w:val="20"/>
          <w:szCs w:val="20"/>
          <w:color w:val="auto"/>
        </w:rPr>
        <w:tab/>
      </w:r>
      <w:r>
        <w:rPr>
          <w:rFonts w:ascii="Arial" w:cs="Arial" w:eastAsia="Arial" w:hAnsi="Arial"/>
          <w:sz w:val="16"/>
          <w:szCs w:val="16"/>
          <w:u w:val="single" w:color="auto"/>
          <w:color w:val="auto"/>
        </w:rPr>
        <w:t>Consolidations, Mergers and Sales of Assets; Change in Control</w:t>
      </w:r>
      <w:r>
        <w:rPr>
          <w:rFonts w:ascii="Arial" w:cs="Arial" w:eastAsia="Arial" w:hAnsi="Arial"/>
          <w:sz w:val="16"/>
          <w:szCs w:val="16"/>
          <w:color w:val="auto"/>
        </w:rPr>
        <w:t>.</w:t>
      </w:r>
    </w:p>
    <w:p>
      <w:pPr>
        <w:spacing w:after="0" w:line="211" w:lineRule="exact"/>
        <w:rPr>
          <w:sz w:val="20"/>
          <w:szCs w:val="20"/>
          <w:color w:val="auto"/>
        </w:rPr>
      </w:pPr>
    </w:p>
    <w:p>
      <w:pPr>
        <w:jc w:val="both"/>
        <w:ind w:firstLine="1735"/>
        <w:spacing w:after="0" w:line="238" w:lineRule="auto"/>
        <w:tabs>
          <w:tab w:leader="none" w:pos="2595" w:val="left"/>
        </w:tabs>
        <w:numPr>
          <w:ilvl w:val="0"/>
          <w:numId w:val="136"/>
        </w:numPr>
        <w:rPr>
          <w:rFonts w:ascii="Arial" w:cs="Arial" w:eastAsia="Arial" w:hAnsi="Arial"/>
          <w:sz w:val="20"/>
          <w:szCs w:val="20"/>
          <w:color w:val="auto"/>
        </w:rPr>
      </w:pPr>
      <w:r>
        <w:rPr>
          <w:rFonts w:ascii="Arial" w:cs="Arial" w:eastAsia="Arial" w:hAnsi="Arial"/>
          <w:sz w:val="22"/>
          <w:szCs w:val="22"/>
          <w:color w:val="auto"/>
        </w:rPr>
        <w:t>No Borrower will, or will permit any Subsidiary to, directly or indirectly consolidate or merge or amalgamate with or into any other Person other than (a) consolidations or mergers among Borrowers where a Borrower is the surviving entity (provided that in the case of any consolidation or merger involving Aptevo Therapeutics, Aptevo Therapeutics shall be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7" w:name="page178"/>
    <w:bookmarkEnd w:id="177"/>
    <w:p>
      <w:pPr>
        <w:jc w:val="both"/>
        <w:spacing w:after="0" w:line="287" w:lineRule="auto"/>
        <w:rPr>
          <w:sz w:val="20"/>
          <w:szCs w:val="20"/>
          <w:color w:val="auto"/>
        </w:rPr>
      </w:pPr>
      <w:r>
        <w:rPr>
          <w:rFonts w:ascii="Arial" w:cs="Arial" w:eastAsia="Arial" w:hAnsi="Arial"/>
          <w:sz w:val="19"/>
          <w:szCs w:val="19"/>
          <w:color w:val="auto"/>
        </w:rPr>
        <w:t>surviving entity), (b) consolidations or mergers among a Guarantor and a Borrower so long as the Borrower is the surviving entity, (c) consolidations or mergers among Guarantors where the Guarantor is the surviving entity, (d) consolidations or mergers among Excluded Foreign Subsidiaries and (e) dissolutions or liquidations of Credit Parties (other than Aptevo Therapeutics) or their Subsidiaries so long as any assets of such dissolved or liquidated Person are transferred to a Borrower.</w:t>
      </w:r>
    </w:p>
    <w:p>
      <w:pPr>
        <w:spacing w:after="0" w:line="143" w:lineRule="exact"/>
        <w:rPr>
          <w:sz w:val="20"/>
          <w:szCs w:val="20"/>
          <w:color w:val="auto"/>
        </w:rPr>
      </w:pPr>
    </w:p>
    <w:p>
      <w:pPr>
        <w:ind w:firstLine="1735"/>
        <w:spacing w:after="0" w:line="250" w:lineRule="auto"/>
        <w:tabs>
          <w:tab w:leader="none" w:pos="2606" w:val="left"/>
        </w:tabs>
        <w:numPr>
          <w:ilvl w:val="0"/>
          <w:numId w:val="137"/>
        </w:numPr>
        <w:rPr>
          <w:rFonts w:ascii="Arial" w:cs="Arial" w:eastAsia="Arial" w:hAnsi="Arial"/>
          <w:sz w:val="20"/>
          <w:szCs w:val="20"/>
          <w:color w:val="auto"/>
        </w:rPr>
      </w:pPr>
      <w:r>
        <w:rPr>
          <w:rFonts w:ascii="Arial" w:cs="Arial" w:eastAsia="Arial" w:hAnsi="Arial"/>
          <w:sz w:val="22"/>
          <w:szCs w:val="22"/>
          <w:color w:val="auto"/>
        </w:rPr>
        <w:t>No Borrower will, or will permit any Subsidiary to, directly or indirectly consummate any Asset Dispositions other than Permitted Asset Dispositions.</w:t>
      </w:r>
    </w:p>
    <w:p>
      <w:pPr>
        <w:spacing w:after="0" w:line="174" w:lineRule="exact"/>
        <w:rPr>
          <w:rFonts w:ascii="Arial" w:cs="Arial" w:eastAsia="Arial" w:hAnsi="Arial"/>
          <w:sz w:val="20"/>
          <w:szCs w:val="20"/>
          <w:color w:val="auto"/>
        </w:rPr>
      </w:pPr>
    </w:p>
    <w:p>
      <w:pPr>
        <w:ind w:left="2600" w:hanging="865"/>
        <w:spacing w:after="0"/>
        <w:tabs>
          <w:tab w:leader="none" w:pos="2600" w:val="left"/>
        </w:tabs>
        <w:numPr>
          <w:ilvl w:val="0"/>
          <w:numId w:val="137"/>
        </w:numPr>
        <w:rPr>
          <w:rFonts w:ascii="Arial" w:cs="Arial" w:eastAsia="Arial" w:hAnsi="Arial"/>
          <w:sz w:val="20"/>
          <w:szCs w:val="20"/>
          <w:color w:val="auto"/>
        </w:rPr>
      </w:pPr>
      <w:r>
        <w:rPr>
          <w:rFonts w:ascii="Arial" w:cs="Arial" w:eastAsia="Arial" w:hAnsi="Arial"/>
          <w:sz w:val="22"/>
          <w:szCs w:val="22"/>
          <w:color w:val="auto"/>
        </w:rPr>
        <w:t>No Borrower will suffer or permit to occur any Change in Control.</w:t>
      </w:r>
    </w:p>
    <w:p>
      <w:pPr>
        <w:spacing w:after="0" w:line="20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Purchase of Assets, Investments</w:t>
      </w:r>
      <w:r>
        <w:rPr>
          <w:rFonts w:ascii="Arial" w:cs="Arial" w:eastAsia="Arial" w:hAnsi="Arial"/>
          <w:sz w:val="21"/>
          <w:szCs w:val="21"/>
          <w:color w:val="auto"/>
        </w:rPr>
        <w:t>. No Borrower will, or will permit any Subsidiary to, directly or</w:t>
      </w:r>
      <w:r>
        <w:rPr>
          <w:rFonts w:ascii="Arial" w:cs="Arial" w:eastAsia="Arial" w:hAnsi="Arial"/>
          <w:sz w:val="20"/>
          <w:szCs w:val="20"/>
          <w:color w:val="auto"/>
        </w:rPr>
        <w:t xml:space="preserve"> </w:t>
      </w:r>
      <w:r>
        <w:rPr>
          <w:rFonts w:ascii="Arial" w:cs="Arial" w:eastAsia="Arial" w:hAnsi="Arial"/>
          <w:sz w:val="21"/>
          <w:szCs w:val="21"/>
          <w:color w:val="auto"/>
        </w:rPr>
        <w:t>indirectly (a) without limiting clause (c) below, acquire or enter into any agreement to acquire any assets other than in the Ordinary Course of Business or as permitted under the definition of Permitted Investments; (b) engage or enter into any agreement to engage in any joint venture or statutory or common law partnership with any other Person; or (c) acquire, own or make or enter into any agreement to acquire, own or make any Investment in any Person other than Permitted Investments. Without limiting the foregoing, no Credit Party shall, nor will any Credit Party permit any Subsidiary to, purchase or carry Margin Stock.</w:t>
      </w:r>
    </w:p>
    <w:p>
      <w:pPr>
        <w:spacing w:after="0" w:line="184"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 xml:space="preserve">Section 5.8 </w:t>
      </w:r>
      <w:r>
        <w:rPr>
          <w:rFonts w:ascii="Arial" w:cs="Arial" w:eastAsia="Arial" w:hAnsi="Arial"/>
          <w:sz w:val="20"/>
          <w:szCs w:val="20"/>
          <w:u w:val="single" w:color="auto"/>
          <w:color w:val="auto"/>
        </w:rPr>
        <w:t>Transactions with Affiliates</w:t>
      </w:r>
      <w:r>
        <w:rPr>
          <w:rFonts w:ascii="Arial" w:cs="Arial" w:eastAsia="Arial" w:hAnsi="Arial"/>
          <w:sz w:val="21"/>
          <w:szCs w:val="21"/>
          <w:color w:val="auto"/>
        </w:rPr>
        <w:t>. Except as otherwise disclosed on</w:t>
      </w:r>
      <w:r>
        <w:rPr>
          <w:rFonts w:ascii="Arial" w:cs="Arial" w:eastAsia="Arial" w:hAnsi="Arial"/>
          <w:sz w:val="20"/>
          <w:szCs w:val="20"/>
          <w:color w:val="auto"/>
        </w:rPr>
        <w:t xml:space="preserve"> </w:t>
      </w:r>
      <w:r>
        <w:rPr>
          <w:rFonts w:ascii="Arial" w:cs="Arial" w:eastAsia="Arial" w:hAnsi="Arial"/>
          <w:sz w:val="21"/>
          <w:szCs w:val="21"/>
          <w:u w:val="single" w:color="auto"/>
          <w:color w:val="auto"/>
        </w:rPr>
        <w:t>Schedule 5.8</w:t>
      </w:r>
      <w:r>
        <w:rPr>
          <w:rFonts w:ascii="Arial" w:cs="Arial" w:eastAsia="Arial" w:hAnsi="Arial"/>
          <w:sz w:val="21"/>
          <w:szCs w:val="21"/>
          <w:color w:val="auto"/>
        </w:rPr>
        <w:t>, transactions that are</w:t>
      </w:r>
      <w:r>
        <w:rPr>
          <w:rFonts w:ascii="Arial" w:cs="Arial" w:eastAsia="Arial" w:hAnsi="Arial"/>
          <w:sz w:val="20"/>
          <w:szCs w:val="20"/>
          <w:color w:val="auto"/>
        </w:rPr>
        <w:t xml:space="preserve"> </w:t>
      </w:r>
      <w:r>
        <w:rPr>
          <w:rFonts w:ascii="Arial" w:cs="Arial" w:eastAsia="Arial" w:hAnsi="Arial"/>
          <w:sz w:val="21"/>
          <w:szCs w:val="21"/>
          <w:color w:val="auto"/>
        </w:rPr>
        <w:t>disclosed to Agent in advance of being entered into and transactions which contain terms that are no less favorable to the applicable Borrower or any Subsidiary, as the case may be, than those which might be obtained from a third party not an Affiliate of any Credit Party, no Borrower will, or will permit any Subsidiary to, directly or indirectly, enter into or permit to exist any transaction (including the purchase, sale, lease or exchange of any property or the rendering of any service) with any Affiliate of any Borrower.</w:t>
      </w:r>
    </w:p>
    <w:p>
      <w:pPr>
        <w:spacing w:after="0" w:line="177"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0"/>
          <w:szCs w:val="20"/>
          <w:color w:val="auto"/>
        </w:rPr>
        <w:t xml:space="preserve">Section 5.9 </w:t>
      </w:r>
      <w:r>
        <w:rPr>
          <w:rFonts w:ascii="Arial" w:cs="Arial" w:eastAsia="Arial" w:hAnsi="Arial"/>
          <w:sz w:val="20"/>
          <w:szCs w:val="20"/>
          <w:u w:val="single" w:color="auto"/>
          <w:color w:val="auto"/>
        </w:rPr>
        <w:t>Modification of Organizational Documents</w:t>
      </w:r>
      <w:r>
        <w:rPr>
          <w:rFonts w:ascii="Arial" w:cs="Arial" w:eastAsia="Arial" w:hAnsi="Arial"/>
          <w:sz w:val="20"/>
          <w:szCs w:val="20"/>
          <w:color w:val="auto"/>
        </w:rPr>
        <w:t xml:space="preserve"> </w:t>
      </w:r>
      <w:r>
        <w:rPr>
          <w:rFonts w:ascii="Arial" w:cs="Arial" w:eastAsia="Arial" w:hAnsi="Arial"/>
          <w:sz w:val="21"/>
          <w:szCs w:val="21"/>
          <w:color w:val="auto"/>
        </w:rPr>
        <w:t>No Borrower will, or will permit any Subsidiary to, directly</w:t>
      </w:r>
      <w:r>
        <w:rPr>
          <w:rFonts w:ascii="Arial" w:cs="Arial" w:eastAsia="Arial" w:hAnsi="Arial"/>
          <w:sz w:val="20"/>
          <w:szCs w:val="20"/>
          <w:color w:val="auto"/>
        </w:rPr>
        <w:t xml:space="preserve"> </w:t>
      </w:r>
      <w:r>
        <w:rPr>
          <w:rFonts w:ascii="Arial" w:cs="Arial" w:eastAsia="Arial" w:hAnsi="Arial"/>
          <w:sz w:val="21"/>
          <w:szCs w:val="21"/>
          <w:color w:val="auto"/>
        </w:rPr>
        <w:t>or indirectly, amend or otherwise modify any Organizational Documents of such Person, except for Permitted Modifications.</w:t>
      </w:r>
    </w:p>
    <w:p>
      <w:pPr>
        <w:spacing w:after="0" w:line="151"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8"/>
          <w:szCs w:val="18"/>
          <w:u w:val="single" w:color="auto"/>
          <w:color w:val="auto"/>
        </w:rPr>
        <w:t>Modification of Certain Agreements; Royalty Agreements</w:t>
      </w:r>
      <w:r>
        <w:rPr>
          <w:rFonts w:ascii="Arial" w:cs="Arial" w:eastAsia="Arial" w:hAnsi="Arial"/>
          <w:sz w:val="19"/>
          <w:szCs w:val="19"/>
          <w:color w:val="auto"/>
        </w:rPr>
        <w:t>.</w:t>
      </w:r>
    </w:p>
    <w:p>
      <w:pPr>
        <w:spacing w:after="0" w:line="229" w:lineRule="exact"/>
        <w:rPr>
          <w:sz w:val="20"/>
          <w:szCs w:val="20"/>
          <w:color w:val="auto"/>
        </w:rPr>
      </w:pPr>
    </w:p>
    <w:p>
      <w:pPr>
        <w:jc w:val="both"/>
        <w:ind w:firstLine="1735"/>
        <w:spacing w:after="0" w:line="245" w:lineRule="auto"/>
        <w:tabs>
          <w:tab w:leader="none" w:pos="2595" w:val="left"/>
        </w:tabs>
        <w:numPr>
          <w:ilvl w:val="0"/>
          <w:numId w:val="138"/>
        </w:numPr>
        <w:rPr>
          <w:rFonts w:ascii="Arial" w:cs="Arial" w:eastAsia="Arial" w:hAnsi="Arial"/>
          <w:sz w:val="19"/>
          <w:szCs w:val="19"/>
          <w:color w:val="auto"/>
        </w:rPr>
      </w:pPr>
      <w:r>
        <w:rPr>
          <w:rFonts w:ascii="Arial" w:cs="Arial" w:eastAsia="Arial" w:hAnsi="Arial"/>
          <w:sz w:val="21"/>
          <w:szCs w:val="21"/>
          <w:color w:val="auto"/>
        </w:rPr>
        <w:t>No Borrower will, or will permit any Subsidiary to, directly or indirectly, amend or otherwise modify any Material Contract, which amendment or modification in any case: (i) is contrary to the terms of this Agreement or any other Financing Document; (ii) would reasonably be expected to be materially adverse to the rights, interests or privileges of Agent or the Lenders or their ability to enforce the same; and (iii) would reasonably be expected to result in a Material Adverse Effect. Without limiting the foregoing, no Borrower will or will permit any Subsidiary to, directly or indirectly, amend or otherwise modify (or permit any amendment or modification to) the Ruxience Royalty Agreement (except as set forth in the Ruxience Sale Agreement) or the IXINITY Royalty Agreement without the prior written consent of Agent (not to be unreasonably withheld). Each Borrower shall, prior to entering into any amendment or other modification of any of the foregoing documents, deliver to Agent reasonably in advance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the execution thereof, any final or execution form copy of amendments or other modifications to such documents.</w:t>
      </w:r>
    </w:p>
    <w:p>
      <w:pPr>
        <w:spacing w:after="0" w:line="206" w:lineRule="exact"/>
        <w:rPr>
          <w:sz w:val="20"/>
          <w:szCs w:val="20"/>
          <w:color w:val="auto"/>
        </w:rPr>
      </w:pPr>
    </w:p>
    <w:p>
      <w:pPr>
        <w:jc w:val="both"/>
        <w:ind w:right="20" w:firstLine="1735"/>
        <w:spacing w:after="0"/>
        <w:tabs>
          <w:tab w:leader="none" w:pos="2606" w:val="left"/>
        </w:tabs>
        <w:numPr>
          <w:ilvl w:val="0"/>
          <w:numId w:val="139"/>
        </w:numPr>
        <w:rPr>
          <w:rFonts w:ascii="Arial" w:cs="Arial" w:eastAsia="Arial" w:hAnsi="Arial"/>
          <w:sz w:val="20"/>
          <w:szCs w:val="20"/>
          <w:color w:val="auto"/>
        </w:rPr>
      </w:pPr>
      <w:r>
        <w:rPr>
          <w:rFonts w:ascii="Arial" w:cs="Arial" w:eastAsia="Arial" w:hAnsi="Arial"/>
          <w:sz w:val="22"/>
          <w:szCs w:val="22"/>
          <w:color w:val="auto"/>
        </w:rPr>
        <w:t>Borrowers shall ensure that all amounts due in respect of Royalties (other than Royalties that are actually sold as a part of a Permitted Royalty Stream Distribution) are paid into a Deposit Account of Borrower that is subject to a Deposit Account Control Agreement.</w:t>
      </w:r>
    </w:p>
    <w:p>
      <w:pPr>
        <w:spacing w:after="0" w:line="18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0"/>
          <w:szCs w:val="20"/>
          <w:color w:val="auto"/>
        </w:rPr>
        <w:t xml:space="preserve">Section 5.11 </w:t>
      </w:r>
      <w:r>
        <w:rPr>
          <w:rFonts w:ascii="Arial" w:cs="Arial" w:eastAsia="Arial" w:hAnsi="Arial"/>
          <w:sz w:val="20"/>
          <w:szCs w:val="20"/>
          <w:u w:val="single" w:color="auto"/>
          <w:color w:val="auto"/>
        </w:rPr>
        <w:t>Conduct of Business</w:t>
      </w:r>
      <w:r>
        <w:rPr>
          <w:rFonts w:ascii="Arial" w:cs="Arial" w:eastAsia="Arial" w:hAnsi="Arial"/>
          <w:sz w:val="21"/>
          <w:szCs w:val="21"/>
          <w:color w:val="auto"/>
        </w:rPr>
        <w:t>. No Borrower will, or will permit any Subsidiary to, directly or indirectly,</w:t>
      </w:r>
      <w:r>
        <w:rPr>
          <w:rFonts w:ascii="Arial" w:cs="Arial" w:eastAsia="Arial" w:hAnsi="Arial"/>
          <w:sz w:val="20"/>
          <w:szCs w:val="20"/>
          <w:color w:val="auto"/>
        </w:rPr>
        <w:t xml:space="preserve"> </w:t>
      </w:r>
      <w:r>
        <w:rPr>
          <w:rFonts w:ascii="Arial" w:cs="Arial" w:eastAsia="Arial" w:hAnsi="Arial"/>
          <w:sz w:val="21"/>
          <w:szCs w:val="21"/>
          <w:color w:val="auto"/>
        </w:rPr>
        <w:t>engage in any line of business other than those businesses engaged in on the Closing Date and other businesses reasonably related thereto. No Borrower will, or will permit any Subsidiary to, other than in the Ordinary Course of Business, change its normal billing payment and reimbursement policies and procedures with respect to its Accounts (including, without limitation, the amount and timing of finance charges, fees and write-offs).</w:t>
      </w:r>
    </w:p>
    <w:p>
      <w:pPr>
        <w:spacing w:after="0" w:line="17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5.12</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8"/>
          <w:szCs w:val="18"/>
          <w:color w:val="auto"/>
        </w:rPr>
        <w:t>.</w:t>
      </w:r>
    </w:p>
    <w:p>
      <w:pPr>
        <w:spacing w:after="0" w:line="229"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Section 5.13 </w:t>
      </w:r>
      <w:r>
        <w:rPr>
          <w:rFonts w:ascii="Arial" w:cs="Arial" w:eastAsia="Arial" w:hAnsi="Arial"/>
          <w:sz w:val="20"/>
          <w:szCs w:val="20"/>
          <w:u w:val="single" w:color="auto"/>
          <w:color w:val="auto"/>
        </w:rPr>
        <w:t>Limitation on Sale and Leaseback Transactions</w:t>
      </w:r>
      <w:r>
        <w:rPr>
          <w:rFonts w:ascii="Arial" w:cs="Arial" w:eastAsia="Arial" w:hAnsi="Arial"/>
          <w:sz w:val="21"/>
          <w:szCs w:val="21"/>
          <w:color w:val="auto"/>
        </w:rPr>
        <w:t>. No Borrower will, or will permit any Subsidiary to,</w:t>
      </w:r>
      <w:r>
        <w:rPr>
          <w:rFonts w:ascii="Arial" w:cs="Arial" w:eastAsia="Arial" w:hAnsi="Arial"/>
          <w:sz w:val="20"/>
          <w:szCs w:val="20"/>
          <w:color w:val="auto"/>
        </w:rPr>
        <w:t xml:space="preserve"> </w:t>
      </w:r>
      <w:r>
        <w:rPr>
          <w:rFonts w:ascii="Arial" w:cs="Arial" w:eastAsia="Arial" w:hAnsi="Arial"/>
          <w:sz w:val="21"/>
          <w:szCs w:val="21"/>
          <w:color w:val="auto"/>
        </w:rPr>
        <w:t>directly or indirectly, enter into any arrangement with any Person whereby, in a substantially contemporaneous transaction, any Borrower or any Subsidiaries sells or transfers all or substantially all of its right, title and interest in an asset and, in connection therewith, acquires or leases back the right to use such asset.</w:t>
      </w:r>
    </w:p>
    <w:p>
      <w:pPr>
        <w:spacing w:after="0" w:line="17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Deposit Accounts and Securities Accounts; Payroll and Benefits Accounts</w:t>
      </w:r>
      <w:r>
        <w:rPr>
          <w:rFonts w:ascii="Arial" w:cs="Arial" w:eastAsia="Arial" w:hAnsi="Arial"/>
          <w:sz w:val="20"/>
          <w:szCs w:val="20"/>
          <w:color w:val="auto"/>
        </w:rPr>
        <w:t>. No Borrower will, or will</w:t>
      </w:r>
      <w:r>
        <w:rPr>
          <w:rFonts w:ascii="Arial" w:cs="Arial" w:eastAsia="Arial" w:hAnsi="Arial"/>
          <w:sz w:val="19"/>
          <w:szCs w:val="19"/>
          <w:color w:val="auto"/>
        </w:rPr>
        <w:t xml:space="preserve"> </w:t>
      </w:r>
      <w:r>
        <w:rPr>
          <w:rFonts w:ascii="Arial" w:cs="Arial" w:eastAsia="Arial" w:hAnsi="Arial"/>
          <w:sz w:val="20"/>
          <w:szCs w:val="20"/>
          <w:color w:val="auto"/>
        </w:rPr>
        <w:t xml:space="preserve">permit any Subsidiary (other than an Excluded Foreign Subsidiary or an Excluded Domestic Holdco) to, directly or indirectly, establish any new Deposit Account or Securities Account without prior written notice to Agent, and unless Agent, such Borrower or such Subsidiary and the bank, financial institution or securities intermediary at which the account is to be opened enter into a Deposit Account Control Agreement or Securities Account Control Agreement prior to or concurrently with the establishment of such Deposit Account or Securities Account. Borrowers represent and warrant that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lists all of the Deposit Accounts and Securities Accounts of each Borrower. The provisions of this Section requiring Deposit Account Control Agreements shall not apply to (a) the Wells Fargo LC Cash Collateral Account during the Wells Fargo LC Period, (b) the Piper Sandler Securities Account, (c) Deposit Accounts exclusively used for payroll, payroll taxes and other employee wage and benefit payments to or for the benefit of Borrowers’ employees and identified to Agent by Borrowers as such, (d) segregated Deposit Accounts of Borrower established and maintained for the sole purpose of providing cash collateral in favor of for obligations of Borrower in respect of certain commercial credit credits provided to the extent permitted by clause (n) of the definition of permitted Debt;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aggregate amount on deposit in all such Deposit Accounts shall not at any time exceed $400,000 (the “</w:t>
      </w:r>
      <w:r>
        <w:rPr>
          <w:rFonts w:ascii="Arial" w:cs="Arial" w:eastAsia="Arial" w:hAnsi="Arial"/>
          <w:sz w:val="20"/>
          <w:szCs w:val="20"/>
          <w:b w:val="1"/>
          <w:bCs w:val="1"/>
          <w:color w:val="auto"/>
        </w:rPr>
        <w:t>Credit Card Cash Collateral Accounts</w:t>
      </w:r>
      <w:r>
        <w:rPr>
          <w:rFonts w:ascii="Arial" w:cs="Arial" w:eastAsia="Arial" w:hAnsi="Arial"/>
          <w:sz w:val="20"/>
          <w:szCs w:val="20"/>
          <w:color w:val="auto"/>
        </w:rPr>
        <w:t>”), and (e) any IXINITY Royalty Excluded Deposit Account (the Deposit Accounts and/or Securities Accounts in clauses (a) through (e), collectively, “</w:t>
      </w:r>
      <w:r>
        <w:rPr>
          <w:rFonts w:ascii="Arial" w:cs="Arial" w:eastAsia="Arial" w:hAnsi="Arial"/>
          <w:sz w:val="20"/>
          <w:szCs w:val="20"/>
          <w:b w:val="1"/>
          <w:bCs w:val="1"/>
          <w:color w:val="auto"/>
        </w:rPr>
        <w:t>Excluded Accounts</w:t>
      </w:r>
      <w:r>
        <w:rPr>
          <w:rFonts w:ascii="Arial" w:cs="Arial" w:eastAsia="Arial" w:hAnsi="Arial"/>
          <w:sz w:val="20"/>
          <w:szCs w:val="20"/>
          <w:color w:val="auto"/>
        </w:rPr>
        <w:t>”). Except during the post-closing period provided in paragraph 3 of Schedule 7.4, at all times that any Obligations remain outstanding, Borrower shall maintain one or more separate Deposit Accounts to hold any and all amounts to be used for payroll, payroll taxes and other employee wage and benefit payments, and shall not commingle any monies allocated for such purposes with funds in any other Deposit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9" w:name="page180"/>
    <w:bookmarkEnd w:id="179"/>
    <w:p>
      <w:pPr>
        <w:jc w:val="both"/>
        <w:spacing w:after="0" w:line="246" w:lineRule="auto"/>
        <w:rPr>
          <w:sz w:val="20"/>
          <w:szCs w:val="20"/>
          <w:color w:val="auto"/>
        </w:rPr>
      </w:pPr>
      <w:r>
        <w:rPr>
          <w:rFonts w:ascii="Arial" w:cs="Arial" w:eastAsia="Arial" w:hAnsi="Arial"/>
          <w:sz w:val="21"/>
          <w:szCs w:val="21"/>
          <w:color w:val="auto"/>
        </w:rPr>
        <w:t>Account. With respect to accounts subject to a Deposit Account Control Agreement or Securities Account Control Agreement, Agent shall not deliver to the relevant depository, securities intermediary or commodities intermediary a notice or other instruction (i) directing disposition of funds in such account or (ii) which provides for exclusive control over such account by Agent, unless in either case an Event of Default has occurred and is continuing. Notwithstanding any other provision to the contrary contained herein, upon the expiration of the Wells Fargo LC Period, Borrowers shall promptly transfer all funds on deposit in the Wells Fargo LC Cash Collateral Account to a Deposit Account or Securities Account subject to a Deposit Account Control Agreement or a Securities Account Control Agreement in favor of Agent.</w:t>
      </w:r>
    </w:p>
    <w:p>
      <w:pPr>
        <w:spacing w:after="0" w:line="18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Compliance with Anti-Terrorism Laws</w:t>
      </w:r>
      <w:r>
        <w:rPr>
          <w:rFonts w:ascii="Arial" w:cs="Arial" w:eastAsia="Arial" w:hAnsi="Arial"/>
          <w:sz w:val="20"/>
          <w:szCs w:val="20"/>
          <w:color w:val="auto"/>
        </w:rPr>
        <w:t>. Agent hereby notifies Borrowers that pursuant to the</w:t>
      </w:r>
      <w:r>
        <w:rPr>
          <w:rFonts w:ascii="Arial" w:cs="Arial" w:eastAsia="Arial" w:hAnsi="Arial"/>
          <w:sz w:val="19"/>
          <w:szCs w:val="19"/>
          <w:color w:val="auto"/>
        </w:rPr>
        <w:t xml:space="preserve"> </w:t>
      </w:r>
      <w:r>
        <w:rPr>
          <w:rFonts w:ascii="Arial" w:cs="Arial" w:eastAsia="Arial" w:hAnsi="Arial"/>
          <w:sz w:val="20"/>
          <w:szCs w:val="20"/>
          <w:color w:val="auto"/>
        </w:rPr>
        <w:t>requirements of Anti-Terrorism Laws, and Agent’s policies and practices, Agent is required to obtain, verify and record certain information and documentation that identifies Borrowers and their principals, which information includes the name and address of each Borrower and its principals and such other information that will allow Agent to identify such party in accordance with Anti-Terrorism Laws. No Borrower will, or will permit any Subsidiary to, directly or indirectly, knowingly enter into any Material Contracts with any Blocked Person or any Person listed on the OFAC Lists. Each Borrower shall immediately notify Agent if such Borrower has knowledge that any Borrower, any additional Credit Party or any of their respective Affiliates or agents acting or benefiting in any capacity in connection with the transactions contemplated by this Agreement is or becomes a Blocked Person or (a) is convicted on, (b) pleads nolo contendere to, (c) is indicted on, or (d) is arraigned and held over on charges involving money laundering or predicate crimes to money laundering. No Borrower will, or will permit any Subsidiary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79"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u w:val="single" w:color="auto"/>
          <w:color w:val="auto"/>
        </w:rPr>
        <w:t>Change in Accounting</w:t>
      </w:r>
      <w:r>
        <w:rPr>
          <w:rFonts w:ascii="Arial" w:cs="Arial" w:eastAsia="Arial" w:hAnsi="Arial"/>
          <w:sz w:val="20"/>
          <w:szCs w:val="20"/>
          <w:color w:val="auto"/>
        </w:rPr>
        <w:t>. No Borrower shall, and no Borrower shall suffer or permit any of its</w:t>
      </w:r>
      <w:r>
        <w:rPr>
          <w:rFonts w:ascii="Arial" w:cs="Arial" w:eastAsia="Arial" w:hAnsi="Arial"/>
          <w:sz w:val="19"/>
          <w:szCs w:val="19"/>
          <w:color w:val="auto"/>
        </w:rPr>
        <w:t xml:space="preserve"> </w:t>
      </w:r>
      <w:r>
        <w:rPr>
          <w:rFonts w:ascii="Arial" w:cs="Arial" w:eastAsia="Arial" w:hAnsi="Arial"/>
          <w:sz w:val="20"/>
          <w:szCs w:val="20"/>
          <w:color w:val="auto"/>
        </w:rPr>
        <w:t>Subsidiaries to, (i) make any significant change in accounting treatment or reporting practices, except as required by GAAP or</w:t>
      </w:r>
    </w:p>
    <w:p>
      <w:pPr>
        <w:spacing w:after="0" w:line="2" w:lineRule="exact"/>
        <w:rPr>
          <w:sz w:val="20"/>
          <w:szCs w:val="20"/>
          <w:color w:val="auto"/>
        </w:rPr>
      </w:pPr>
    </w:p>
    <w:p>
      <w:pPr>
        <w:ind w:firstLine="8"/>
        <w:spacing w:after="0" w:line="236" w:lineRule="auto"/>
        <w:tabs>
          <w:tab w:leader="none" w:pos="32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change the fiscal year or method for determining fiscal quarters of any Credit Party or of any consolidated Subsidiary of any Credit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0" w:name="page181"/>
    <w:bookmarkEnd w:id="180"/>
    <w:p>
      <w:pPr>
        <w:ind w:left="4180"/>
        <w:spacing w:after="0"/>
        <w:rPr>
          <w:sz w:val="20"/>
          <w:szCs w:val="20"/>
          <w:color w:val="auto"/>
        </w:rPr>
      </w:pPr>
      <w:r>
        <w:rPr>
          <w:rFonts w:ascii="Arial" w:cs="Arial" w:eastAsia="Arial" w:hAnsi="Arial"/>
          <w:sz w:val="20"/>
          <w:szCs w:val="20"/>
          <w:b w:val="1"/>
          <w:bCs w:val="1"/>
          <w:color w:val="auto"/>
        </w:rPr>
        <w:t>ARTICLE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 RESERVED</w:t>
      </w:r>
    </w:p>
    <w:p>
      <w:pPr>
        <w:spacing w:after="0" w:line="211" w:lineRule="exact"/>
        <w:rPr>
          <w:sz w:val="20"/>
          <w:szCs w:val="20"/>
          <w:color w:val="auto"/>
        </w:rPr>
      </w:pPr>
    </w:p>
    <w:p>
      <w:pPr>
        <w:sectPr>
          <w:pgSz w:w="11900" w:h="16838" w:orient="portrait"/>
          <w:cols w:equalWidth="0" w:num="2">
            <w:col w:w="5220" w:space="660"/>
            <w:col w:w="5360"/>
          </w:cols>
          <w:pgMar w:left="320" w:top="549" w:right="339" w:bottom="1440" w:gutter="0" w:footer="0" w:header="0"/>
        </w:sectPr>
      </w:pP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ARTICLE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 CONDITIONS</w:t>
      </w:r>
    </w:p>
    <w:p>
      <w:pPr>
        <w:spacing w:after="0" w:line="200" w:lineRule="exact"/>
        <w:rPr>
          <w:sz w:val="20"/>
          <w:szCs w:val="20"/>
          <w:color w:val="auto"/>
        </w:rPr>
      </w:pPr>
    </w:p>
    <w:p>
      <w:pPr>
        <w:sectPr>
          <w:pgSz w:w="11900" w:h="16838" w:orient="portrait"/>
          <w:cols w:equalWidth="0" w:num="2">
            <w:col w:w="5120" w:space="660"/>
            <w:col w:w="5460"/>
          </w:cols>
          <w:pgMar w:left="320" w:top="549" w:right="339" w:bottom="1440" w:gutter="0" w:footer="0" w:header="0"/>
          <w:type w:val="continuous"/>
        </w:sectPr>
      </w:pPr>
    </w:p>
    <w:p>
      <w:pPr>
        <w:spacing w:after="0" w:line="17"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0"/>
          <w:szCs w:val="20"/>
          <w:color w:val="auto"/>
        </w:rPr>
        <w:t xml:space="preserve">Section 7.1 </w:t>
      </w:r>
      <w:r>
        <w:rPr>
          <w:rFonts w:ascii="Arial" w:cs="Arial" w:eastAsia="Arial" w:hAnsi="Arial"/>
          <w:sz w:val="20"/>
          <w:szCs w:val="20"/>
          <w:u w:val="single" w:color="auto"/>
          <w:color w:val="auto"/>
        </w:rPr>
        <w:t>Conditions to Closing</w:t>
      </w:r>
      <w:r>
        <w:rPr>
          <w:rFonts w:ascii="Arial" w:cs="Arial" w:eastAsia="Arial" w:hAnsi="Arial"/>
          <w:sz w:val="21"/>
          <w:szCs w:val="21"/>
          <w:color w:val="auto"/>
        </w:rPr>
        <w:t>. The obligation of each Lender to make the initial Loans</w:t>
      </w:r>
      <w:r>
        <w:rPr>
          <w:sz w:val="1"/>
          <w:szCs w:val="1"/>
          <w:color w:val="auto"/>
        </w:rPr>
        <w:drawing>
          <wp:inline distT="0" distB="0" distL="0" distR="0">
            <wp:extent cx="43180" cy="12382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123825"/>
                    </a:xfrm>
                    <a:prstGeom prst="rect">
                      <a:avLst/>
                    </a:prstGeom>
                    <a:noFill/>
                    <a:ln>
                      <a:noFill/>
                    </a:ln>
                  </pic:spPr>
                </pic:pic>
              </a:graphicData>
            </a:graphic>
          </wp:inline>
        </w:drawing>
      </w:r>
      <w:r>
        <w:rPr>
          <w:rFonts w:ascii="Arial" w:cs="Arial" w:eastAsia="Arial" w:hAnsi="Arial"/>
          <w:sz w:val="22"/>
          <w:szCs w:val="22"/>
          <w:color w:val="auto"/>
        </w:rPr>
        <w:t xml:space="preserve">on the Closing Date shall be subject to the receipt by Agent of each agreement, document and instrument set forth on the closing checklist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 each in form and substance reasonably satisfactory to Agent, and to the satisfaction of the following conditions precedent, each to the reasonable satisfaction of Agent:</w:t>
      </w:r>
    </w:p>
    <w:p>
      <w:pPr>
        <w:spacing w:after="0" w:line="185" w:lineRule="exact"/>
        <w:rPr>
          <w:sz w:val="20"/>
          <w:szCs w:val="20"/>
          <w:color w:val="auto"/>
        </w:rPr>
      </w:pPr>
    </w:p>
    <w:p>
      <w:pPr>
        <w:ind w:left="120" w:firstLine="1706"/>
        <w:spacing w:after="0" w:line="274" w:lineRule="auto"/>
        <w:tabs>
          <w:tab w:leader="none" w:pos="2698" w:val="left"/>
        </w:tabs>
        <w:numPr>
          <w:ilvl w:val="0"/>
          <w:numId w:val="141"/>
        </w:numPr>
        <w:rPr>
          <w:rFonts w:ascii="Arial" w:cs="Arial" w:eastAsia="Arial" w:hAnsi="Arial"/>
          <w:sz w:val="19"/>
          <w:szCs w:val="19"/>
          <w:color w:val="auto"/>
        </w:rPr>
      </w:pPr>
      <w:r>
        <w:rPr>
          <w:rFonts w:ascii="Arial" w:cs="Arial" w:eastAsia="Arial" w:hAnsi="Arial"/>
          <w:sz w:val="21"/>
          <w:szCs w:val="21"/>
          <w:color w:val="auto"/>
        </w:rPr>
        <w:t>the receipt by Agent of executed counterparts of this Agreement and the other Financing Documents as set forth in the closing checklist provided by Agent to the Borrowers prior to the Closing Date;</w:t>
      </w:r>
    </w:p>
    <w:p>
      <w:pPr>
        <w:spacing w:after="0" w:line="150" w:lineRule="exact"/>
        <w:rPr>
          <w:rFonts w:ascii="Arial" w:cs="Arial" w:eastAsia="Arial" w:hAnsi="Arial"/>
          <w:sz w:val="19"/>
          <w:szCs w:val="19"/>
          <w:color w:val="auto"/>
        </w:rPr>
      </w:pPr>
    </w:p>
    <w:p>
      <w:pPr>
        <w:ind w:left="2700" w:hanging="874"/>
        <w:spacing w:after="0"/>
        <w:tabs>
          <w:tab w:leader="none" w:pos="2700" w:val="left"/>
        </w:tabs>
        <w:numPr>
          <w:ilvl w:val="0"/>
          <w:numId w:val="141"/>
        </w:numPr>
        <w:rPr>
          <w:rFonts w:ascii="Arial" w:cs="Arial" w:eastAsia="Arial" w:hAnsi="Arial"/>
          <w:sz w:val="18"/>
          <w:szCs w:val="18"/>
          <w:color w:val="auto"/>
        </w:rPr>
      </w:pPr>
      <w:r>
        <w:rPr>
          <w:rFonts w:ascii="Arial" w:cs="Arial" w:eastAsia="Arial" w:hAnsi="Arial"/>
          <w:sz w:val="19"/>
          <w:szCs w:val="19"/>
          <w:color w:val="auto"/>
        </w:rPr>
        <w:t>the payment of all fees, expenses and other amounts due and payable under each Financing</w:t>
      </w:r>
    </w:p>
    <w:p>
      <w:pPr>
        <w:spacing w:after="0" w:line="4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22"/>
          <w:szCs w:val="22"/>
          <w:color w:val="auto"/>
        </w:rPr>
        <w:t>Document;</w:t>
      </w:r>
    </w:p>
    <w:p>
      <w:pPr>
        <w:spacing w:after="0" w:line="188" w:lineRule="exact"/>
        <w:rPr>
          <w:rFonts w:ascii="Arial" w:cs="Arial" w:eastAsia="Arial" w:hAnsi="Arial"/>
          <w:sz w:val="18"/>
          <w:szCs w:val="18"/>
          <w:color w:val="auto"/>
        </w:rPr>
      </w:pPr>
    </w:p>
    <w:p>
      <w:pPr>
        <w:jc w:val="both"/>
        <w:ind w:left="120" w:right="20" w:firstLine="1706"/>
        <w:spacing w:after="0"/>
        <w:tabs>
          <w:tab w:leader="none" w:pos="2698" w:val="left"/>
        </w:tabs>
        <w:numPr>
          <w:ilvl w:val="0"/>
          <w:numId w:val="141"/>
        </w:numPr>
        <w:rPr>
          <w:rFonts w:ascii="Arial" w:cs="Arial" w:eastAsia="Arial" w:hAnsi="Arial"/>
          <w:sz w:val="20"/>
          <w:szCs w:val="20"/>
          <w:color w:val="auto"/>
        </w:rPr>
      </w:pPr>
      <w:r>
        <w:rPr>
          <w:rFonts w:ascii="Arial" w:cs="Arial" w:eastAsia="Arial" w:hAnsi="Arial"/>
          <w:sz w:val="22"/>
          <w:szCs w:val="22"/>
          <w:color w:val="auto"/>
        </w:rPr>
        <w:t>since December 31, 2019, the absence of any material adverse change in any aspect of the business, operations, properties, or financial condition of any Credit Party, or any event or condition which would reasonably be expected to result in such a material adverse change;</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Each Lender, by delivering its signature page to this Agreement, shall be deemed to have acknowledged receipt of, and consented to and approved, each Financing Document, each additional Financing Document and each other document, agreement and/or instrument required to be approved by Agent, Required Lenders or Lenders, as applicable, on the Closing Date.</w:t>
      </w:r>
    </w:p>
    <w:p>
      <w:pPr>
        <w:spacing w:after="0" w:line="165"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7.2</w:t>
      </w:r>
      <w:r>
        <w:rPr>
          <w:sz w:val="20"/>
          <w:szCs w:val="20"/>
          <w:color w:val="auto"/>
        </w:rPr>
        <w:tab/>
      </w:r>
      <w:r>
        <w:rPr>
          <w:rFonts w:ascii="Arial" w:cs="Arial" w:eastAsia="Arial" w:hAnsi="Arial"/>
          <w:sz w:val="18"/>
          <w:szCs w:val="18"/>
          <w:u w:val="single" w:color="auto"/>
          <w:color w:val="auto"/>
        </w:rPr>
        <w:t>Conditions to Each Loan</w:t>
      </w:r>
      <w:r>
        <w:rPr>
          <w:rFonts w:ascii="Arial" w:cs="Arial" w:eastAsia="Arial" w:hAnsi="Arial"/>
          <w:sz w:val="19"/>
          <w:szCs w:val="19"/>
          <w:color w:val="auto"/>
        </w:rPr>
        <w:t>. The obligation of the Lenders to make a Loan or an advance in respect of any</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Loan, is subject to the satisfaction of the following additional conditions:</w:t>
      </w:r>
    </w:p>
    <w:p>
      <w:pPr>
        <w:spacing w:after="0" w:line="188" w:lineRule="exact"/>
        <w:rPr>
          <w:sz w:val="20"/>
          <w:szCs w:val="20"/>
          <w:color w:val="auto"/>
        </w:rPr>
      </w:pPr>
    </w:p>
    <w:p>
      <w:pPr>
        <w:ind w:left="2600" w:hanging="865"/>
        <w:spacing w:after="0"/>
        <w:tabs>
          <w:tab w:leader="none" w:pos="2600" w:val="left"/>
        </w:tabs>
        <w:numPr>
          <w:ilvl w:val="0"/>
          <w:numId w:val="142"/>
        </w:numPr>
        <w:rPr>
          <w:rFonts w:ascii="Arial" w:cs="Arial" w:eastAsia="Arial" w:hAnsi="Arial"/>
          <w:sz w:val="18"/>
          <w:szCs w:val="18"/>
          <w:color w:val="auto"/>
        </w:rPr>
      </w:pPr>
      <w:r>
        <w:rPr>
          <w:rFonts w:ascii="Arial" w:cs="Arial" w:eastAsia="Arial" w:hAnsi="Arial"/>
          <w:sz w:val="19"/>
          <w:szCs w:val="19"/>
          <w:color w:val="auto"/>
        </w:rPr>
        <w:t>the fact that, immediately before and after such advance, no Default or Event of Default shall have</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occurred and be continuing;</w:t>
      </w:r>
    </w:p>
    <w:p>
      <w:pPr>
        <w:spacing w:after="0" w:line="188" w:lineRule="exact"/>
        <w:rPr>
          <w:rFonts w:ascii="Arial" w:cs="Arial" w:eastAsia="Arial" w:hAnsi="Arial"/>
          <w:sz w:val="18"/>
          <w:szCs w:val="18"/>
          <w:color w:val="auto"/>
        </w:rPr>
      </w:pPr>
    </w:p>
    <w:p>
      <w:pPr>
        <w:jc w:val="both"/>
        <w:ind w:firstLine="1735"/>
        <w:spacing w:after="0" w:line="238" w:lineRule="auto"/>
        <w:tabs>
          <w:tab w:leader="none" w:pos="2606" w:val="left"/>
        </w:tabs>
        <w:numPr>
          <w:ilvl w:val="0"/>
          <w:numId w:val="142"/>
        </w:numPr>
        <w:rPr>
          <w:rFonts w:ascii="Arial" w:cs="Arial" w:eastAsia="Arial" w:hAnsi="Arial"/>
          <w:sz w:val="20"/>
          <w:szCs w:val="20"/>
          <w:color w:val="auto"/>
        </w:rPr>
      </w:pPr>
      <w:r>
        <w:rPr>
          <w:rFonts w:ascii="Arial" w:cs="Arial" w:eastAsia="Arial" w:hAnsi="Arial"/>
          <w:sz w:val="22"/>
          <w:szCs w:val="22"/>
          <w:color w:val="auto"/>
        </w:rPr>
        <w:t>the fact that the representations and warranties of each Credit Party contained in the Financing Documents shall be true, correct and complete on and as of the Closing Date, except to the extent that any such representation or warranty relates to a specific date (in which case such representation or warranty shall be true and correct as of such earlier date); and</w:t>
      </w:r>
    </w:p>
    <w:p>
      <w:pPr>
        <w:spacing w:after="0" w:line="184" w:lineRule="exact"/>
        <w:rPr>
          <w:rFonts w:ascii="Arial" w:cs="Arial" w:eastAsia="Arial" w:hAnsi="Arial"/>
          <w:sz w:val="20"/>
          <w:szCs w:val="20"/>
          <w:color w:val="auto"/>
        </w:rPr>
      </w:pPr>
    </w:p>
    <w:p>
      <w:pPr>
        <w:ind w:left="2660" w:hanging="925"/>
        <w:spacing w:after="0"/>
        <w:tabs>
          <w:tab w:leader="none" w:pos="2660" w:val="left"/>
        </w:tabs>
        <w:numPr>
          <w:ilvl w:val="0"/>
          <w:numId w:val="142"/>
        </w:numPr>
        <w:rPr>
          <w:rFonts w:ascii="Arial" w:cs="Arial" w:eastAsia="Arial" w:hAnsi="Arial"/>
          <w:sz w:val="18"/>
          <w:szCs w:val="18"/>
          <w:color w:val="auto"/>
        </w:rPr>
      </w:pPr>
      <w:r>
        <w:rPr>
          <w:rFonts w:ascii="Arial" w:cs="Arial" w:eastAsia="Arial" w:hAnsi="Arial"/>
          <w:sz w:val="19"/>
          <w:szCs w:val="19"/>
          <w:color w:val="auto"/>
        </w:rPr>
        <w:t>since the Closing Date, no event has occurred which would be reasonably likely to have a Material</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Adverse Effect.</w:t>
      </w:r>
    </w:p>
    <w:p>
      <w:pPr>
        <w:spacing w:after="0" w:line="19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Each giving of a Notice of Borrowing hereunder and each acceptance by any Borrower of the proceeds of any Loan made hereunder shall be deemed to be a representation and warranty by each Borrower on the date of such notice or acceptance as to the satisfaction of the conditions specified in this Section.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81" w:name="page182"/>
    <w:bookmarkEnd w:id="181"/>
    <w:p>
      <w:pPr>
        <w:jc w:val="both"/>
        <w:ind w:firstLine="864"/>
        <w:spacing w:after="0" w:line="259"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Searches</w:t>
      </w:r>
      <w:r>
        <w:rPr>
          <w:rFonts w:ascii="Arial" w:cs="Arial" w:eastAsia="Arial" w:hAnsi="Arial"/>
          <w:sz w:val="20"/>
          <w:szCs w:val="20"/>
          <w:color w:val="auto"/>
        </w:rPr>
        <w:t>. Before the Closing Date, and thereafter (as and when determined by Agent in its</w:t>
      </w:r>
      <w:r>
        <w:rPr>
          <w:rFonts w:ascii="Arial" w:cs="Arial" w:eastAsia="Arial" w:hAnsi="Arial"/>
          <w:sz w:val="19"/>
          <w:szCs w:val="19"/>
          <w:color w:val="auto"/>
        </w:rPr>
        <w:t xml:space="preserve"> </w:t>
      </w:r>
      <w:r>
        <w:rPr>
          <w:rFonts w:ascii="Arial" w:cs="Arial" w:eastAsia="Arial" w:hAnsi="Arial"/>
          <w:sz w:val="20"/>
          <w:szCs w:val="20"/>
          <w:color w:val="auto"/>
        </w:rPr>
        <w:t>discretion), Agent shall have the right to perform, all at Borrowers’ reasonable expense, the searches described in clauses (a), (b), and (c) below against Borrowers and any other Credit Party, the results of which are to be consistent with Borrowers’ representations and warranties under this Agreement and the satisfactory results of which shall be a condition precedent to all advances of Loan proceeds: (a) UCC searches with the Secretary of State of the jurisdiction in which the applicable Person is organized; (b) judgment, pending litigation, federal tax lien, personal property tax lien, and corporate and partnership tax lien searches, in each jurisdiction searched under clause (a) above; and (c) searches of applicable corporate, limited liability company, partnership and related records to confirm the continued existence, organization and good standing of the applicable Person and the exact legal name under which such Person is organized.</w:t>
      </w:r>
    </w:p>
    <w:p>
      <w:pPr>
        <w:spacing w:after="0" w:line="169"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Section 7.4 </w:t>
      </w:r>
      <w:r>
        <w:rPr>
          <w:rFonts w:ascii="Arial" w:cs="Arial" w:eastAsia="Arial" w:hAnsi="Arial"/>
          <w:sz w:val="20"/>
          <w:szCs w:val="20"/>
          <w:u w:val="single" w:color="auto"/>
          <w:color w:val="auto"/>
        </w:rPr>
        <w:t>Post Closing Requirements</w:t>
      </w:r>
      <w:r>
        <w:rPr>
          <w:rFonts w:ascii="Arial" w:cs="Arial" w:eastAsia="Arial" w:hAnsi="Arial"/>
          <w:sz w:val="21"/>
          <w:szCs w:val="21"/>
          <w:color w:val="auto"/>
        </w:rPr>
        <w:t>. Borrowers shall complete each of the post closing obligations and/or</w:t>
      </w:r>
      <w:r>
        <w:rPr>
          <w:rFonts w:ascii="Arial" w:cs="Arial" w:eastAsia="Arial" w:hAnsi="Arial"/>
          <w:sz w:val="20"/>
          <w:szCs w:val="20"/>
          <w:color w:val="auto"/>
        </w:rPr>
        <w:t xml:space="preserve"> </w:t>
      </w:r>
      <w:r>
        <w:rPr>
          <w:rFonts w:ascii="Arial" w:cs="Arial" w:eastAsia="Arial" w:hAnsi="Arial"/>
          <w:sz w:val="21"/>
          <w:szCs w:val="21"/>
          <w:color w:val="auto"/>
        </w:rPr>
        <w:t xml:space="preserve">provide to Agent each of the documents, instruments, agreements and information listed on </w:t>
      </w:r>
      <w:r>
        <w:rPr>
          <w:rFonts w:ascii="Arial" w:cs="Arial" w:eastAsia="Arial" w:hAnsi="Arial"/>
          <w:sz w:val="21"/>
          <w:szCs w:val="21"/>
          <w:u w:val="single" w:color="auto"/>
          <w:color w:val="auto"/>
        </w:rPr>
        <w:t>Schedule 7.4</w:t>
      </w:r>
      <w:r>
        <w:rPr>
          <w:rFonts w:ascii="Arial" w:cs="Arial" w:eastAsia="Arial" w:hAnsi="Arial"/>
          <w:sz w:val="21"/>
          <w:szCs w:val="21"/>
          <w:color w:val="auto"/>
        </w:rPr>
        <w:t xml:space="preserve"> attached hereto on or before the date set forth for each such item thereon (or such later date as Agent may agree in its sole discretion), each of which shall be completed or provided in form and substance reasonably satisfactory to Agent.</w:t>
      </w:r>
    </w:p>
    <w:p>
      <w:pPr>
        <w:spacing w:after="0" w:line="172" w:lineRule="exact"/>
        <w:rPr>
          <w:sz w:val="20"/>
          <w:szCs w:val="20"/>
          <w:color w:val="auto"/>
        </w:rPr>
      </w:pPr>
    </w:p>
    <w:p>
      <w:pPr>
        <w:ind w:left="3500"/>
        <w:spacing w:after="0"/>
        <w:tabs>
          <w:tab w:leader="none" w:pos="5180" w:val="left"/>
        </w:tabs>
        <w:rPr>
          <w:sz w:val="20"/>
          <w:szCs w:val="20"/>
          <w:color w:val="auto"/>
        </w:rPr>
      </w:pPr>
      <w:r>
        <w:rPr>
          <w:rFonts w:ascii="Arial" w:cs="Arial" w:eastAsia="Arial" w:hAnsi="Arial"/>
          <w:sz w:val="20"/>
          <w:szCs w:val="20"/>
          <w:b w:val="1"/>
          <w:bCs w:val="1"/>
          <w:color w:val="auto"/>
        </w:rPr>
        <w:t>ARTICLE 8</w:t>
      </w:r>
      <w:r>
        <w:rPr>
          <w:sz w:val="20"/>
          <w:szCs w:val="20"/>
          <w:color w:val="auto"/>
        </w:rPr>
        <w:tab/>
      </w:r>
      <w:r>
        <w:rPr>
          <w:rFonts w:ascii="Arial" w:cs="Arial" w:eastAsia="Arial" w:hAnsi="Arial"/>
          <w:sz w:val="19"/>
          <w:szCs w:val="19"/>
          <w:b w:val="1"/>
          <w:bCs w:val="1"/>
          <w:color w:val="auto"/>
        </w:rPr>
        <w:t>– REGULATORY MATTERS</w:t>
      </w:r>
    </w:p>
    <w:p>
      <w:pPr>
        <w:spacing w:after="0" w:line="217"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7"/>
          <w:szCs w:val="17"/>
          <w:color w:val="auto"/>
        </w:rPr>
        <w:t>Reserved</w:t>
      </w:r>
      <w:r>
        <w:rPr>
          <w:rFonts w:ascii="Arial" w:cs="Arial" w:eastAsia="Arial" w:hAnsi="Arial"/>
          <w:sz w:val="18"/>
          <w:szCs w:val="18"/>
          <w:color w:val="auto"/>
        </w:rPr>
        <w:t>.</w:t>
      </w:r>
    </w:p>
    <w:p>
      <w:pPr>
        <w:spacing w:after="0" w:line="229"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Representations and Warranties</w:t>
      </w:r>
      <w:r>
        <w:rPr>
          <w:rFonts w:ascii="Arial" w:cs="Arial" w:eastAsia="Arial" w:hAnsi="Arial"/>
          <w:sz w:val="19"/>
          <w:szCs w:val="19"/>
          <w:color w:val="auto"/>
        </w:rPr>
        <w:t>. To induce Agent and Lenders to enter into this Agreement and to make</w:t>
      </w:r>
      <w:r>
        <w:rPr>
          <w:rFonts w:ascii="Arial" w:cs="Arial" w:eastAsia="Arial" w:hAnsi="Arial"/>
          <w:sz w:val="18"/>
          <w:szCs w:val="18"/>
          <w:color w:val="auto"/>
        </w:rPr>
        <w:t xml:space="preserve"> </w:t>
      </w:r>
      <w:r>
        <w:rPr>
          <w:rFonts w:ascii="Arial" w:cs="Arial" w:eastAsia="Arial" w:hAnsi="Arial"/>
          <w:sz w:val="19"/>
          <w:szCs w:val="19"/>
          <w:color w:val="auto"/>
        </w:rPr>
        <w:t xml:space="preserve">credit accommodations contemplated hereby, Borrowers hereby represent and warrant that all of the information regarding the Borrowers set forth in </w:t>
      </w:r>
      <w:r>
        <w:rPr>
          <w:rFonts w:ascii="Arial" w:cs="Arial" w:eastAsia="Arial" w:hAnsi="Arial"/>
          <w:sz w:val="19"/>
          <w:szCs w:val="19"/>
          <w:u w:val="single" w:color="auto"/>
          <w:color w:val="auto"/>
        </w:rPr>
        <w:t>Schedule 8.2(a)</w:t>
      </w:r>
      <w:r>
        <w:rPr>
          <w:rFonts w:ascii="Arial" w:cs="Arial" w:eastAsia="Arial" w:hAnsi="Arial"/>
          <w:sz w:val="19"/>
          <w:szCs w:val="19"/>
          <w:color w:val="auto"/>
        </w:rPr>
        <w:t xml:space="preserve"> is true, complete and correct, and that, except as disclosed in </w:t>
      </w:r>
      <w:r>
        <w:rPr>
          <w:rFonts w:ascii="Arial" w:cs="Arial" w:eastAsia="Arial" w:hAnsi="Arial"/>
          <w:sz w:val="19"/>
          <w:szCs w:val="19"/>
          <w:u w:val="single" w:color="auto"/>
          <w:color w:val="auto"/>
        </w:rPr>
        <w:t>Schedule 8.2(b)</w:t>
      </w:r>
      <w:r>
        <w:rPr>
          <w:rFonts w:ascii="Arial" w:cs="Arial" w:eastAsia="Arial" w:hAnsi="Arial"/>
          <w:sz w:val="19"/>
          <w:szCs w:val="19"/>
          <w:color w:val="auto"/>
        </w:rPr>
        <w:t>, the following statements are true, complete and correct as of the Closing Date, and Borrowers hereby covenant and agree to notify Agent within three (3) Business Days (but in any event prior to Borrowers submitting any requests for advances of reserves or escrows or fundings of credit facility proceeds under this Agreement) following the occurrence of any facts, events or circumstances known to a Borrower, whether threatened, existing or pending, that would make any of the following representations and warranties materially untrue, incomplete or incorrect (together with such supporting data and information as shall be necessary to fully explain to Agent the scope and nature of the fact, event or circumstance), and shall provide to Agent within two (2) Business Days of Agent’s request, such additional information as Agent shall request regarding such disclosure:</w:t>
      </w:r>
    </w:p>
    <w:p>
      <w:pPr>
        <w:spacing w:after="0" w:line="165" w:lineRule="exact"/>
        <w:rPr>
          <w:sz w:val="20"/>
          <w:szCs w:val="20"/>
          <w:color w:val="auto"/>
        </w:rPr>
      </w:pPr>
    </w:p>
    <w:p>
      <w:pPr>
        <w:ind w:right="20" w:firstLine="1735"/>
        <w:spacing w:after="0" w:line="260" w:lineRule="auto"/>
        <w:tabs>
          <w:tab w:leader="none" w:pos="2595"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Disclosure</w:t>
      </w:r>
      <w:r>
        <w:rPr>
          <w:rFonts w:ascii="Arial" w:cs="Arial" w:eastAsia="Arial" w:hAnsi="Arial"/>
          <w:sz w:val="20"/>
          <w:szCs w:val="20"/>
          <w:color w:val="auto"/>
        </w:rPr>
        <w:t xml:space="preserve">. All of Borrower’s Products and Regulatory Required Permits are listed on </w:t>
      </w:r>
      <w:r>
        <w:rPr>
          <w:rFonts w:ascii="Arial" w:cs="Arial" w:eastAsia="Arial" w:hAnsi="Arial"/>
          <w:sz w:val="20"/>
          <w:szCs w:val="20"/>
          <w:u w:val="single" w:color="auto"/>
          <w:color w:val="auto"/>
        </w:rPr>
        <w:t>Schedule 8.2(a</w:t>
      </w:r>
      <w:r>
        <w:rPr>
          <w:rFonts w:ascii="Arial" w:cs="Arial" w:eastAsia="Arial" w:hAnsi="Arial"/>
          <w:sz w:val="20"/>
          <w:szCs w:val="20"/>
          <w:color w:val="auto"/>
        </w:rPr>
        <w:t>) (as updated from time to time pursuant to Section 4.15).</w:t>
      </w:r>
    </w:p>
    <w:p>
      <w:pPr>
        <w:spacing w:after="0" w:line="176" w:lineRule="exact"/>
        <w:rPr>
          <w:rFonts w:ascii="Arial" w:cs="Arial" w:eastAsia="Arial" w:hAnsi="Arial"/>
          <w:sz w:val="20"/>
          <w:szCs w:val="20"/>
          <w:color w:val="auto"/>
        </w:rPr>
      </w:pPr>
    </w:p>
    <w:p>
      <w:pPr>
        <w:jc w:val="both"/>
        <w:ind w:firstLine="1735"/>
        <w:spacing w:after="0" w:line="243" w:lineRule="auto"/>
        <w:tabs>
          <w:tab w:leader="none" w:pos="2606"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Permits</w:t>
      </w:r>
      <w:r>
        <w:rPr>
          <w:rFonts w:ascii="Arial" w:cs="Arial" w:eastAsia="Arial" w:hAnsi="Arial"/>
          <w:sz w:val="20"/>
          <w:szCs w:val="20"/>
          <w:color w:val="auto"/>
        </w:rPr>
        <w:t>. Borrowers have (i) each material Permit, and have made all material declarations and filings relating to such Permits with, all applicable Governmental Authorities, all self regulatory authorities and all courts and other tribunals necessary to engage in the ownership, management and operation of the business or the assets of any Borrower, and (ii) received no written notice from any Governmental Authority stating that it is limiting, suspending or revoking any such Permit where such limiting, suspending or revoking would reasonably be expected to have a Material Adverse Effect. Borrower has delivered to Agent a copy of all Permits requested by Agent as of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2" w:name="page183"/>
    <w:bookmarkEnd w:id="182"/>
    <w:p>
      <w:pPr>
        <w:jc w:val="both"/>
        <w:spacing w:after="0" w:line="250" w:lineRule="auto"/>
        <w:rPr>
          <w:sz w:val="20"/>
          <w:szCs w:val="20"/>
          <w:color w:val="auto"/>
        </w:rPr>
      </w:pPr>
      <w:r>
        <w:rPr>
          <w:rFonts w:ascii="Arial" w:cs="Arial" w:eastAsia="Arial" w:hAnsi="Arial"/>
          <w:sz w:val="20"/>
          <w:szCs w:val="20"/>
          <w:color w:val="auto"/>
        </w:rPr>
        <w:t>Closing Date or to the extent requested by Agent pursuant to Section 4.17. All such Permits are valid and in full force and effect and Borrowers are in material compliance with the terms and conditions of all such Permits, except where failure to be in such compliance or for a Permit to be valid and in full force and effect would not have a Material Adverse Effect.</w:t>
      </w:r>
    </w:p>
    <w:p>
      <w:pPr>
        <w:spacing w:after="0" w:line="186" w:lineRule="exact"/>
        <w:rPr>
          <w:sz w:val="20"/>
          <w:szCs w:val="20"/>
          <w:color w:val="auto"/>
        </w:rPr>
      </w:pPr>
    </w:p>
    <w:p>
      <w:pPr>
        <w:jc w:val="both"/>
        <w:ind w:firstLine="1735"/>
        <w:spacing w:after="0" w:line="268" w:lineRule="auto"/>
        <w:tabs>
          <w:tab w:leader="none" w:pos="2595"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Regulatory Required Permits</w:t>
      </w:r>
      <w:r>
        <w:rPr>
          <w:rFonts w:ascii="Arial" w:cs="Arial" w:eastAsia="Arial" w:hAnsi="Arial"/>
          <w:sz w:val="18"/>
          <w:szCs w:val="18"/>
          <w:color w:val="auto"/>
        </w:rPr>
        <w:t>. With respect to any Product, (i) Borrower and its Subsidiaries have received, and such Product is the subject of, all Regulatory Required Permits needed to be held by Borrower and its Subsidiaries under applicable Laws in connection with their testing, manufacture, marketing or sale of such Product except where the failure to receive or be the subject of such Regulatory Required Permits would not reasonably be expected to have Material Adverse Effect, and no Borrower has received any written notice from any applicable Governmental Authority, specifically including the FDA, that such Governmental Authority is, outside of the normal maintenance or renewal process, conducting an investigation or review of any such Regulatory Required Permit or approval which has disclosed, and notification of which has been provided to Borrower in writing, any material deficiencies or violations of the Regulatory Required Permits, or that any such Regulatory Required Permit has been revoked or withdrawn where such revocation or withdrawal would reasonably be expected to have Material Adverse Effect, nor has any such Governmental Authority issued any written order or recommendation stating that such development, testing, manufacturing, marketing or sales of such Product by Borrower should cease, where such cessation would reasonably be expected to have Material Adverse Effect (ii) to Borrower’s knowledge, such Product is being tested, manufactured, marketed or sold, as the case may be, in material compliance with all applicable Laws and Regulatory Required Permits, and Borrower has not received any notice from any applicable Governmental Authority, specifically including the FDA, that such Governmental Authority is conducting an investigation or inspection of (A) Borrower’s manufacturing facilities and processes for such Product which have disclosed any material deficiencies or violations of Laws (including Healthcare Laws) and/or the Regulatory Required Permits related to the manufacture of such Product, or (B) (outside of the normal maintenance or renewal process) any such Regulatory Required Permit or that any such Regulatory Required Permit has been revoked or withdrawn, nor has any such Governmental Authority issued any order or recommendation stating that the development, testing and/or manufacturing of such Product by Borrower should cease and in each case would reasonably be expected to have a Material Adverse Effect.</w:t>
      </w:r>
    </w:p>
    <w:p>
      <w:pPr>
        <w:spacing w:after="0" w:line="184" w:lineRule="exact"/>
        <w:rPr>
          <w:rFonts w:ascii="Arial" w:cs="Arial" w:eastAsia="Arial" w:hAnsi="Arial"/>
          <w:sz w:val="18"/>
          <w:szCs w:val="18"/>
          <w:color w:val="auto"/>
        </w:rPr>
      </w:pPr>
    </w:p>
    <w:p>
      <w:pPr>
        <w:ind w:left="2620" w:hanging="885"/>
        <w:spacing w:after="0"/>
        <w:tabs>
          <w:tab w:leader="none" w:pos="2620"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Healthcare and Regulatory Events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80" w:right="20" w:firstLine="1609"/>
        <w:spacing w:after="0" w:line="260" w:lineRule="auto"/>
        <w:tabs>
          <w:tab w:leader="none" w:pos="3332" w:val="left"/>
        </w:tabs>
        <w:numPr>
          <w:ilvl w:val="1"/>
          <w:numId w:val="144"/>
        </w:numPr>
        <w:rPr>
          <w:rFonts w:ascii="Arial" w:cs="Arial" w:eastAsia="Arial" w:hAnsi="Arial"/>
          <w:sz w:val="20"/>
          <w:szCs w:val="20"/>
          <w:color w:val="auto"/>
        </w:rPr>
      </w:pPr>
      <w:r>
        <w:rPr>
          <w:rFonts w:ascii="Arial" w:cs="Arial" w:eastAsia="Arial" w:hAnsi="Arial"/>
          <w:sz w:val="20"/>
          <w:szCs w:val="20"/>
          <w:color w:val="auto"/>
        </w:rPr>
        <w:t>None of the Borrowers are in violation of any Healthcare Laws, except where any such violation would not reasonably be expected to have a Material Adverse Effect.</w:t>
      </w:r>
    </w:p>
    <w:p>
      <w:pPr>
        <w:spacing w:after="0" w:line="176" w:lineRule="exact"/>
        <w:rPr>
          <w:rFonts w:ascii="Arial" w:cs="Arial" w:eastAsia="Arial" w:hAnsi="Arial"/>
          <w:sz w:val="20"/>
          <w:szCs w:val="20"/>
          <w:color w:val="auto"/>
        </w:rPr>
      </w:pPr>
    </w:p>
    <w:p>
      <w:pPr>
        <w:ind w:left="3380" w:hanging="891"/>
        <w:spacing w:after="0"/>
        <w:tabs>
          <w:tab w:leader="none" w:pos="3380" w:val="left"/>
        </w:tabs>
        <w:numPr>
          <w:ilvl w:val="1"/>
          <w:numId w:val="144"/>
        </w:numPr>
        <w:rPr>
          <w:rFonts w:ascii="Arial" w:cs="Arial" w:eastAsia="Arial" w:hAnsi="Arial"/>
          <w:sz w:val="20"/>
          <w:szCs w:val="20"/>
          <w:color w:val="auto"/>
        </w:rPr>
      </w:pPr>
      <w:r>
        <w:rPr>
          <w:rFonts w:ascii="Arial" w:cs="Arial" w:eastAsia="Arial" w:hAnsi="Arial"/>
          <w:sz w:val="20"/>
          <w:szCs w:val="20"/>
          <w:color w:val="auto"/>
        </w:rPr>
        <w:t>As of the Closing Date, there have been no Regulatory Reporting Events.</w:t>
      </w:r>
    </w:p>
    <w:p>
      <w:pPr>
        <w:spacing w:after="0" w:line="215" w:lineRule="exact"/>
        <w:rPr>
          <w:rFonts w:ascii="Arial" w:cs="Arial" w:eastAsia="Arial" w:hAnsi="Arial"/>
          <w:sz w:val="20"/>
          <w:szCs w:val="20"/>
          <w:color w:val="auto"/>
        </w:rPr>
      </w:pPr>
    </w:p>
    <w:p>
      <w:pPr>
        <w:jc w:val="both"/>
        <w:ind w:left="880" w:firstLine="1609"/>
        <w:spacing w:after="0" w:line="250" w:lineRule="auto"/>
        <w:tabs>
          <w:tab w:leader="none" w:pos="3442" w:val="left"/>
        </w:tabs>
        <w:numPr>
          <w:ilvl w:val="1"/>
          <w:numId w:val="144"/>
        </w:numPr>
        <w:rPr>
          <w:rFonts w:ascii="Arial" w:cs="Arial" w:eastAsia="Arial" w:hAnsi="Arial"/>
          <w:sz w:val="20"/>
          <w:szCs w:val="20"/>
          <w:color w:val="auto"/>
        </w:rPr>
      </w:pPr>
      <w:r>
        <w:rPr>
          <w:rFonts w:ascii="Arial" w:cs="Arial" w:eastAsia="Arial" w:hAnsi="Arial"/>
          <w:sz w:val="20"/>
          <w:szCs w:val="20"/>
          <w:color w:val="auto"/>
        </w:rPr>
        <w:t>No Borrower is participating in any Third Party Payor Program, it being understood that agreements to provide discounts or rebates on drugs or biologics reimbursed by Third Party Payors is not participation in a Third Party Payor Program.</w:t>
      </w:r>
    </w:p>
    <w:p>
      <w:pPr>
        <w:spacing w:after="0" w:line="185" w:lineRule="exact"/>
        <w:rPr>
          <w:rFonts w:ascii="Arial" w:cs="Arial" w:eastAsia="Arial" w:hAnsi="Arial"/>
          <w:sz w:val="20"/>
          <w:szCs w:val="20"/>
          <w:color w:val="auto"/>
        </w:rPr>
      </w:pPr>
    </w:p>
    <w:p>
      <w:pPr>
        <w:jc w:val="both"/>
        <w:ind w:left="880" w:firstLine="1609"/>
        <w:spacing w:after="0" w:line="260" w:lineRule="auto"/>
        <w:tabs>
          <w:tab w:leader="none" w:pos="3431" w:val="left"/>
        </w:tabs>
        <w:numPr>
          <w:ilvl w:val="1"/>
          <w:numId w:val="144"/>
        </w:numPr>
        <w:rPr>
          <w:rFonts w:ascii="Arial" w:cs="Arial" w:eastAsia="Arial" w:hAnsi="Arial"/>
          <w:sz w:val="19"/>
          <w:szCs w:val="19"/>
          <w:color w:val="auto"/>
        </w:rPr>
      </w:pPr>
      <w:r>
        <w:rPr>
          <w:rFonts w:ascii="Arial" w:cs="Arial" w:eastAsia="Arial" w:hAnsi="Arial"/>
          <w:sz w:val="19"/>
          <w:szCs w:val="19"/>
          <w:color w:val="auto"/>
        </w:rPr>
        <w:t>None of the Borrower’s officers, directors, employees, shareholders, their agents or affiliates has made an untrue statement of material fact or fraudulent statement to the FDA or failed to disclose a material fact required to be disclosed to the FDA, committed an act, made a statement, or failed to make a statement that would reasonably be expected to provide a basis for the FDA to invoke its policy respecting “Fraud, Untrue Statements of Material Facts, Bribery, and Illegal Gratuities,” set forth in 56 Fed. Regulation 46191 (September 10, 1991).</w:t>
      </w:r>
    </w:p>
    <w:p>
      <w:pPr>
        <w:spacing w:after="0" w:line="180" w:lineRule="exact"/>
        <w:rPr>
          <w:rFonts w:ascii="Arial" w:cs="Arial" w:eastAsia="Arial" w:hAnsi="Arial"/>
          <w:sz w:val="19"/>
          <w:szCs w:val="19"/>
          <w:color w:val="auto"/>
        </w:rPr>
      </w:pPr>
    </w:p>
    <w:p>
      <w:pPr>
        <w:ind w:left="880" w:right="20" w:firstLine="1609"/>
        <w:spacing w:after="0" w:line="260" w:lineRule="auto"/>
        <w:tabs>
          <w:tab w:leader="none" w:pos="3376" w:val="left"/>
        </w:tabs>
        <w:numPr>
          <w:ilvl w:val="1"/>
          <w:numId w:val="144"/>
        </w:numPr>
        <w:rPr>
          <w:rFonts w:ascii="Arial" w:cs="Arial" w:eastAsia="Arial" w:hAnsi="Arial"/>
          <w:sz w:val="20"/>
          <w:szCs w:val="20"/>
          <w:color w:val="auto"/>
        </w:rPr>
      </w:pPr>
      <w:r>
        <w:rPr>
          <w:rFonts w:ascii="Arial" w:cs="Arial" w:eastAsia="Arial" w:hAnsi="Arial"/>
          <w:sz w:val="20"/>
          <w:szCs w:val="20"/>
          <w:color w:val="auto"/>
        </w:rPr>
        <w:t>Borrower has not received any written notice that any Governmental Authority, including without limitation the FDA, the Office of the Inspector General of HHS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3" w:name="page184"/>
    <w:bookmarkEnd w:id="183"/>
    <w:p>
      <w:pPr>
        <w:jc w:val="both"/>
        <w:ind w:left="880"/>
        <w:spacing w:after="0" w:line="246" w:lineRule="auto"/>
        <w:rPr>
          <w:sz w:val="20"/>
          <w:szCs w:val="20"/>
          <w:color w:val="auto"/>
        </w:rPr>
      </w:pPr>
      <w:r>
        <w:rPr>
          <w:rFonts w:ascii="Arial" w:cs="Arial" w:eastAsia="Arial" w:hAnsi="Arial"/>
          <w:sz w:val="20"/>
          <w:szCs w:val="20"/>
          <w:color w:val="auto"/>
        </w:rPr>
        <w:t>the United States Department of Justice has commenced or threatened to initiate any material action against a Credit Party, any action to enjoin a Credit Party, their officers, directors, employees, shareholders or their agents and Affiliates, from conducting their businesses at any facility owned or used by them as it may relate to Borrower’s business or for any material civil penalty, injunction, seizure or criminal action.</w:t>
      </w:r>
    </w:p>
    <w:p>
      <w:pPr>
        <w:spacing w:after="0" w:line="191" w:lineRule="exact"/>
        <w:rPr>
          <w:sz w:val="20"/>
          <w:szCs w:val="20"/>
          <w:color w:val="auto"/>
        </w:rPr>
      </w:pPr>
    </w:p>
    <w:p>
      <w:pPr>
        <w:jc w:val="both"/>
        <w:ind w:left="880" w:firstLine="1609"/>
        <w:spacing w:after="0" w:line="276" w:lineRule="auto"/>
        <w:tabs>
          <w:tab w:leader="none" w:pos="3431" w:val="left"/>
        </w:tabs>
        <w:numPr>
          <w:ilvl w:val="2"/>
          <w:numId w:val="145"/>
        </w:numPr>
        <w:rPr>
          <w:rFonts w:ascii="Arial" w:cs="Arial" w:eastAsia="Arial" w:hAnsi="Arial"/>
          <w:sz w:val="18"/>
          <w:szCs w:val="18"/>
          <w:color w:val="auto"/>
        </w:rPr>
      </w:pPr>
      <w:r>
        <w:rPr>
          <w:rFonts w:ascii="Arial" w:cs="Arial" w:eastAsia="Arial" w:hAnsi="Arial"/>
          <w:sz w:val="18"/>
          <w:szCs w:val="18"/>
          <w:color w:val="auto"/>
        </w:rPr>
        <w:t>Borrower has not received from the FDA a Warning Letter, Form FDA-483, “Untitled Letter,” other correspondence or notice setting forth allegedly objectionable observations or alleged violations of laws and regulations enforced by the FDA or any comparable correspondence from any state or local authority responsible for regulating drug products and establishments, or any comparable correspondence from any foreign counterpart of the FDA or any comparable correspondence from any foreign counterpart of any state or local authority with regard to any Product or the manufacture, processing, packing, or holding thereof, in each case that would reasonably be expected to have a Material Adverse Effect.</w:t>
      </w:r>
    </w:p>
    <w:p>
      <w:pPr>
        <w:spacing w:after="0" w:line="164" w:lineRule="exact"/>
        <w:rPr>
          <w:rFonts w:ascii="Arial" w:cs="Arial" w:eastAsia="Arial" w:hAnsi="Arial"/>
          <w:sz w:val="18"/>
          <w:szCs w:val="18"/>
          <w:color w:val="auto"/>
        </w:rPr>
      </w:pPr>
    </w:p>
    <w:p>
      <w:pPr>
        <w:ind w:left="880" w:firstLine="1609"/>
        <w:spacing w:after="0" w:line="260" w:lineRule="auto"/>
        <w:tabs>
          <w:tab w:leader="none" w:pos="3486" w:val="left"/>
        </w:tabs>
        <w:numPr>
          <w:ilvl w:val="2"/>
          <w:numId w:val="145"/>
        </w:numPr>
        <w:rPr>
          <w:rFonts w:ascii="Arial" w:cs="Arial" w:eastAsia="Arial" w:hAnsi="Arial"/>
          <w:sz w:val="20"/>
          <w:szCs w:val="20"/>
          <w:color w:val="auto"/>
        </w:rPr>
      </w:pPr>
      <w:r>
        <w:rPr>
          <w:rFonts w:ascii="Arial" w:cs="Arial" w:eastAsia="Arial" w:hAnsi="Arial"/>
          <w:sz w:val="20"/>
          <w:szCs w:val="20"/>
          <w:color w:val="auto"/>
        </w:rPr>
        <w:t>Borrower has not engaged in any material Recalls, Market Withdrawals, or other forms of product retrieval from the marketplace of any Products.</w:t>
      </w:r>
    </w:p>
    <w:p>
      <w:pPr>
        <w:spacing w:after="0" w:line="176" w:lineRule="exact"/>
        <w:rPr>
          <w:rFonts w:ascii="Arial" w:cs="Arial" w:eastAsia="Arial" w:hAnsi="Arial"/>
          <w:sz w:val="20"/>
          <w:szCs w:val="20"/>
          <w:color w:val="auto"/>
        </w:rPr>
      </w:pPr>
    </w:p>
    <w:p>
      <w:pPr>
        <w:ind w:left="3540" w:hanging="1051"/>
        <w:spacing w:after="0"/>
        <w:tabs>
          <w:tab w:leader="none" w:pos="35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Each Product (a) is not materially adulterated or misbranded within the meaning of the FDCA;</w:t>
      </w:r>
    </w:p>
    <w:p>
      <w:pPr>
        <w:spacing w:after="0" w:line="38" w:lineRule="exact"/>
        <w:rPr>
          <w:rFonts w:ascii="Arial" w:cs="Arial" w:eastAsia="Arial" w:hAnsi="Arial"/>
          <w:sz w:val="18"/>
          <w:szCs w:val="18"/>
          <w:color w:val="auto"/>
        </w:rPr>
      </w:pPr>
    </w:p>
    <w:p>
      <w:pPr>
        <w:jc w:val="both"/>
        <w:ind w:left="880" w:hanging="8"/>
        <w:spacing w:after="0" w:line="257" w:lineRule="auto"/>
        <w:tabs>
          <w:tab w:leader="none" w:pos="117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is not an article prohibited from introduction into interstate commerce under the provisions of Section 505 of the FDCA; (c) each Product is being and/or shall be manufactured, imported, possessed, owned, warehoused, marketed, promoted, sold, labeled, furnished, distributed and marketed and in material compliance with all applicable Permits and Laws; and (d) each Product is being and/or shall be manufactured in material compliance with Good Manufacturing Practices.</w:t>
      </w:r>
    </w:p>
    <w:p>
      <w:pPr>
        <w:spacing w:after="0" w:line="182" w:lineRule="exact"/>
        <w:rPr>
          <w:rFonts w:ascii="Arial" w:cs="Arial" w:eastAsia="Arial" w:hAnsi="Arial"/>
          <w:sz w:val="19"/>
          <w:szCs w:val="19"/>
          <w:color w:val="auto"/>
        </w:rPr>
      </w:pPr>
    </w:p>
    <w:p>
      <w:pPr>
        <w:jc w:val="both"/>
        <w:ind w:firstLine="1735"/>
        <w:spacing w:after="0" w:line="243" w:lineRule="auto"/>
        <w:tabs>
          <w:tab w:leader="none" w:pos="2595"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Proceedings</w:t>
      </w:r>
      <w:r>
        <w:rPr>
          <w:rFonts w:ascii="Arial" w:cs="Arial" w:eastAsia="Arial" w:hAnsi="Arial"/>
          <w:sz w:val="20"/>
          <w:szCs w:val="20"/>
          <w:color w:val="auto"/>
        </w:rPr>
        <w:t>. No Borrower is subject to any proceeding, suit or, to Borrowers’ knowledge, investigation by any federal, state or local government or quasi-governmental body, agency, board or authority or any other administrative or investigative body (including the Office of the Inspector General of the United States Department of Health and Human Services): (i) which may result in the imposition of a fine, alternative, interim or final sanction, which has not been provided for on their respective financial statements, and which would reasonably be expected to have a Material Adverse Effect on any Borrower; or (ii) which could result in the revocation, transfer, surrender, suspension or other impairment of the Permits of Borrower that would reasonably be expected to have a Material Adverse Effect on any Borrower.</w:t>
      </w:r>
    </w:p>
    <w:p>
      <w:pPr>
        <w:spacing w:after="0" w:line="192" w:lineRule="exact"/>
        <w:rPr>
          <w:rFonts w:ascii="Arial" w:cs="Arial" w:eastAsia="Arial" w:hAnsi="Arial"/>
          <w:sz w:val="20"/>
          <w:szCs w:val="20"/>
          <w:color w:val="auto"/>
        </w:rPr>
      </w:pPr>
    </w:p>
    <w:p>
      <w:pPr>
        <w:jc w:val="both"/>
        <w:ind w:firstLine="1735"/>
        <w:spacing w:after="0" w:line="250" w:lineRule="auto"/>
        <w:tabs>
          <w:tab w:leader="none" w:pos="2573"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Ancillary Laws</w:t>
      </w:r>
      <w:r>
        <w:rPr>
          <w:rFonts w:ascii="Arial" w:cs="Arial" w:eastAsia="Arial" w:hAnsi="Arial"/>
          <w:sz w:val="20"/>
          <w:szCs w:val="20"/>
          <w:color w:val="auto"/>
        </w:rPr>
        <w:t>. Borrowers have received no written notice, and are not aware, of any material violation of applicable antitrust laws, employment or landlord-tenant laws of any federal, state or local government or quasi-governmental body, agency, board or other authority with respect to the Borrowers.</w:t>
      </w:r>
    </w:p>
    <w:p>
      <w:pPr>
        <w:spacing w:after="0" w:line="18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8.3</w:t>
      </w:r>
      <w:r>
        <w:rPr>
          <w:sz w:val="20"/>
          <w:szCs w:val="20"/>
          <w:color w:val="auto"/>
        </w:rPr>
        <w:tab/>
      </w:r>
      <w:r>
        <w:rPr>
          <w:rFonts w:ascii="Arial" w:cs="Arial" w:eastAsia="Arial" w:hAnsi="Arial"/>
          <w:sz w:val="17"/>
          <w:szCs w:val="17"/>
          <w:u w:val="single" w:color="auto"/>
          <w:color w:val="auto"/>
        </w:rPr>
        <w:t>Healthcare Operations</w:t>
      </w:r>
      <w:r>
        <w:rPr>
          <w:rFonts w:ascii="Arial" w:cs="Arial" w:eastAsia="Arial" w:hAnsi="Arial"/>
          <w:sz w:val="18"/>
          <w:szCs w:val="18"/>
          <w:color w:val="auto"/>
        </w:rPr>
        <w:t>.</w:t>
      </w:r>
    </w:p>
    <w:p>
      <w:pPr>
        <w:spacing w:after="0" w:line="234" w:lineRule="exact"/>
        <w:rPr>
          <w:sz w:val="20"/>
          <w:szCs w:val="20"/>
          <w:color w:val="auto"/>
        </w:rPr>
      </w:pPr>
    </w:p>
    <w:p>
      <w:pPr>
        <w:jc w:val="both"/>
        <w:ind w:firstLine="1760"/>
        <w:spacing w:after="0" w:line="269" w:lineRule="auto"/>
        <w:tabs>
          <w:tab w:leader="none" w:pos="262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Borrower will timely file or caused to be timely filed (after giving effect to any extension duly obtained), all material notifications, reports, submissions, Permit renewals and reports required by Healthcare Laws (which reports will be materially accurate and complete in all respects and not misleading in any material respect and shall not remain open or unsettled).</w:t>
      </w:r>
    </w:p>
    <w:p>
      <w:pPr>
        <w:spacing w:after="0" w:line="169" w:lineRule="exact"/>
        <w:rPr>
          <w:rFonts w:ascii="Arial" w:cs="Arial" w:eastAsia="Arial" w:hAnsi="Arial"/>
          <w:sz w:val="19"/>
          <w:szCs w:val="19"/>
          <w:color w:val="auto"/>
        </w:rPr>
      </w:pPr>
    </w:p>
    <w:p>
      <w:pPr>
        <w:jc w:val="both"/>
        <w:ind w:firstLine="1760"/>
        <w:spacing w:after="0" w:line="250" w:lineRule="auto"/>
        <w:tabs>
          <w:tab w:leader="none" w:pos="2631" w:val="left"/>
        </w:tabs>
        <w:numPr>
          <w:ilvl w:val="0"/>
          <w:numId w:val="147"/>
        </w:numPr>
        <w:rPr>
          <w:rFonts w:ascii="Arial" w:cs="Arial" w:eastAsia="Arial" w:hAnsi="Arial"/>
          <w:sz w:val="20"/>
          <w:szCs w:val="20"/>
          <w:color w:val="auto"/>
        </w:rPr>
      </w:pPr>
      <w:r>
        <w:rPr>
          <w:rFonts w:ascii="Arial" w:cs="Arial" w:eastAsia="Arial" w:hAnsi="Arial"/>
          <w:sz w:val="20"/>
          <w:szCs w:val="20"/>
          <w:color w:val="auto"/>
        </w:rPr>
        <w:t>Borrower will maintain in full force and effect, and free from restrictions, probations, conditions or known conflicts which would materially impair the use or operation of Borrowers’ business and assets, all material Permits necessary under Healthcare Laws to carry on the business of Borrowers as it is conducted on the Closing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4" w:name="page185"/>
    <w:bookmarkEnd w:id="184"/>
    <w:p>
      <w:pPr>
        <w:ind w:left="2620" w:hanging="860"/>
        <w:spacing w:after="0"/>
        <w:tabs>
          <w:tab w:leader="none" w:pos="26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Borrower will not suffer or permit to occur any of the following:</w:t>
      </w:r>
    </w:p>
    <w:p>
      <w:pPr>
        <w:spacing w:after="0" w:line="215" w:lineRule="exact"/>
        <w:rPr>
          <w:rFonts w:ascii="Arial" w:cs="Arial" w:eastAsia="Arial" w:hAnsi="Arial"/>
          <w:sz w:val="20"/>
          <w:szCs w:val="20"/>
          <w:color w:val="auto"/>
        </w:rPr>
      </w:pPr>
    </w:p>
    <w:p>
      <w:pPr>
        <w:ind w:left="3320" w:hanging="831"/>
        <w:spacing w:after="0"/>
        <w:tabs>
          <w:tab w:leader="none" w:pos="332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any transfer of a Permit or rights thereunder to any Person (other than Borrowers or Agent);</w:t>
      </w:r>
    </w:p>
    <w:p>
      <w:pPr>
        <w:spacing w:after="0" w:line="227" w:lineRule="exact"/>
        <w:rPr>
          <w:rFonts w:ascii="Arial" w:cs="Arial" w:eastAsia="Arial" w:hAnsi="Arial"/>
          <w:sz w:val="19"/>
          <w:szCs w:val="19"/>
          <w:color w:val="auto"/>
        </w:rPr>
      </w:pPr>
    </w:p>
    <w:p>
      <w:pPr>
        <w:ind w:left="880" w:firstLine="1609"/>
        <w:spacing w:after="0" w:line="260" w:lineRule="auto"/>
        <w:tabs>
          <w:tab w:leader="none" w:pos="3387" w:val="left"/>
        </w:tabs>
        <w:numPr>
          <w:ilvl w:val="1"/>
          <w:numId w:val="148"/>
        </w:numPr>
        <w:rPr>
          <w:rFonts w:ascii="Arial" w:cs="Arial" w:eastAsia="Arial" w:hAnsi="Arial"/>
          <w:sz w:val="20"/>
          <w:szCs w:val="20"/>
          <w:color w:val="auto"/>
        </w:rPr>
      </w:pPr>
      <w:r>
        <w:rPr>
          <w:rFonts w:ascii="Arial" w:cs="Arial" w:eastAsia="Arial" w:hAnsi="Arial"/>
          <w:sz w:val="20"/>
          <w:szCs w:val="20"/>
          <w:color w:val="auto"/>
        </w:rPr>
        <w:t>any pledge or hypothecation of any Permit as collateral security for any indebtedness other than Debt to Agent and each Lender under this Agreement and the other Financing Documents; or</w:t>
      </w:r>
    </w:p>
    <w:p>
      <w:pPr>
        <w:spacing w:after="0" w:line="176" w:lineRule="exact"/>
        <w:rPr>
          <w:rFonts w:ascii="Arial" w:cs="Arial" w:eastAsia="Arial" w:hAnsi="Arial"/>
          <w:sz w:val="20"/>
          <w:szCs w:val="20"/>
          <w:color w:val="auto"/>
        </w:rPr>
      </w:pPr>
    </w:p>
    <w:p>
      <w:pPr>
        <w:ind w:left="880" w:right="20" w:firstLine="1609"/>
        <w:spacing w:after="0" w:line="260" w:lineRule="auto"/>
        <w:tabs>
          <w:tab w:leader="none" w:pos="3442" w:val="left"/>
        </w:tabs>
        <w:numPr>
          <w:ilvl w:val="1"/>
          <w:numId w:val="148"/>
        </w:numPr>
        <w:rPr>
          <w:rFonts w:ascii="Arial" w:cs="Arial" w:eastAsia="Arial" w:hAnsi="Arial"/>
          <w:sz w:val="20"/>
          <w:szCs w:val="20"/>
          <w:color w:val="auto"/>
        </w:rPr>
      </w:pPr>
      <w:r>
        <w:rPr>
          <w:rFonts w:ascii="Arial" w:cs="Arial" w:eastAsia="Arial" w:hAnsi="Arial"/>
          <w:sz w:val="20"/>
          <w:szCs w:val="20"/>
          <w:color w:val="auto"/>
        </w:rPr>
        <w:t>any rescission, withdrawal, revocation, amendment or modification of or other alteration to the nature, tenor or scope of any material Permit.</w:t>
      </w:r>
    </w:p>
    <w:p>
      <w:pPr>
        <w:spacing w:after="0" w:line="176" w:lineRule="exact"/>
        <w:rPr>
          <w:rFonts w:ascii="Arial" w:cs="Arial" w:eastAsia="Arial" w:hAnsi="Arial"/>
          <w:sz w:val="20"/>
          <w:szCs w:val="20"/>
          <w:color w:val="auto"/>
        </w:rPr>
      </w:pPr>
    </w:p>
    <w:p>
      <w:pPr>
        <w:jc w:val="both"/>
        <w:ind w:firstLine="1760"/>
        <w:spacing w:after="0" w:line="246" w:lineRule="auto"/>
        <w:tabs>
          <w:tab w:leader="none" w:pos="2631"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In connection with the development, testing, manufacture, marketing or sale of each and any Product by any Borrower, Borrower shall comply in all material respects with all Regulatory Required Permits at all times issued by any Governmental Authority, specifically including the FDA, with respect to such development, testing, manufacture, marketing or sales of such Product by Borrower as such activities are at any such time being conducted by Borrower.</w:t>
      </w:r>
    </w:p>
    <w:p>
      <w:pPr>
        <w:spacing w:after="0" w:line="191" w:lineRule="exact"/>
        <w:rPr>
          <w:rFonts w:ascii="Arial" w:cs="Arial" w:eastAsia="Arial" w:hAnsi="Arial"/>
          <w:sz w:val="20"/>
          <w:szCs w:val="20"/>
          <w:color w:val="auto"/>
        </w:rPr>
      </w:pPr>
    </w:p>
    <w:p>
      <w:pPr>
        <w:ind w:firstLine="1760"/>
        <w:spacing w:after="0" w:line="260" w:lineRule="auto"/>
        <w:tabs>
          <w:tab w:leader="none" w:pos="262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Each Borrower shall conduct its business in accordance with Healthcare Laws, except where the failure to do so would not reasonably be expected to have a Material Adverse Effect.</w:t>
      </w:r>
    </w:p>
    <w:p>
      <w:pPr>
        <w:spacing w:after="0" w:line="171" w:lineRule="exact"/>
        <w:rPr>
          <w:sz w:val="20"/>
          <w:szCs w:val="20"/>
          <w:color w:val="auto"/>
        </w:rPr>
      </w:pPr>
    </w:p>
    <w:p>
      <w:pPr>
        <w:ind w:left="3540"/>
        <w:spacing w:after="0"/>
        <w:tabs>
          <w:tab w:leader="none" w:pos="5200" w:val="left"/>
        </w:tabs>
        <w:rPr>
          <w:sz w:val="20"/>
          <w:szCs w:val="20"/>
          <w:color w:val="auto"/>
        </w:rPr>
      </w:pPr>
      <w:r>
        <w:rPr>
          <w:rFonts w:ascii="Arial" w:cs="Arial" w:eastAsia="Arial" w:hAnsi="Arial"/>
          <w:sz w:val="20"/>
          <w:szCs w:val="20"/>
          <w:b w:val="1"/>
          <w:bCs w:val="1"/>
          <w:color w:val="auto"/>
        </w:rPr>
        <w:t>ARTICLE 9</w:t>
      </w:r>
      <w:r>
        <w:rPr>
          <w:sz w:val="20"/>
          <w:szCs w:val="20"/>
          <w:color w:val="auto"/>
        </w:rPr>
        <w:tab/>
      </w:r>
      <w:r>
        <w:rPr>
          <w:rFonts w:ascii="Arial" w:cs="Arial" w:eastAsia="Arial" w:hAnsi="Arial"/>
          <w:sz w:val="20"/>
          <w:szCs w:val="20"/>
          <w:b w:val="1"/>
          <w:bCs w:val="1"/>
          <w:color w:val="auto"/>
        </w:rPr>
        <w:t>- SECURITY AGREEMENT</w:t>
      </w:r>
    </w:p>
    <w:p>
      <w:pPr>
        <w:spacing w:after="0" w:line="217"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Section 9.1 </w:t>
      </w:r>
      <w:r>
        <w:rPr>
          <w:rFonts w:ascii="Arial" w:cs="Arial" w:eastAsia="Arial" w:hAnsi="Arial"/>
          <w:sz w:val="20"/>
          <w:szCs w:val="20"/>
          <w:u w:val="single" w:color="auto"/>
          <w:color w:val="auto"/>
        </w:rPr>
        <w:t>Generally</w:t>
      </w:r>
      <w:r>
        <w:rPr>
          <w:rFonts w:ascii="Arial" w:cs="Arial" w:eastAsia="Arial" w:hAnsi="Arial"/>
          <w:sz w:val="21"/>
          <w:szCs w:val="21"/>
          <w:color w:val="auto"/>
        </w:rPr>
        <w:t>. As security for the payment and performance of the Obligations, and without limiting any</w:t>
      </w:r>
      <w:r>
        <w:rPr>
          <w:rFonts w:ascii="Arial" w:cs="Arial" w:eastAsia="Arial" w:hAnsi="Arial"/>
          <w:sz w:val="20"/>
          <w:szCs w:val="20"/>
          <w:color w:val="auto"/>
        </w:rPr>
        <w:t xml:space="preserve"> </w:t>
      </w:r>
      <w:r>
        <w:rPr>
          <w:rFonts w:ascii="Arial" w:cs="Arial" w:eastAsia="Arial" w:hAnsi="Arial"/>
          <w:sz w:val="21"/>
          <w:szCs w:val="21"/>
          <w:color w:val="auto"/>
        </w:rPr>
        <w:t xml:space="preserve">other grant of a Lien and security interest in any Security Document, each Borrower hereby assigns, grants and pledges to Agent, for the benefit of itself and Lenders a continuing first priority Lien on and security interest in, upon, and to the property set forth on </w:t>
      </w:r>
      <w:r>
        <w:rPr>
          <w:rFonts w:ascii="Arial" w:cs="Arial" w:eastAsia="Arial" w:hAnsi="Arial"/>
          <w:sz w:val="21"/>
          <w:szCs w:val="21"/>
          <w:u w:val="single" w:color="auto"/>
          <w:color w:val="auto"/>
        </w:rPr>
        <w:t>Schedule 9.1</w:t>
      </w:r>
      <w:r>
        <w:rPr>
          <w:rFonts w:ascii="Arial" w:cs="Arial" w:eastAsia="Arial" w:hAnsi="Arial"/>
          <w:sz w:val="21"/>
          <w:szCs w:val="21"/>
          <w:color w:val="auto"/>
        </w:rPr>
        <w:t xml:space="preserve"> attached hereto and made a part hereof.</w:t>
      </w:r>
    </w:p>
    <w:p>
      <w:pPr>
        <w:spacing w:after="0" w:line="178"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9.2</w:t>
      </w:r>
      <w:r>
        <w:rPr>
          <w:sz w:val="20"/>
          <w:szCs w:val="20"/>
          <w:color w:val="auto"/>
        </w:rPr>
        <w:tab/>
      </w:r>
      <w:r>
        <w:rPr>
          <w:rFonts w:ascii="Arial" w:cs="Arial" w:eastAsia="Arial" w:hAnsi="Arial"/>
          <w:sz w:val="16"/>
          <w:szCs w:val="16"/>
          <w:u w:val="single" w:color="auto"/>
          <w:color w:val="auto"/>
        </w:rPr>
        <w:t>Representations and Warranties and Covenants Relating to Collateral</w:t>
      </w:r>
      <w:r>
        <w:rPr>
          <w:rFonts w:ascii="Arial" w:cs="Arial" w:eastAsia="Arial" w:hAnsi="Arial"/>
          <w:sz w:val="16"/>
          <w:szCs w:val="16"/>
          <w:color w:val="auto"/>
        </w:rPr>
        <w:t>.</w:t>
      </w:r>
    </w:p>
    <w:p>
      <w:pPr>
        <w:spacing w:after="0" w:line="211" w:lineRule="exact"/>
        <w:rPr>
          <w:sz w:val="20"/>
          <w:szCs w:val="20"/>
          <w:color w:val="auto"/>
        </w:rPr>
      </w:pPr>
    </w:p>
    <w:p>
      <w:pPr>
        <w:jc w:val="both"/>
        <w:ind w:firstLine="1735"/>
        <w:spacing w:after="0" w:line="271" w:lineRule="auto"/>
        <w:tabs>
          <w:tab w:leader="none" w:pos="2595" w:val="left"/>
        </w:tabs>
        <w:numPr>
          <w:ilvl w:val="0"/>
          <w:numId w:val="149"/>
        </w:numPr>
        <w:rPr>
          <w:rFonts w:ascii="Arial" w:cs="Arial" w:eastAsia="Arial" w:hAnsi="Arial"/>
          <w:sz w:val="18"/>
          <w:szCs w:val="18"/>
          <w:color w:val="auto"/>
        </w:rPr>
      </w:pPr>
      <w:r>
        <w:rPr>
          <w:rFonts w:ascii="Arial" w:cs="Arial" w:eastAsia="Arial" w:hAnsi="Arial"/>
          <w:sz w:val="19"/>
          <w:szCs w:val="19"/>
          <w:color w:val="auto"/>
        </w:rPr>
        <w:t xml:space="preserve">The security interest granted pursuant to this Agreement constitutes a valid and, to the extent such security interest is required to be perfected by this Agreement and any other Financing Document, continuing perfected security interest in favor of Agent in all Collateral subject, for the following Collateral, to the occurrence of the following: (i) in the case of all Collateral in which a security interest may be perfected by filing a financing statement under the UCC, the completion of the filings and other actions specified on </w:t>
      </w:r>
      <w:r>
        <w:rPr>
          <w:rFonts w:ascii="Arial" w:cs="Arial" w:eastAsia="Arial" w:hAnsi="Arial"/>
          <w:sz w:val="19"/>
          <w:szCs w:val="19"/>
          <w:u w:val="single" w:color="auto"/>
          <w:color w:val="auto"/>
        </w:rPr>
        <w:t>Schedule 9.2</w:t>
      </w:r>
      <w:r>
        <w:rPr>
          <w:rFonts w:ascii="Arial" w:cs="Arial" w:eastAsia="Arial" w:hAnsi="Arial"/>
          <w:sz w:val="19"/>
          <w:szCs w:val="19"/>
          <w:color w:val="auto"/>
        </w:rPr>
        <w:t xml:space="preserve"> (which, in the case of all filings and other documents referred to on such schedule, have been delivered to Agent in completed and duly authorized form), (ii) with respect to any Deposit Account, the execution of Deposit Account Control Agreements, (iii) in the case of letter-of-credit rights that are not supporting obligations of Collateral, the execution of a contractual obligation granting control to Agent over such letter-of-credit rights, (iv) in the case of electronic chattel paper, the completion of all steps necessary to grant control to Agent over such electronic chattel paper, (v) in the case of all certificated stock, debt instruments and investment property, the delivery thereof to Agent of such certificated stock, debt instruments and investment property consisting of instruments and certificates, in each case properly endorsed for transfer to Agent or in blank, (vi) in the case of all investment property not in certificated form, the execution of control agreements with respect to such investment property and (vii) in the case of all other instruments and tangible chattel paper that are not certificated stock, debt instructions or investment property,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5" w:name="page186"/>
    <w:bookmarkEnd w:id="185"/>
    <w:p>
      <w:pPr>
        <w:jc w:val="both"/>
        <w:spacing w:after="0" w:line="238" w:lineRule="auto"/>
        <w:rPr>
          <w:sz w:val="20"/>
          <w:szCs w:val="20"/>
          <w:color w:val="auto"/>
        </w:rPr>
      </w:pPr>
      <w:r>
        <w:rPr>
          <w:rFonts w:ascii="Arial" w:cs="Arial" w:eastAsia="Arial" w:hAnsi="Arial"/>
          <w:sz w:val="22"/>
          <w:szCs w:val="22"/>
          <w:color w:val="auto"/>
        </w:rPr>
        <w:t>the delivery thereof to Agent of such instruments and tangible chattel paper. Such security interest shall be prior to all other Liens on the Collateral except for Permitted Liens. Except to the extent not required pursuant to the terms of this Agreement, all actions by each Credit Party necessary or desirable to protect and perfect the Lien granted hereunder on the Collateral have been duly taken.</w:t>
      </w:r>
    </w:p>
    <w:p>
      <w:pPr>
        <w:spacing w:after="0" w:line="185" w:lineRule="exact"/>
        <w:rPr>
          <w:sz w:val="20"/>
          <w:szCs w:val="20"/>
          <w:color w:val="auto"/>
        </w:rPr>
      </w:pPr>
    </w:p>
    <w:p>
      <w:pPr>
        <w:jc w:val="both"/>
        <w:ind w:firstLine="1735"/>
        <w:spacing w:after="0" w:line="234" w:lineRule="auto"/>
        <w:tabs>
          <w:tab w:leader="none" w:pos="2606" w:val="left"/>
        </w:tabs>
        <w:numPr>
          <w:ilvl w:val="0"/>
          <w:numId w:val="150"/>
        </w:numPr>
        <w:rPr>
          <w:rFonts w:ascii="Arial" w:cs="Arial" w:eastAsia="Arial" w:hAnsi="Arial"/>
          <w:sz w:val="20"/>
          <w:szCs w:val="20"/>
          <w:color w:val="auto"/>
        </w:rPr>
      </w:pPr>
      <w:r>
        <w:rPr>
          <w:rFonts w:ascii="Arial" w:cs="Arial" w:eastAsia="Arial" w:hAnsi="Arial"/>
          <w:sz w:val="22"/>
          <w:szCs w:val="22"/>
          <w:u w:val="single" w:color="auto"/>
          <w:color w:val="auto"/>
        </w:rPr>
        <w:t>Schedule 9.2</w:t>
      </w:r>
      <w:r>
        <w:rPr>
          <w:rFonts w:ascii="Arial" w:cs="Arial" w:eastAsia="Arial" w:hAnsi="Arial"/>
          <w:sz w:val="22"/>
          <w:szCs w:val="22"/>
          <w:color w:val="auto"/>
        </w:rPr>
        <w:t xml:space="preserve"> sets forth (i) each chief executive office and principal place of business of each Borrower and each of their respective Subsidiaries, and (ii) all of the addresses (including all warehouses) at which any material portion of the Collateral is located and/or books and records of Borrowers regarding any such Collateral or any of Borrower’s assets, liabilities, business operations or financial condition are kept, which such </w:t>
      </w:r>
      <w:r>
        <w:rPr>
          <w:rFonts w:ascii="Arial" w:cs="Arial" w:eastAsia="Arial" w:hAnsi="Arial"/>
          <w:sz w:val="22"/>
          <w:szCs w:val="22"/>
          <w:u w:val="single" w:color="auto"/>
          <w:color w:val="auto"/>
        </w:rPr>
        <w:t>Schedule 9.2</w:t>
      </w:r>
      <w:r>
        <w:rPr>
          <w:rFonts w:ascii="Arial" w:cs="Arial" w:eastAsia="Arial" w:hAnsi="Arial"/>
          <w:sz w:val="22"/>
          <w:szCs w:val="22"/>
          <w:color w:val="auto"/>
        </w:rPr>
        <w:t xml:space="preserve"> indicates in each case which Borrower(s) have Collateral and/or books located at such address, and, in the case of any such address not owned by one or more of the Borrowers(s), indicates the nature of such location (e.g., leased business location operated by Borrower(s), third party warehouse, consignment location, processor location, etc.) and the name and address of the third party owning and/or operating such location.</w:t>
      </w:r>
    </w:p>
    <w:p>
      <w:pPr>
        <w:spacing w:after="0" w:line="186" w:lineRule="exact"/>
        <w:rPr>
          <w:rFonts w:ascii="Arial" w:cs="Arial" w:eastAsia="Arial" w:hAnsi="Arial"/>
          <w:sz w:val="20"/>
          <w:szCs w:val="20"/>
          <w:color w:val="auto"/>
        </w:rPr>
      </w:pPr>
    </w:p>
    <w:p>
      <w:pPr>
        <w:jc w:val="both"/>
        <w:ind w:firstLine="1735"/>
        <w:spacing w:after="0" w:line="272" w:lineRule="auto"/>
        <w:tabs>
          <w:tab w:leader="none" w:pos="2595" w:val="left"/>
        </w:tabs>
        <w:numPr>
          <w:ilvl w:val="0"/>
          <w:numId w:val="150"/>
        </w:numPr>
        <w:rPr>
          <w:rFonts w:ascii="Arial" w:cs="Arial" w:eastAsia="Arial" w:hAnsi="Arial"/>
          <w:sz w:val="18"/>
          <w:szCs w:val="18"/>
          <w:color w:val="auto"/>
        </w:rPr>
      </w:pPr>
      <w:r>
        <w:rPr>
          <w:rFonts w:ascii="Arial" w:cs="Arial" w:eastAsia="Arial" w:hAnsi="Arial"/>
          <w:sz w:val="19"/>
          <w:szCs w:val="19"/>
          <w:color w:val="auto"/>
        </w:rPr>
        <w:t>Without limiting the generality of Section 3.2, except with respect to any rights of any Borrower as a licensee under any license of Intellectual Property owned by another Person, and except for (x) the filing of financing statements under the UCC, (y) any change of ownership filings applications, authorizations, consents or other actions that may be required with respect to Permits and (z) the filing of the Intellectual Property Security Agreement, duly completed with scheduled attached, with the United States Patent and Trademark Office and/or the United States Copyright Office (as the case may be), no authorization, approval or other action by, and no notice to or filing with, any Governmental Authority or consent of any other Person is required for (i) the grant by each Borrower to Agent of the security interests and Liens in the Collateral provided for under this Agreement and the other Security Documents (if any), or (ii) the exercise by Agent of its rights and remedies with respect to the Collateral provided for under this Agreement and the other Security Documents or under any applicable Law, including the UCC and neither any such grant of Liens in favor of Agent or exercise of rights by Agent shall violate or cause a default under any agreement between any Borrower and any other Person relating to any such collateral, including any license constituting Collateral to which a Borrower is a party, whether as licensor or licensee, with respect to any Intellectual Property, whether owned by such Borrower or any other Person.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jc w:val="both"/>
        <w:ind w:firstLine="1735"/>
        <w:spacing w:after="0" w:line="233" w:lineRule="auto"/>
        <w:tabs>
          <w:tab w:leader="none" w:pos="2606" w:val="left"/>
        </w:tabs>
        <w:numPr>
          <w:ilvl w:val="0"/>
          <w:numId w:val="150"/>
        </w:numPr>
        <w:rPr>
          <w:rFonts w:ascii="Arial" w:cs="Arial" w:eastAsia="Arial" w:hAnsi="Arial"/>
          <w:sz w:val="20"/>
          <w:szCs w:val="20"/>
          <w:color w:val="auto"/>
        </w:rPr>
      </w:pPr>
      <w:r>
        <w:rPr>
          <w:rFonts w:ascii="Arial" w:cs="Arial" w:eastAsia="Arial" w:hAnsi="Arial"/>
          <w:sz w:val="22"/>
          <w:szCs w:val="22"/>
          <w:color w:val="auto"/>
        </w:rPr>
        <w:t xml:space="preserve">As of the Closing Date, no Borrower has any ownership interest in any Chattel Paper (as defined in Article 9 of the UCC), letter of credit rights, commercial tort claims, Instruments, documents or investment property (other than equity interests in any Subsidiaries of such Borrower, and Investments and other investment property disclosed on </w:t>
      </w:r>
      <w:r>
        <w:rPr>
          <w:rFonts w:ascii="Arial" w:cs="Arial" w:eastAsia="Arial" w:hAnsi="Arial"/>
          <w:sz w:val="22"/>
          <w:szCs w:val="22"/>
          <w:u w:val="single" w:color="auto"/>
          <w:color w:val="auto"/>
        </w:rPr>
        <w:t>Schedule 3.4</w:t>
      </w:r>
      <w:r>
        <w:rPr>
          <w:rFonts w:ascii="Arial" w:cs="Arial" w:eastAsia="Arial" w:hAnsi="Arial"/>
          <w:sz w:val="22"/>
          <w:szCs w:val="22"/>
          <w:color w:val="auto"/>
        </w:rPr>
        <w:t>) and Borrowers shall give notice to Agent promptly (but in any event not later than the delivery by Borrowers of the next Compliance Certificate required pursuant to Section 4.1 above) upon the acquisition by any Borrower of any such Chattel Paper, letter of credit rights, commercial tort claims, Instruments, documents, investment property with a value in excess of $100,000. No Person other than Agent or (if applicable) any Lender has “control” (as defined in Article 9 of the UCC) over any Deposit Account, investment property (including Securities Accounts and commodities account), letter of credit rights or electronic chattel paper in which any Borrower has any interest (except for such control arising by operation of law in favor of any bank 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6" w:name="page187"/>
    <w:bookmarkEnd w:id="186"/>
    <w:p>
      <w:pPr>
        <w:spacing w:after="0" w:line="250" w:lineRule="auto"/>
        <w:rPr>
          <w:sz w:val="20"/>
          <w:szCs w:val="20"/>
          <w:color w:val="auto"/>
        </w:rPr>
      </w:pPr>
      <w:r>
        <w:rPr>
          <w:rFonts w:ascii="Arial" w:cs="Arial" w:eastAsia="Arial" w:hAnsi="Arial"/>
          <w:sz w:val="22"/>
          <w:szCs w:val="22"/>
          <w:color w:val="auto"/>
        </w:rPr>
        <w:t>securities intermediary or commodities intermediary with whom any Deposit Account, Securities Account or commodities account of Borrowers is maintained).</w:t>
      </w:r>
    </w:p>
    <w:p>
      <w:pPr>
        <w:spacing w:after="0" w:line="175" w:lineRule="exact"/>
        <w:rPr>
          <w:sz w:val="20"/>
          <w:szCs w:val="20"/>
          <w:color w:val="auto"/>
        </w:rPr>
      </w:pPr>
    </w:p>
    <w:p>
      <w:pPr>
        <w:jc w:val="both"/>
        <w:ind w:firstLine="1735"/>
        <w:spacing w:after="0" w:line="244" w:lineRule="auto"/>
        <w:tabs>
          <w:tab w:leader="none" w:pos="2595" w:val="left"/>
        </w:tabs>
        <w:numPr>
          <w:ilvl w:val="0"/>
          <w:numId w:val="151"/>
        </w:numPr>
        <w:rPr>
          <w:rFonts w:ascii="Arial" w:cs="Arial" w:eastAsia="Arial" w:hAnsi="Arial"/>
          <w:sz w:val="19"/>
          <w:szCs w:val="19"/>
          <w:color w:val="auto"/>
        </w:rPr>
      </w:pPr>
      <w:r>
        <w:rPr>
          <w:rFonts w:ascii="Arial" w:cs="Arial" w:eastAsia="Arial" w:hAnsi="Arial"/>
          <w:sz w:val="21"/>
          <w:szCs w:val="21"/>
          <w:color w:val="auto"/>
        </w:rPr>
        <w:t xml:space="preserve">Borrowers shall not, and shall not permit any Credit Party to, take any of the following actions or make any of the following changes unless Borrowers have given at least thirty (30) days prior written notice to Agent of Borrowers’ intention to take any such action (which such written notice shall include an updated version of any Schedule impacted by such change) and have executed any and all documents, instruments and agreements and taken any other actions which Agent may reasonably request after receiving such written notice in order to protect and preserve the Liens, rights and remedies of Agent with respect to the Collateral: (i) change the legal name or organizational identification number of any Borrower as it appears in official filings in the jurisdiction of its organization, (ii) change the jurisdiction of incorporation or formation of any Borrower or Credit Party or allow any Borrower or Credit Party to designate any jurisdiction as an additional jurisdiction of incorporation for such Borrower or Credit Party, or change the type of entity that it is;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no event shall a Borrower organized under the laws of the United States or any state thereof be reorganized under the laws of a jurisdiction other than the United States or any state thereof, or (iii) change its chief executive office, principal place of business, or the location of its books and records or move any Collateral (other than Inventory in transit) to or place any Collateral on any location that is not then listed on the Schedules and/or establish any business location at any location that is not then listed on the Schedules.</w:t>
      </w:r>
    </w:p>
    <w:p>
      <w:pPr>
        <w:spacing w:after="0" w:line="180" w:lineRule="exact"/>
        <w:rPr>
          <w:rFonts w:ascii="Arial" w:cs="Arial" w:eastAsia="Arial" w:hAnsi="Arial"/>
          <w:sz w:val="19"/>
          <w:szCs w:val="19"/>
          <w:color w:val="auto"/>
        </w:rPr>
      </w:pPr>
    </w:p>
    <w:p>
      <w:pPr>
        <w:jc w:val="both"/>
        <w:ind w:firstLine="1735"/>
        <w:spacing w:after="0" w:line="274" w:lineRule="auto"/>
        <w:tabs>
          <w:tab w:leader="none" w:pos="2573" w:val="left"/>
        </w:tabs>
        <w:numPr>
          <w:ilvl w:val="0"/>
          <w:numId w:val="151"/>
        </w:numPr>
        <w:rPr>
          <w:rFonts w:ascii="Arial" w:cs="Arial" w:eastAsia="Arial" w:hAnsi="Arial"/>
          <w:sz w:val="18"/>
          <w:szCs w:val="18"/>
          <w:color w:val="auto"/>
        </w:rPr>
      </w:pPr>
      <w:r>
        <w:rPr>
          <w:rFonts w:ascii="Arial" w:cs="Arial" w:eastAsia="Arial" w:hAnsi="Arial"/>
          <w:sz w:val="19"/>
          <w:szCs w:val="19"/>
          <w:color w:val="auto"/>
        </w:rPr>
        <w:t>Borrowers shall not adjust, settle or compromise the amount or payment of any Account, or release wholly or partly any Account Debtor, or allow any credit or discount thereon (other than adjustments, settlements, compromises, credits and discounts in an amount not to exceed $50,000 individually or $250,000 in the aggregate in any fiscal year) without the prior written consent of Agent. Without limiting the generality of this Agreement or any other provisions of any of the Financing Documents relating to the rights of Agent after the occurrence and during the continuance of an Event of Default, Agent shall have the right at any time after the occurrence and during the continuance of an Event of Default to: (i) exercise the rights of Borrowers with respect to the obligation of any Account Debtor to make payment or otherwise render performance to Borrowers and with respect to any property that secures the obligations of any Account Debtor or any other Person obligated on the Collateral, and (ii) adjust, settle or compromise the amount or payment of such Accounts.</w:t>
      </w:r>
    </w:p>
    <w:p>
      <w:pPr>
        <w:spacing w:after="0" w:line="158" w:lineRule="exact"/>
        <w:rPr>
          <w:rFonts w:ascii="Arial" w:cs="Arial" w:eastAsia="Arial" w:hAnsi="Arial"/>
          <w:sz w:val="18"/>
          <w:szCs w:val="18"/>
          <w:color w:val="auto"/>
        </w:rPr>
      </w:pPr>
    </w:p>
    <w:p>
      <w:pPr>
        <w:ind w:left="2620" w:hanging="885"/>
        <w:spacing w:after="0"/>
        <w:tabs>
          <w:tab w:leader="none" w:pos="2620" w:val="left"/>
        </w:tabs>
        <w:numPr>
          <w:ilvl w:val="0"/>
          <w:numId w:val="151"/>
        </w:numPr>
        <w:rPr>
          <w:rFonts w:ascii="Arial" w:cs="Arial" w:eastAsia="Arial" w:hAnsi="Arial"/>
          <w:sz w:val="20"/>
          <w:szCs w:val="20"/>
          <w:color w:val="auto"/>
        </w:rPr>
      </w:pPr>
      <w:r>
        <w:rPr>
          <w:rFonts w:ascii="Arial" w:cs="Arial" w:eastAsia="Arial" w:hAnsi="Arial"/>
          <w:sz w:val="22"/>
          <w:szCs w:val="22"/>
          <w:color w:val="auto"/>
        </w:rPr>
        <w:t>Without limiting the generality of Sections 9.2(c) and 9.2(d):</w:t>
      </w:r>
    </w:p>
    <w:p>
      <w:pPr>
        <w:spacing w:after="0" w:line="206" w:lineRule="exact"/>
        <w:rPr>
          <w:rFonts w:ascii="Arial" w:cs="Arial" w:eastAsia="Arial" w:hAnsi="Arial"/>
          <w:sz w:val="20"/>
          <w:szCs w:val="20"/>
          <w:color w:val="auto"/>
        </w:rPr>
      </w:pPr>
    </w:p>
    <w:p>
      <w:pPr>
        <w:jc w:val="both"/>
        <w:ind w:left="880" w:firstLine="1586"/>
        <w:spacing w:after="0" w:line="275" w:lineRule="auto"/>
        <w:tabs>
          <w:tab w:leader="none" w:pos="3309" w:val="left"/>
        </w:tabs>
        <w:numPr>
          <w:ilvl w:val="1"/>
          <w:numId w:val="151"/>
        </w:numPr>
        <w:rPr>
          <w:rFonts w:ascii="Arial" w:cs="Arial" w:eastAsia="Arial" w:hAnsi="Arial"/>
          <w:sz w:val="18"/>
          <w:szCs w:val="18"/>
          <w:color w:val="auto"/>
        </w:rPr>
      </w:pPr>
      <w:r>
        <w:rPr>
          <w:rFonts w:ascii="Arial" w:cs="Arial" w:eastAsia="Arial" w:hAnsi="Arial"/>
          <w:sz w:val="19"/>
          <w:szCs w:val="19"/>
          <w:color w:val="auto"/>
        </w:rPr>
        <w:t>Borrowers shall deliver to Agent all tangible Chattel Paper and all Instruments and documents, with a value in excess of $100,000, owned by any Borrower and constituting part of the Collateral duly endorsed and accompanied by duly executed instruments of transfer or assignment, all in form and substance satisfactory to Agent. Borrowers shall provide Agent with “control” (as defined in Article 9 of the UCC) of all electronic Chattel Paper, with a value in excess of $100,000 in the aggregate for all such Chattel Paper, owned by any Borrower and constituting part of the Collateral by having Agent identified as the assignee on the records pertaining to the single authoritative copy thereof and otherwise complying with the applicable elements of control set forth in the UCC. Borrowers also shall deliver to Agent all security agreements securing any such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7" w:name="page188"/>
    <w:bookmarkEnd w:id="187"/>
    <w:p>
      <w:pPr>
        <w:ind w:right="20"/>
        <w:spacing w:after="0" w:line="250" w:lineRule="auto"/>
        <w:rPr>
          <w:sz w:val="20"/>
          <w:szCs w:val="20"/>
          <w:color w:val="auto"/>
        </w:rPr>
      </w:pPr>
      <w:r>
        <w:rPr>
          <w:rFonts w:ascii="Arial" w:cs="Arial" w:eastAsia="Arial" w:hAnsi="Arial"/>
          <w:sz w:val="22"/>
          <w:szCs w:val="22"/>
          <w:color w:val="auto"/>
        </w:rPr>
        <w:t>Chattel Paper and securing any such Instruments. Borrowers shall comply with all the provisions of Section 5.14 with respect to the Deposit Accounts and Securities Accounts of Borrowers.</w:t>
      </w:r>
    </w:p>
    <w:p>
      <w:pPr>
        <w:spacing w:after="0" w:line="175" w:lineRule="exact"/>
        <w:rPr>
          <w:sz w:val="20"/>
          <w:szCs w:val="20"/>
          <w:color w:val="auto"/>
        </w:rPr>
      </w:pPr>
    </w:p>
    <w:p>
      <w:pPr>
        <w:jc w:val="both"/>
        <w:ind w:firstLine="1586"/>
        <w:spacing w:after="0" w:line="234" w:lineRule="auto"/>
        <w:tabs>
          <w:tab w:leader="none" w:pos="2484" w:val="left"/>
        </w:tabs>
        <w:numPr>
          <w:ilvl w:val="0"/>
          <w:numId w:val="152"/>
        </w:numPr>
        <w:rPr>
          <w:rFonts w:ascii="Arial" w:cs="Arial" w:eastAsia="Arial" w:hAnsi="Arial"/>
          <w:sz w:val="20"/>
          <w:szCs w:val="20"/>
          <w:color w:val="auto"/>
        </w:rPr>
      </w:pPr>
      <w:r>
        <w:rPr>
          <w:rFonts w:ascii="Arial" w:cs="Arial" w:eastAsia="Arial" w:hAnsi="Arial"/>
          <w:sz w:val="22"/>
          <w:szCs w:val="22"/>
          <w:color w:val="auto"/>
        </w:rPr>
        <w:t>Borrowers shall deliver to Agent all letters of credit with a face value in excess of $100,000 on which any Borrower is the beneficiary and which give rise to letter of credit rights owned by such Borrower which constitute part of the Collateral in each case duly endorsed and accompanied by duly executed instruments of transfer or assignment, all in form and substance reasonably satisfactory to Agent. Borrowers shall take any and all actions as may be necessary or desirable, or that Agent may request, from time to time, to cause Agent to obtain exclusive “control” (as defined in Article 9 of the UCC) of any such letter of credit rights in a manner reasonably acceptable to Agent.</w:t>
      </w:r>
    </w:p>
    <w:p>
      <w:pPr>
        <w:spacing w:after="0" w:line="190" w:lineRule="exact"/>
        <w:rPr>
          <w:rFonts w:ascii="Arial" w:cs="Arial" w:eastAsia="Arial" w:hAnsi="Arial"/>
          <w:sz w:val="20"/>
          <w:szCs w:val="20"/>
          <w:color w:val="auto"/>
        </w:rPr>
      </w:pPr>
    </w:p>
    <w:p>
      <w:pPr>
        <w:jc w:val="both"/>
        <w:ind w:firstLine="1586"/>
        <w:spacing w:after="0" w:line="277" w:lineRule="auto"/>
        <w:tabs>
          <w:tab w:leader="none" w:pos="2539" w:val="left"/>
        </w:tabs>
        <w:numPr>
          <w:ilvl w:val="0"/>
          <w:numId w:val="152"/>
        </w:numPr>
        <w:rPr>
          <w:rFonts w:ascii="Arial" w:cs="Arial" w:eastAsia="Arial" w:hAnsi="Arial"/>
          <w:sz w:val="18"/>
          <w:szCs w:val="18"/>
          <w:color w:val="auto"/>
        </w:rPr>
      </w:pPr>
      <w:r>
        <w:rPr>
          <w:rFonts w:ascii="Arial" w:cs="Arial" w:eastAsia="Arial" w:hAnsi="Arial"/>
          <w:sz w:val="19"/>
          <w:szCs w:val="19"/>
          <w:color w:val="auto"/>
        </w:rPr>
        <w:t>Borrowers shall promptly advise Agent upon any Borrower becoming aware that it has any interests in any commercial tort claims in excess of $100,000 that constitutes part of the Collateral, which such notice shall include descriptions of the events and circumstances giving rise to such commercial tort claim and the dates such events and circumstances occurred, the potential defendants with respect to such commercial tort claim and any court proceedings that have been instituted with respect to such commercial tort claims, and Borrowers shall, with respect to any such commercial tort claim, execute and deliver to Agent such documents as Agent shall request to perfect, preserve or protect the Liens, rights and remedies of Agent with respect to any such commercial tort claim.</w:t>
      </w:r>
    </w:p>
    <w:p>
      <w:pPr>
        <w:spacing w:after="0" w:line="151" w:lineRule="exact"/>
        <w:rPr>
          <w:rFonts w:ascii="Arial" w:cs="Arial" w:eastAsia="Arial" w:hAnsi="Arial"/>
          <w:sz w:val="18"/>
          <w:szCs w:val="18"/>
          <w:color w:val="auto"/>
        </w:rPr>
      </w:pPr>
    </w:p>
    <w:p>
      <w:pPr>
        <w:jc w:val="both"/>
        <w:ind w:firstLine="1586"/>
        <w:spacing w:after="0" w:line="272" w:lineRule="auto"/>
        <w:tabs>
          <w:tab w:leader="none" w:pos="2528" w:val="left"/>
        </w:tabs>
        <w:numPr>
          <w:ilvl w:val="0"/>
          <w:numId w:val="152"/>
        </w:numPr>
        <w:rPr>
          <w:rFonts w:ascii="Arial" w:cs="Arial" w:eastAsia="Arial" w:hAnsi="Arial"/>
          <w:sz w:val="18"/>
          <w:szCs w:val="18"/>
          <w:color w:val="auto"/>
        </w:rPr>
      </w:pPr>
      <w:r>
        <w:rPr>
          <w:rFonts w:ascii="Arial" w:cs="Arial" w:eastAsia="Arial" w:hAnsi="Arial"/>
          <w:sz w:val="19"/>
          <w:szCs w:val="19"/>
          <w:color w:val="auto"/>
        </w:rPr>
        <w:t xml:space="preserve">Except for Accounts, Inventory in transit and Inventory in an aggregate amount of $100,000, no Accounts or Inventory or other Collateral and no books and records and/or software and equipment of the Borrowers regarding any of the Collateral or any of the Borrower’s assets, liabilities, business operations or financial condition (unless also available at a location subject to a landlord waiver or similar agreement) shall at any time be located at any leased location or in the possession or control of any warehouse, consignee, bailee or any of Borrowers’ agents or processors, without prior written notice to Agent and the receipt by Agent, of warehouse receipts, consignment agreements, landlord waivers, or bailee waivers (as applicable) reasonably satisfactory to Agent prior to the commencement of such lease or of such possession or control (as applicable). Borrower has notified Agent that Collateral and books and records are currently located at the locations set forth on </w:t>
      </w:r>
      <w:r>
        <w:rPr>
          <w:rFonts w:ascii="Arial" w:cs="Arial" w:eastAsia="Arial" w:hAnsi="Arial"/>
          <w:sz w:val="19"/>
          <w:szCs w:val="19"/>
          <w:u w:val="single" w:color="auto"/>
          <w:color w:val="auto"/>
        </w:rPr>
        <w:t>Schedule 9.2</w:t>
      </w:r>
      <w:r>
        <w:rPr>
          <w:rFonts w:ascii="Arial" w:cs="Arial" w:eastAsia="Arial" w:hAnsi="Arial"/>
          <w:sz w:val="19"/>
          <w:szCs w:val="19"/>
          <w:color w:val="auto"/>
        </w:rPr>
        <w:t>. Borrowers shall, upon the reasonable request of Agent, notify any such landlord, warehouse, consignee, bailee, agent or processor of the security interests and Liens in favor of Agent created pursuant to this Agreement and the Security Documents, instruct such Person to hold all such Collateral for Agent’s account subject to Agent’s instructions and shall obtain an acknowledgement from such Person that such Person holds the Collateral for Agent’s benefit.</w:t>
      </w:r>
    </w:p>
    <w:p>
      <w:pPr>
        <w:spacing w:after="0" w:line="155" w:lineRule="exact"/>
        <w:rPr>
          <w:rFonts w:ascii="Arial" w:cs="Arial" w:eastAsia="Arial" w:hAnsi="Arial"/>
          <w:sz w:val="18"/>
          <w:szCs w:val="18"/>
          <w:color w:val="auto"/>
        </w:rPr>
      </w:pPr>
    </w:p>
    <w:p>
      <w:pPr>
        <w:jc w:val="both"/>
        <w:ind w:firstLine="1586"/>
        <w:spacing w:after="0"/>
        <w:tabs>
          <w:tab w:leader="none" w:pos="2473" w:val="left"/>
        </w:tabs>
        <w:numPr>
          <w:ilvl w:val="0"/>
          <w:numId w:val="152"/>
        </w:numPr>
        <w:rPr>
          <w:rFonts w:ascii="Arial" w:cs="Arial" w:eastAsia="Arial" w:hAnsi="Arial"/>
          <w:sz w:val="20"/>
          <w:szCs w:val="20"/>
          <w:color w:val="auto"/>
        </w:rPr>
      </w:pPr>
      <w:r>
        <w:rPr>
          <w:rFonts w:ascii="Arial" w:cs="Arial" w:eastAsia="Arial" w:hAnsi="Arial"/>
          <w:sz w:val="22"/>
          <w:szCs w:val="22"/>
          <w:color w:val="auto"/>
        </w:rPr>
        <w:t>Borrowers shall cause all equipment and other tangible personal property other than Inventory to be maintained and preserved in the same condition, repair and in working order as when new, ordinary wear and tear and casualty loss</w:t>
      </w:r>
    </w:p>
    <w:p>
      <w:pPr>
        <w:spacing w:after="0" w:line="18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88" w:name="page189"/>
    <w:bookmarkEnd w:id="188"/>
    <w:p>
      <w:pPr>
        <w:jc w:val="both"/>
        <w:spacing w:after="0" w:line="234" w:lineRule="auto"/>
        <w:rPr>
          <w:sz w:val="20"/>
          <w:szCs w:val="20"/>
          <w:color w:val="auto"/>
        </w:rPr>
      </w:pPr>
      <w:r>
        <w:rPr>
          <w:rFonts w:ascii="Arial" w:cs="Arial" w:eastAsia="Arial" w:hAnsi="Arial"/>
          <w:sz w:val="22"/>
          <w:szCs w:val="22"/>
          <w:color w:val="auto"/>
        </w:rPr>
        <w:t>excepted, and shall promptly make or cause to be made all repairs, replacements and other improvements in connection therewith that are necessary or desirable to such end. Upon request of Agent, Borrowers shall promptly deliver to Agent any and all certificates of title, applications for title or similar evidence of ownership of all such tangible personal property and shall cause Agent to be named as lienholder on any such certificate of title or other evidence of ownership except with respect to motor vehicles with an aggregate value of less than $100,000. Borrowers shall not permit any such tangible personal property to become fixtures to real estate unless such real estate is subject to a Lien in favor of Agent.</w:t>
      </w:r>
    </w:p>
    <w:p>
      <w:pPr>
        <w:spacing w:after="0" w:line="191" w:lineRule="exact"/>
        <w:rPr>
          <w:sz w:val="20"/>
          <w:szCs w:val="20"/>
          <w:color w:val="auto"/>
        </w:rPr>
      </w:pPr>
    </w:p>
    <w:p>
      <w:pPr>
        <w:jc w:val="both"/>
        <w:ind w:firstLine="1586"/>
        <w:spacing w:after="0" w:line="245" w:lineRule="auto"/>
        <w:tabs>
          <w:tab w:leader="none" w:pos="2528" w:val="left"/>
        </w:tabs>
        <w:numPr>
          <w:ilvl w:val="0"/>
          <w:numId w:val="153"/>
        </w:numPr>
        <w:rPr>
          <w:rFonts w:ascii="Arial" w:cs="Arial" w:eastAsia="Arial" w:hAnsi="Arial"/>
          <w:sz w:val="19"/>
          <w:szCs w:val="19"/>
          <w:color w:val="auto"/>
        </w:rPr>
      </w:pPr>
      <w:r>
        <w:rPr>
          <w:rFonts w:ascii="Arial" w:cs="Arial" w:eastAsia="Arial" w:hAnsi="Arial"/>
          <w:sz w:val="21"/>
          <w:szCs w:val="21"/>
          <w:color w:val="auto"/>
        </w:rPr>
        <w:t>Each Borrower hereby authorizes Agent to file without the signature of such Borrower one or more UCC financing statements relating to liens on personal property relating to all or any part of the Collateral, which financing statements may list Agent as the “secured party” and such Borrower as the “debtor” and which describe and indicate the collateral covered thereby as all or any part of the Collateral under the Financing Documents in such jurisdictions as Agent from time to time determines are appropriate, and to file without the signature of such Borrower any continuations of or corrective amendments to any such financing statements, in any such case in order for Agent to perfect, preserve or protect the Liens, rights and remedies of Agent with respect to the Collateral. Each Borrower also ratifies its authorization for Agent to have filed in any jurisdiction any initial financing statements or amendments thereto if filed prior to the date hereof.</w:t>
      </w:r>
    </w:p>
    <w:p>
      <w:pPr>
        <w:spacing w:after="0" w:line="184" w:lineRule="exact"/>
        <w:rPr>
          <w:rFonts w:ascii="Arial" w:cs="Arial" w:eastAsia="Arial" w:hAnsi="Arial"/>
          <w:sz w:val="19"/>
          <w:szCs w:val="19"/>
          <w:color w:val="auto"/>
        </w:rPr>
      </w:pPr>
    </w:p>
    <w:p>
      <w:pPr>
        <w:jc w:val="both"/>
        <w:ind w:firstLine="1586"/>
        <w:spacing w:after="0" w:line="277" w:lineRule="auto"/>
        <w:tabs>
          <w:tab w:leader="none" w:pos="2583" w:val="left"/>
        </w:tabs>
        <w:numPr>
          <w:ilvl w:val="0"/>
          <w:numId w:val="153"/>
        </w:numPr>
        <w:rPr>
          <w:rFonts w:ascii="Arial" w:cs="Arial" w:eastAsia="Arial" w:hAnsi="Arial"/>
          <w:sz w:val="18"/>
          <w:szCs w:val="18"/>
          <w:color w:val="auto"/>
        </w:rPr>
      </w:pPr>
      <w:r>
        <w:rPr>
          <w:rFonts w:ascii="Arial" w:cs="Arial" w:eastAsia="Arial" w:hAnsi="Arial"/>
          <w:sz w:val="19"/>
          <w:szCs w:val="19"/>
          <w:color w:val="auto"/>
        </w:rPr>
        <w:t>As of the Closing Date, no Borrower holds, and after the Closing Date, Borrowers shall promptly notify Agent in writing upon creation or acquisition by any Borrower of, any Collateral which constitutes a claim against any Governmental Authority, including, without limitation, the federal government of the United States or any instrumentality or agency thereof, the assignment of which claim is restricted by any applicable Law, including, without limitation, the federal Assignment of Claims Act and any other comparable Law. Upon the request of Agent, Borrowers shall take such steps as may be necessary or desirable, or that Agent may request, to comply with any such applicable Law in respect of any claim exceeding $50,000 or $250,000 in the aggregate with respect to all such claims.</w:t>
      </w:r>
    </w:p>
    <w:p>
      <w:pPr>
        <w:spacing w:after="0" w:line="151" w:lineRule="exact"/>
        <w:rPr>
          <w:rFonts w:ascii="Arial" w:cs="Arial" w:eastAsia="Arial" w:hAnsi="Arial"/>
          <w:sz w:val="18"/>
          <w:szCs w:val="18"/>
          <w:color w:val="auto"/>
        </w:rPr>
      </w:pPr>
    </w:p>
    <w:p>
      <w:pPr>
        <w:jc w:val="both"/>
        <w:ind w:firstLine="1586"/>
        <w:spacing w:after="0"/>
        <w:tabs>
          <w:tab w:leader="none" w:pos="2638" w:val="left"/>
        </w:tabs>
        <w:numPr>
          <w:ilvl w:val="0"/>
          <w:numId w:val="153"/>
        </w:numPr>
        <w:rPr>
          <w:rFonts w:ascii="Arial" w:cs="Arial" w:eastAsia="Arial" w:hAnsi="Arial"/>
          <w:sz w:val="20"/>
          <w:szCs w:val="20"/>
          <w:color w:val="auto"/>
        </w:rPr>
      </w:pPr>
      <w:r>
        <w:rPr>
          <w:rFonts w:ascii="Arial" w:cs="Arial" w:eastAsia="Arial" w:hAnsi="Arial"/>
          <w:sz w:val="22"/>
          <w:szCs w:val="22"/>
          <w:color w:val="auto"/>
        </w:rPr>
        <w:t>Borrowers shall furnish to Agent from time to time any statements and schedules further identifying or describing the Collateral and any other information, reports or evidence concerning the Collateral as Agent may reasonably request from time to time.</w:t>
      </w:r>
    </w:p>
    <w:p>
      <w:pPr>
        <w:spacing w:after="0" w:line="186" w:lineRule="exact"/>
        <w:rPr>
          <w:rFonts w:ascii="Arial" w:cs="Arial" w:eastAsia="Arial" w:hAnsi="Arial"/>
          <w:sz w:val="20"/>
          <w:szCs w:val="20"/>
          <w:color w:val="auto"/>
        </w:rPr>
      </w:pPr>
    </w:p>
    <w:p>
      <w:pPr>
        <w:jc w:val="both"/>
        <w:ind w:firstLine="1586"/>
        <w:spacing w:after="0" w:line="248" w:lineRule="auto"/>
        <w:tabs>
          <w:tab w:leader="none" w:pos="2528" w:val="left"/>
        </w:tabs>
        <w:numPr>
          <w:ilvl w:val="0"/>
          <w:numId w:val="153"/>
        </w:numPr>
        <w:rPr>
          <w:rFonts w:ascii="Arial" w:cs="Arial" w:eastAsia="Arial" w:hAnsi="Arial"/>
          <w:sz w:val="19"/>
          <w:szCs w:val="19"/>
          <w:color w:val="auto"/>
        </w:rPr>
      </w:pPr>
      <w:r>
        <w:rPr>
          <w:rFonts w:ascii="Arial" w:cs="Arial" w:eastAsia="Arial" w:hAnsi="Arial"/>
          <w:sz w:val="21"/>
          <w:szCs w:val="21"/>
          <w:color w:val="auto"/>
        </w:rPr>
        <w:t>Notwithstanding anything in this Agreement or any other Financing Document to the contrary, Borrowers shall not be required to take any steps (A) to perfect any security interest in any leasehold interest in real property and (B) to perfect any security interest under the laws of any jurisdiction other than the United States of America (or any state thereof or the District of Columbia) in those assets as to which Agent determines (in its reasonable discretion) that the cost of obtaining such a security interest or perfection thereof are excessive in relation to the benefit to Lenders of the security or perfection to be afforded thereby.</w:t>
      </w:r>
    </w:p>
    <w:p>
      <w:pPr>
        <w:spacing w:after="0" w:line="17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89" w:name="page190"/>
    <w:bookmarkEnd w:id="189"/>
    <w:p>
      <w:pPr>
        <w:jc w:val="both"/>
        <w:ind w:left="880" w:firstLine="1586"/>
        <w:spacing w:after="0" w:line="271" w:lineRule="auto"/>
        <w:tabs>
          <w:tab w:leader="none" w:pos="3353" w:val="left"/>
        </w:tabs>
        <w:numPr>
          <w:ilvl w:val="0"/>
          <w:numId w:val="154"/>
        </w:numPr>
        <w:rPr>
          <w:rFonts w:ascii="Arial" w:cs="Arial" w:eastAsia="Arial" w:hAnsi="Arial"/>
          <w:sz w:val="18"/>
          <w:szCs w:val="18"/>
          <w:color w:val="auto"/>
        </w:rPr>
      </w:pPr>
      <w:r>
        <w:rPr>
          <w:rFonts w:ascii="Arial" w:cs="Arial" w:eastAsia="Arial" w:hAnsi="Arial"/>
          <w:sz w:val="19"/>
          <w:szCs w:val="19"/>
          <w:color w:val="auto"/>
        </w:rPr>
        <w:t xml:space="preserve">If any Borrower desires to enter into a Permitted License and the proposed licensee under such Permitted License requests that Agent enter into a non-disturbance agreement (or similar agreement) in connection with such Permitted License, Agent hereby agrees to negotiate in good faith and on a commercially reasonable basis with such Borrower and such licensee to enter into such a non-disturbance and attornment agreement with respect to the proposed Permitted License and the Intellectual Property that is the subject thereof, which shall provide (among other things) (A) that, notwithstanding any exercise of rights and/or remedies by the Agent under this Agreement in respect of the Intellectual Property that is the subject of such Permitted License, such licensee shall continue to have the rights and licenses set forth in its license agreement to the extent that such licensee is in compliance with the terms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bankruptcy or insolvency proceeding with respect to such Borrower the rights of such licensee and the Agent shall be determined in accordance with the Bankruptcy Code (or other Laws applicable to such proceeding), (B) an acknowledgement and consent by such licensee of Agent’s security interest in the Collateral (including, to the extent applicable, such Permitted License and the Intellectual Property that is the subject thereof), and (C) that such Permitted License shall attorn to the owner of such Intellectual Property after such exercise of rights and remedies.</w:t>
      </w:r>
    </w:p>
    <w:p>
      <w:pPr>
        <w:spacing w:after="0" w:line="200" w:lineRule="exact"/>
        <w:rPr>
          <w:sz w:val="20"/>
          <w:szCs w:val="20"/>
          <w:color w:val="auto"/>
        </w:rPr>
      </w:pPr>
    </w:p>
    <w:p>
      <w:pPr>
        <w:spacing w:after="0" w:line="209" w:lineRule="exact"/>
        <w:rPr>
          <w:sz w:val="20"/>
          <w:szCs w:val="20"/>
          <w:color w:val="auto"/>
        </w:rPr>
      </w:pPr>
    </w:p>
    <w:p>
      <w:pPr>
        <w:ind w:left="3640"/>
        <w:spacing w:after="0"/>
        <w:tabs>
          <w:tab w:leader="none" w:pos="5400" w:val="left"/>
        </w:tabs>
        <w:rPr>
          <w:sz w:val="20"/>
          <w:szCs w:val="20"/>
          <w:color w:val="auto"/>
        </w:rPr>
      </w:pPr>
      <w:r>
        <w:rPr>
          <w:rFonts w:ascii="Arial" w:cs="Arial" w:eastAsia="Arial" w:hAnsi="Arial"/>
          <w:sz w:val="20"/>
          <w:szCs w:val="20"/>
          <w:b w:val="1"/>
          <w:bCs w:val="1"/>
          <w:color w:val="auto"/>
        </w:rPr>
        <w:t>ARTICLE 10</w:t>
      </w:r>
      <w:r>
        <w:rPr>
          <w:sz w:val="20"/>
          <w:szCs w:val="20"/>
          <w:color w:val="auto"/>
        </w:rPr>
        <w:tab/>
      </w:r>
      <w:r>
        <w:rPr>
          <w:rFonts w:ascii="Arial" w:cs="Arial" w:eastAsia="Arial" w:hAnsi="Arial"/>
          <w:sz w:val="19"/>
          <w:szCs w:val="19"/>
          <w:b w:val="1"/>
          <w:bCs w:val="1"/>
          <w:color w:val="auto"/>
        </w:rPr>
        <w:t>- EVENTS OF DEFAULT</w:t>
      </w:r>
    </w:p>
    <w:p>
      <w:pPr>
        <w:spacing w:after="0" w:line="21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Events of Default</w:t>
      </w:r>
      <w:r>
        <w:rPr>
          <w:rFonts w:ascii="Arial" w:cs="Arial" w:eastAsia="Arial" w:hAnsi="Arial"/>
          <w:sz w:val="21"/>
          <w:szCs w:val="21"/>
          <w:color w:val="auto"/>
        </w:rPr>
        <w:t>. For purposes of the Financing Documents, the occurrence of any of the following</w:t>
      </w:r>
      <w:r>
        <w:rPr>
          <w:rFonts w:ascii="Arial" w:cs="Arial" w:eastAsia="Arial" w:hAnsi="Arial"/>
          <w:sz w:val="20"/>
          <w:szCs w:val="20"/>
          <w:color w:val="auto"/>
        </w:rPr>
        <w:t xml:space="preserve"> </w:t>
      </w:r>
      <w:r>
        <w:rPr>
          <w:rFonts w:ascii="Arial" w:cs="Arial" w:eastAsia="Arial" w:hAnsi="Arial"/>
          <w:sz w:val="21"/>
          <w:szCs w:val="21"/>
          <w:color w:val="auto"/>
        </w:rPr>
        <w:t>conditions and/or events, whether voluntary or involuntary, by operation of law or otherwise, shall constitute an “</w:t>
      </w:r>
      <w:r>
        <w:rPr>
          <w:rFonts w:ascii="Arial" w:cs="Arial" w:eastAsia="Arial" w:hAnsi="Arial"/>
          <w:sz w:val="21"/>
          <w:szCs w:val="21"/>
          <w:b w:val="1"/>
          <w:bCs w:val="1"/>
          <w:color w:val="auto"/>
        </w:rPr>
        <w:t>Event of</w:t>
      </w:r>
      <w:r>
        <w:rPr>
          <w:rFonts w:ascii="Arial" w:cs="Arial" w:eastAsia="Arial" w:hAnsi="Arial"/>
          <w:sz w:val="21"/>
          <w:szCs w:val="21"/>
          <w:color w:val="auto"/>
        </w:rPr>
        <w:t xml:space="preserve"> </w:t>
      </w:r>
      <w:r>
        <w:rPr>
          <w:rFonts w:ascii="Arial" w:cs="Arial" w:eastAsia="Arial" w:hAnsi="Arial"/>
          <w:sz w:val="21"/>
          <w:szCs w:val="21"/>
          <w:b w:val="1"/>
          <w:bCs w:val="1"/>
          <w:color w:val="auto"/>
        </w:rPr>
        <w:t>Default</w:t>
      </w:r>
      <w:r>
        <w:rPr>
          <w:rFonts w:ascii="Arial" w:cs="Arial" w:eastAsia="Arial" w:hAnsi="Arial"/>
          <w:sz w:val="21"/>
          <w:szCs w:val="21"/>
          <w:color w:val="auto"/>
        </w:rPr>
        <w:t>”:</w:t>
      </w:r>
    </w:p>
    <w:p>
      <w:pPr>
        <w:spacing w:after="0" w:line="169" w:lineRule="exact"/>
        <w:rPr>
          <w:sz w:val="20"/>
          <w:szCs w:val="20"/>
          <w:color w:val="auto"/>
        </w:rPr>
      </w:pPr>
    </w:p>
    <w:p>
      <w:pPr>
        <w:jc w:val="both"/>
        <w:ind w:firstLine="1735"/>
        <w:spacing w:after="0" w:line="236" w:lineRule="auto"/>
        <w:tabs>
          <w:tab w:leader="none" w:pos="2595" w:val="left"/>
        </w:tabs>
        <w:numPr>
          <w:ilvl w:val="0"/>
          <w:numId w:val="155"/>
        </w:numPr>
        <w:rPr>
          <w:rFonts w:ascii="Arial" w:cs="Arial" w:eastAsia="Arial" w:hAnsi="Arial"/>
          <w:sz w:val="20"/>
          <w:szCs w:val="20"/>
          <w:color w:val="auto"/>
        </w:rPr>
      </w:pPr>
      <w:r>
        <w:rPr>
          <w:rFonts w:ascii="Arial" w:cs="Arial" w:eastAsia="Arial" w:hAnsi="Arial"/>
          <w:sz w:val="22"/>
          <w:szCs w:val="22"/>
          <w:color w:val="auto"/>
        </w:rPr>
        <w:t>(i) any Borrower shall fail to pay any principal or interest under any Financing Document when due or pay any premium, fee or any other amount payable under any Financing Document within three (3) Business Days of when due, or (ii) there shall occur any default in the performance of or compliance with any of the following sections of this Agreement: Section 2.11, Section 4.1, Section 4.2(b), Section 4.4(c), Section 4.6, 4.9, 4.11(d)-(f), 4.15, 4.16, 4.17, Article 5, Article 6, Section 7.4 or Article 8;</w:t>
      </w:r>
    </w:p>
    <w:p>
      <w:pPr>
        <w:spacing w:after="0" w:line="187" w:lineRule="exact"/>
        <w:rPr>
          <w:rFonts w:ascii="Arial" w:cs="Arial" w:eastAsia="Arial" w:hAnsi="Arial"/>
          <w:sz w:val="20"/>
          <w:szCs w:val="20"/>
          <w:color w:val="auto"/>
        </w:rPr>
      </w:pPr>
    </w:p>
    <w:p>
      <w:pPr>
        <w:jc w:val="both"/>
        <w:ind w:firstLine="1735"/>
        <w:spacing w:after="0" w:line="248" w:lineRule="auto"/>
        <w:tabs>
          <w:tab w:leader="none" w:pos="2606" w:val="left"/>
        </w:tabs>
        <w:numPr>
          <w:ilvl w:val="0"/>
          <w:numId w:val="155"/>
        </w:numPr>
        <w:rPr>
          <w:rFonts w:ascii="Arial" w:cs="Arial" w:eastAsia="Arial" w:hAnsi="Arial"/>
          <w:sz w:val="19"/>
          <w:szCs w:val="19"/>
          <w:color w:val="auto"/>
        </w:rPr>
      </w:pPr>
      <w:r>
        <w:rPr>
          <w:rFonts w:ascii="Arial" w:cs="Arial" w:eastAsia="Arial" w:hAnsi="Arial"/>
          <w:sz w:val="21"/>
          <w:szCs w:val="21"/>
          <w:color w:val="auto"/>
        </w:rPr>
        <w:t>any Credit Party defaults in the performance of or compliance with any term contained in this Agreement or in any other Financing Document (other than occurrences described in other provisions of this Section 10.1 for which a different grace or cure period is specified or for which no grace or cure period is specified and thereby constitute immediate Events of Default) and such default is not remedied by the Credit Party or waived by Agent within twenty (20) days after the earlier of (i) receipt by Borrower Representative of notice from Agent or Required Lenders of such default, or (ii) actual knowledge of any Borrower or any other Credit Party of such default;</w:t>
      </w:r>
    </w:p>
    <w:p>
      <w:pPr>
        <w:spacing w:after="0" w:line="176" w:lineRule="exact"/>
        <w:rPr>
          <w:rFonts w:ascii="Arial" w:cs="Arial" w:eastAsia="Arial" w:hAnsi="Arial"/>
          <w:sz w:val="19"/>
          <w:szCs w:val="19"/>
          <w:color w:val="auto"/>
        </w:rPr>
      </w:pPr>
    </w:p>
    <w:p>
      <w:pPr>
        <w:jc w:val="both"/>
        <w:ind w:firstLine="1735"/>
        <w:spacing w:after="0" w:line="252" w:lineRule="auto"/>
        <w:tabs>
          <w:tab w:leader="none" w:pos="2595" w:val="left"/>
        </w:tabs>
        <w:numPr>
          <w:ilvl w:val="0"/>
          <w:numId w:val="155"/>
        </w:numPr>
        <w:rPr>
          <w:rFonts w:ascii="Arial" w:cs="Arial" w:eastAsia="Arial" w:hAnsi="Arial"/>
          <w:sz w:val="19"/>
          <w:szCs w:val="19"/>
          <w:color w:val="auto"/>
        </w:rPr>
      </w:pPr>
      <w:r>
        <w:rPr>
          <w:rFonts w:ascii="Arial" w:cs="Arial" w:eastAsia="Arial" w:hAnsi="Arial"/>
          <w:sz w:val="21"/>
          <w:szCs w:val="21"/>
          <w:color w:val="auto"/>
        </w:rPr>
        <w:t>any representation, warranty, certification or statement made by any Credit Party or any other Person in any Financing Document or in any certificate, financial statement or other document delivered pursuant to any Financing Document is incorrect in any respect (or in any material respect if such representation, warranty, certification or statement is not by its terms already qualified as to materiality) when made (or deemed made);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0" w:name="page191"/>
    <w:bookmarkEnd w:id="190"/>
    <w:p>
      <w:pPr>
        <w:jc w:val="both"/>
        <w:ind w:firstLine="1735"/>
        <w:spacing w:after="0" w:line="246" w:lineRule="auto"/>
        <w:tabs>
          <w:tab w:leader="none" w:pos="2606" w:val="left"/>
        </w:tabs>
        <w:numPr>
          <w:ilvl w:val="1"/>
          <w:numId w:val="156"/>
        </w:numPr>
        <w:rPr>
          <w:rFonts w:ascii="Arial" w:cs="Arial" w:eastAsia="Arial" w:hAnsi="Arial"/>
          <w:sz w:val="19"/>
          <w:szCs w:val="19"/>
          <w:color w:val="auto"/>
        </w:rPr>
      </w:pPr>
      <w:r>
        <w:rPr>
          <w:rFonts w:ascii="Arial" w:cs="Arial" w:eastAsia="Arial" w:hAnsi="Arial"/>
          <w:sz w:val="21"/>
          <w:szCs w:val="21"/>
          <w:color w:val="auto"/>
        </w:rPr>
        <w:t>(i) failure of any Credit Party to pay when due or within any applicable grace period any principal, interest or other amount on Debt (other than the Loans), or the occurrence of any breach, default, condition or event with respect to any Debt (other than the Loans), if the effect of such failure or occurrence is to cause or to permit the holder or holders of any such Debt, or to cause, Debt or other liabilities having an individual principal amount in excess of $500,000 or having an aggregate principal amount in excess of $500,000 to become or be declared due prior to its stated maturity, or (ii) the occurrence of any breach or default under any terms or provisions of any Subordinated Debt Document or under any agreement subordinating the Subordinated Debt to all or any portion of the Obligations or the occurrence of any event requiring the prepayment of any Subordinated Debt;</w:t>
      </w:r>
    </w:p>
    <w:p>
      <w:pPr>
        <w:spacing w:after="0" w:line="179" w:lineRule="exact"/>
        <w:rPr>
          <w:rFonts w:ascii="Arial" w:cs="Arial" w:eastAsia="Arial" w:hAnsi="Arial"/>
          <w:sz w:val="19"/>
          <w:szCs w:val="19"/>
          <w:color w:val="auto"/>
        </w:rPr>
      </w:pPr>
    </w:p>
    <w:p>
      <w:pPr>
        <w:jc w:val="both"/>
        <w:ind w:firstLine="1735"/>
        <w:spacing w:after="0" w:line="234" w:lineRule="auto"/>
        <w:tabs>
          <w:tab w:leader="none" w:pos="2595" w:val="left"/>
        </w:tabs>
        <w:numPr>
          <w:ilvl w:val="1"/>
          <w:numId w:val="156"/>
        </w:numPr>
        <w:rPr>
          <w:rFonts w:ascii="Arial" w:cs="Arial" w:eastAsia="Arial" w:hAnsi="Arial"/>
          <w:sz w:val="20"/>
          <w:szCs w:val="20"/>
          <w:color w:val="auto"/>
        </w:rPr>
      </w:pPr>
      <w:r>
        <w:rPr>
          <w:rFonts w:ascii="Arial" w:cs="Arial" w:eastAsia="Arial" w:hAnsi="Arial"/>
          <w:sz w:val="22"/>
          <w:szCs w:val="22"/>
          <w:color w:val="auto"/>
        </w:rPr>
        <w:t>any Credit Party or any Subsidiary of a Borrower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90" w:lineRule="exact"/>
        <w:rPr>
          <w:rFonts w:ascii="Arial" w:cs="Arial" w:eastAsia="Arial" w:hAnsi="Arial"/>
          <w:sz w:val="20"/>
          <w:szCs w:val="20"/>
          <w:color w:val="auto"/>
        </w:rPr>
      </w:pPr>
    </w:p>
    <w:p>
      <w:pPr>
        <w:jc w:val="both"/>
        <w:ind w:firstLine="1735"/>
        <w:spacing w:after="0" w:line="269" w:lineRule="auto"/>
        <w:tabs>
          <w:tab w:leader="none" w:pos="2573" w:val="left"/>
        </w:tabs>
        <w:numPr>
          <w:ilvl w:val="1"/>
          <w:numId w:val="156"/>
        </w:numPr>
        <w:rPr>
          <w:rFonts w:ascii="Arial" w:cs="Arial" w:eastAsia="Arial" w:hAnsi="Arial"/>
          <w:sz w:val="18"/>
          <w:szCs w:val="18"/>
          <w:color w:val="auto"/>
        </w:rPr>
      </w:pPr>
      <w:r>
        <w:rPr>
          <w:rFonts w:ascii="Arial" w:cs="Arial" w:eastAsia="Arial" w:hAnsi="Arial"/>
          <w:sz w:val="19"/>
          <w:szCs w:val="19"/>
          <w:color w:val="auto"/>
        </w:rPr>
        <w:t>an involuntary case or other proceeding shall be commenced against any Credit Party or any Subsidiary of a Borrower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sixty (60) days; or an order for relief shall be entered against any Credit Party or any Subsidiary of a Borrower under applicable federal bankruptcy, insolvency or other similar law in respect of (i) bankruptcy, liquidation, winding-up, dissolution or suspension of general operations, (ii) composition, rescheduling, reorganization, arrangement or readjustment of, or other relief from, or stay of proceedings to enforce, some or all of the debts or obligations, or</w:t>
      </w:r>
    </w:p>
    <w:p>
      <w:pPr>
        <w:spacing w:after="0" w:line="2" w:lineRule="exact"/>
        <w:rPr>
          <w:rFonts w:ascii="Arial" w:cs="Arial" w:eastAsia="Arial" w:hAnsi="Arial"/>
          <w:sz w:val="18"/>
          <w:szCs w:val="18"/>
          <w:color w:val="auto"/>
        </w:rPr>
      </w:pPr>
    </w:p>
    <w:p>
      <w:pPr>
        <w:ind w:right="20" w:firstLine="8"/>
        <w:spacing w:after="0" w:line="236" w:lineRule="auto"/>
        <w:tabs>
          <w:tab w:leader="none" w:pos="384" w:val="left"/>
        </w:tabs>
        <w:numPr>
          <w:ilvl w:val="0"/>
          <w:numId w:val="157"/>
        </w:numPr>
        <w:rPr>
          <w:rFonts w:ascii="Arial" w:cs="Arial" w:eastAsia="Arial" w:hAnsi="Arial"/>
          <w:sz w:val="22"/>
          <w:szCs w:val="22"/>
          <w:color w:val="auto"/>
        </w:rPr>
      </w:pPr>
      <w:r>
        <w:rPr>
          <w:rFonts w:ascii="Arial" w:cs="Arial" w:eastAsia="Arial" w:hAnsi="Arial"/>
          <w:sz w:val="22"/>
          <w:szCs w:val="22"/>
          <w:color w:val="auto"/>
        </w:rPr>
        <w:t>possession, foreclosure, seizure or retention, sale or other disposition of, or other proceedings to enforce security over, all or any substantial part of the assets of such Credit Party or Subsidiary;</w:t>
      </w:r>
    </w:p>
    <w:p>
      <w:pPr>
        <w:spacing w:after="0" w:line="186" w:lineRule="exact"/>
        <w:rPr>
          <w:rFonts w:ascii="Arial" w:cs="Arial" w:eastAsia="Arial" w:hAnsi="Arial"/>
          <w:sz w:val="22"/>
          <w:szCs w:val="22"/>
          <w:color w:val="auto"/>
        </w:rPr>
      </w:pPr>
    </w:p>
    <w:p>
      <w:pPr>
        <w:jc w:val="both"/>
        <w:ind w:firstLine="1735"/>
        <w:spacing w:after="0" w:line="233" w:lineRule="auto"/>
        <w:tabs>
          <w:tab w:leader="none" w:pos="2606" w:val="left"/>
        </w:tabs>
        <w:numPr>
          <w:ilvl w:val="1"/>
          <w:numId w:val="157"/>
        </w:numPr>
        <w:rPr>
          <w:rFonts w:ascii="Arial" w:cs="Arial" w:eastAsia="Arial" w:hAnsi="Arial"/>
          <w:sz w:val="20"/>
          <w:szCs w:val="20"/>
          <w:color w:val="auto"/>
        </w:rPr>
      </w:pPr>
      <w:r>
        <w:rPr>
          <w:rFonts w:ascii="Arial" w:cs="Arial" w:eastAsia="Arial" w:hAnsi="Arial"/>
          <w:sz w:val="22"/>
          <w:szCs w:val="22"/>
          <w:color w:val="auto"/>
        </w:rPr>
        <w:t>(i) institution of any steps by any Person to terminate a Pension Plan if as a result of such termination any Credit Party or any member of the Controlled Group could be required to make a contribution to such Pension Plan, or could incur a liability or obligation to such Pension Plan, in excess of $500,000, (ii) a contribution failure occurs with respect to any Pension Plan sufficient to give rise to a Lien under Section 303(k) of ERISA or Section 430(k) of the Code or an event occurs that would reasonably be expected to give rise to a Lien securing an amount on excess of $500,000 under Section 4068 of ERISA, or (iii) there shall occur any withdrawal or partial withdrawal from a Multiemployer Plan and the withdrawal liability (without unaccrued interest) to Multiemployer Plans as a result of such withdrawal (including any outstanding withdrawal liability that any Credit Party or any member of the Controlled Group have incurred on the date of such withdrawal) exceeds $500,000;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1" w:name="page192"/>
    <w:bookmarkEnd w:id="191"/>
    <w:p>
      <w:pPr>
        <w:jc w:val="both"/>
        <w:ind w:firstLine="1735"/>
        <w:spacing w:after="0" w:line="273" w:lineRule="auto"/>
        <w:tabs>
          <w:tab w:leader="none" w:pos="2606" w:val="left"/>
        </w:tabs>
        <w:numPr>
          <w:ilvl w:val="1"/>
          <w:numId w:val="158"/>
        </w:numPr>
        <w:rPr>
          <w:rFonts w:ascii="Arial" w:cs="Arial" w:eastAsia="Arial" w:hAnsi="Arial"/>
          <w:sz w:val="18"/>
          <w:szCs w:val="18"/>
          <w:color w:val="auto"/>
        </w:rPr>
      </w:pPr>
      <w:r>
        <w:rPr>
          <w:rFonts w:ascii="Arial" w:cs="Arial" w:eastAsia="Arial" w:hAnsi="Arial"/>
          <w:sz w:val="19"/>
          <w:szCs w:val="19"/>
          <w:color w:val="auto"/>
        </w:rPr>
        <w:t>one or more judgments or orders for the payment of money (not paid or fully covered by insurance maintained in accordance with the requirements of this Agreement and as to which the relevant insurance company has acknowledged coverage) aggregating in excess of $500,000 shall be rendered against any or all Credit Parties and either</w:t>
      </w:r>
    </w:p>
    <w:p>
      <w:pPr>
        <w:spacing w:after="0" w:line="1" w:lineRule="exact"/>
        <w:rPr>
          <w:rFonts w:ascii="Arial" w:cs="Arial" w:eastAsia="Arial" w:hAnsi="Arial"/>
          <w:sz w:val="18"/>
          <w:szCs w:val="18"/>
          <w:color w:val="auto"/>
        </w:rPr>
      </w:pPr>
    </w:p>
    <w:p>
      <w:pPr>
        <w:jc w:val="both"/>
        <w:ind w:firstLine="8"/>
        <w:spacing w:after="0" w:line="234" w:lineRule="auto"/>
        <w:tabs>
          <w:tab w:leader="none" w:pos="26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enforcement proceedings shall have been commenced by any creditor upon any such judgments or orders, or (ii) there shall be any period of twenty (20) consecutive days during which a stay of enforcement of any such judgments or orders, by reason of a pending appeal, bond or otherwise, shall not be in effect;</w:t>
      </w:r>
    </w:p>
    <w:p>
      <w:pPr>
        <w:spacing w:after="0" w:line="187" w:lineRule="exact"/>
        <w:rPr>
          <w:rFonts w:ascii="Arial" w:cs="Arial" w:eastAsia="Arial" w:hAnsi="Arial"/>
          <w:sz w:val="22"/>
          <w:szCs w:val="22"/>
          <w:color w:val="auto"/>
        </w:rPr>
      </w:pPr>
    </w:p>
    <w:p>
      <w:pPr>
        <w:jc w:val="both"/>
        <w:ind w:firstLine="1735"/>
        <w:spacing w:after="0" w:line="287" w:lineRule="auto"/>
        <w:tabs>
          <w:tab w:leader="none" w:pos="2562" w:val="left"/>
        </w:tabs>
        <w:numPr>
          <w:ilvl w:val="1"/>
          <w:numId w:val="159"/>
        </w:numPr>
        <w:rPr>
          <w:rFonts w:ascii="Arial" w:cs="Arial" w:eastAsia="Arial" w:hAnsi="Arial"/>
          <w:sz w:val="18"/>
          <w:szCs w:val="18"/>
          <w:color w:val="auto"/>
        </w:rPr>
      </w:pPr>
      <w:r>
        <w:rPr>
          <w:rFonts w:ascii="Arial" w:cs="Arial" w:eastAsia="Arial" w:hAnsi="Arial"/>
          <w:sz w:val="19"/>
          <w:szCs w:val="19"/>
          <w:color w:val="auto"/>
        </w:rPr>
        <w:t>any Lien created by any of the Security Documents shall at any time fail to constitute a valid and perfected Lien on all of the Collateral purported to be encumbered thereby, subject to no prior or equal Lien except Permitted Liens (other than as a result of any action or inaction of Agent or Required Lenders provided that such action or inaction is not caused by any Credit Parties failure to comply with the terms of the Financing Documents) or any Credit Party shall so assert;</w:t>
      </w:r>
    </w:p>
    <w:p>
      <w:pPr>
        <w:spacing w:after="0" w:line="142" w:lineRule="exact"/>
        <w:rPr>
          <w:rFonts w:ascii="Arial" w:cs="Arial" w:eastAsia="Arial" w:hAnsi="Arial"/>
          <w:sz w:val="18"/>
          <w:szCs w:val="18"/>
          <w:color w:val="auto"/>
        </w:rPr>
      </w:pPr>
    </w:p>
    <w:p>
      <w:pPr>
        <w:ind w:left="2580" w:hanging="845"/>
        <w:spacing w:after="0"/>
        <w:tabs>
          <w:tab w:leader="none" w:pos="2580" w:val="left"/>
        </w:tabs>
        <w:numPr>
          <w:ilvl w:val="1"/>
          <w:numId w:val="159"/>
        </w:numPr>
        <w:rPr>
          <w:rFonts w:ascii="Arial" w:cs="Arial" w:eastAsia="Arial" w:hAnsi="Arial"/>
          <w:sz w:val="18"/>
          <w:szCs w:val="18"/>
          <w:color w:val="auto"/>
        </w:rPr>
      </w:pPr>
      <w:r>
        <w:rPr>
          <w:rFonts w:ascii="Arial" w:cs="Arial" w:eastAsia="Arial" w:hAnsi="Arial"/>
          <w:sz w:val="19"/>
          <w:szCs w:val="19"/>
          <w:color w:val="auto"/>
        </w:rPr>
        <w:t>the institution by any Governmental Authority of criminal proceedings against any Credit Party;</w:t>
      </w:r>
    </w:p>
    <w:p>
      <w:pPr>
        <w:spacing w:after="0" w:line="240" w:lineRule="exact"/>
        <w:rPr>
          <w:rFonts w:ascii="Arial" w:cs="Arial" w:eastAsia="Arial" w:hAnsi="Arial"/>
          <w:sz w:val="18"/>
          <w:szCs w:val="18"/>
          <w:color w:val="auto"/>
        </w:rPr>
      </w:pPr>
    </w:p>
    <w:p>
      <w:pPr>
        <w:ind w:left="2620" w:hanging="885"/>
        <w:spacing w:after="0"/>
        <w:tabs>
          <w:tab w:leader="none" w:pos="2620" w:val="left"/>
        </w:tabs>
        <w:numPr>
          <w:ilvl w:val="1"/>
          <w:numId w:val="159"/>
        </w:numPr>
        <w:rPr>
          <w:rFonts w:ascii="Arial" w:cs="Arial" w:eastAsia="Arial" w:hAnsi="Arial"/>
          <w:sz w:val="20"/>
          <w:szCs w:val="20"/>
          <w:color w:val="auto"/>
        </w:rPr>
      </w:pPr>
      <w:r>
        <w:rPr>
          <w:rFonts w:ascii="Arial" w:cs="Arial" w:eastAsia="Arial" w:hAnsi="Arial"/>
          <w:sz w:val="22"/>
          <w:szCs w:val="22"/>
          <w:color w:val="auto"/>
        </w:rPr>
        <w:t>an event of default occurs under any Guarantee of any portion of the Obligations;</w:t>
      </w:r>
    </w:p>
    <w:p>
      <w:pPr>
        <w:spacing w:after="0" w:line="206" w:lineRule="exact"/>
        <w:rPr>
          <w:rFonts w:ascii="Arial" w:cs="Arial" w:eastAsia="Arial" w:hAnsi="Arial"/>
          <w:sz w:val="20"/>
          <w:szCs w:val="20"/>
          <w:color w:val="auto"/>
        </w:rPr>
      </w:pPr>
    </w:p>
    <w:p>
      <w:pPr>
        <w:ind w:right="20" w:firstLine="1735"/>
        <w:spacing w:after="0" w:line="250" w:lineRule="auto"/>
        <w:tabs>
          <w:tab w:leader="none" w:pos="2562" w:val="left"/>
        </w:tabs>
        <w:numPr>
          <w:ilvl w:val="1"/>
          <w:numId w:val="159"/>
        </w:numPr>
        <w:rPr>
          <w:rFonts w:ascii="Arial" w:cs="Arial" w:eastAsia="Arial" w:hAnsi="Arial"/>
          <w:sz w:val="20"/>
          <w:szCs w:val="20"/>
          <w:color w:val="auto"/>
        </w:rPr>
      </w:pPr>
      <w:r>
        <w:rPr>
          <w:rFonts w:ascii="Arial" w:cs="Arial" w:eastAsia="Arial" w:hAnsi="Arial"/>
          <w:sz w:val="22"/>
          <w:szCs w:val="22"/>
          <w:color w:val="auto"/>
        </w:rPr>
        <w:t>any Borrower makes any payment on account of any Debt that has been subordinated to any of the Obligations, other than payments specifically permitted by the terms of such subordination;</w:t>
      </w:r>
    </w:p>
    <w:p>
      <w:pPr>
        <w:spacing w:after="0" w:line="174" w:lineRule="exact"/>
        <w:rPr>
          <w:rFonts w:ascii="Arial" w:cs="Arial" w:eastAsia="Arial" w:hAnsi="Arial"/>
          <w:sz w:val="20"/>
          <w:szCs w:val="20"/>
          <w:color w:val="auto"/>
        </w:rPr>
      </w:pPr>
    </w:p>
    <w:p>
      <w:pPr>
        <w:jc w:val="both"/>
        <w:ind w:firstLine="1735"/>
        <w:spacing w:after="0" w:line="297" w:lineRule="auto"/>
        <w:tabs>
          <w:tab w:leader="none" w:pos="2661" w:val="left"/>
        </w:tabs>
        <w:numPr>
          <w:ilvl w:val="1"/>
          <w:numId w:val="159"/>
        </w:numPr>
        <w:rPr>
          <w:rFonts w:ascii="Arial" w:cs="Arial" w:eastAsia="Arial" w:hAnsi="Arial"/>
          <w:sz w:val="18"/>
          <w:szCs w:val="18"/>
          <w:color w:val="auto"/>
        </w:rPr>
      </w:pPr>
      <w:r>
        <w:rPr>
          <w:rFonts w:ascii="Arial" w:cs="Arial" w:eastAsia="Arial" w:hAnsi="Arial"/>
          <w:sz w:val="19"/>
          <w:szCs w:val="19"/>
          <w:color w:val="auto"/>
        </w:rPr>
        <w:t>if any Borrower is or becomes an entity whose equity is registered with the SEC, and/or is publicly traded on and/or registered with a public securities exchange, such Borrower’s equity fails to remain registered with the SEC in good standing, and/or such equity fails to remain publicly traded on and registered with a public securities exchange;</w:t>
      </w:r>
    </w:p>
    <w:p>
      <w:pPr>
        <w:spacing w:after="0" w:line="133" w:lineRule="exact"/>
        <w:rPr>
          <w:rFonts w:ascii="Arial" w:cs="Arial" w:eastAsia="Arial" w:hAnsi="Arial"/>
          <w:sz w:val="18"/>
          <w:szCs w:val="18"/>
          <w:color w:val="auto"/>
        </w:rPr>
      </w:pPr>
    </w:p>
    <w:p>
      <w:pPr>
        <w:ind w:left="2620" w:hanging="885"/>
        <w:spacing w:after="0"/>
        <w:tabs>
          <w:tab w:leader="none" w:pos="2620" w:val="left"/>
        </w:tabs>
        <w:numPr>
          <w:ilvl w:val="1"/>
          <w:numId w:val="159"/>
        </w:numPr>
        <w:rPr>
          <w:rFonts w:ascii="Arial" w:cs="Arial" w:eastAsia="Arial" w:hAnsi="Arial"/>
          <w:sz w:val="18"/>
          <w:szCs w:val="18"/>
          <w:color w:val="auto"/>
        </w:rPr>
      </w:pPr>
      <w:r>
        <w:rPr>
          <w:rFonts w:ascii="Arial" w:cs="Arial" w:eastAsia="Arial" w:hAnsi="Arial"/>
          <w:sz w:val="19"/>
          <w:szCs w:val="19"/>
          <w:color w:val="auto"/>
        </w:rPr>
        <w:t>the occurrence of any fact, event or circumstance that would reasonably be expected to result in a</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Material Adverse Effect;</w:t>
      </w:r>
    </w:p>
    <w:p>
      <w:pPr>
        <w:spacing w:after="0" w:line="188" w:lineRule="exact"/>
        <w:rPr>
          <w:rFonts w:ascii="Arial" w:cs="Arial" w:eastAsia="Arial" w:hAnsi="Arial"/>
          <w:sz w:val="18"/>
          <w:szCs w:val="18"/>
          <w:color w:val="auto"/>
        </w:rPr>
      </w:pPr>
    </w:p>
    <w:p>
      <w:pPr>
        <w:jc w:val="both"/>
        <w:ind w:firstLine="1735"/>
        <w:spacing w:after="0" w:line="274" w:lineRule="auto"/>
        <w:tabs>
          <w:tab w:leader="none" w:pos="2606" w:val="left"/>
        </w:tabs>
        <w:numPr>
          <w:ilvl w:val="1"/>
          <w:numId w:val="159"/>
        </w:numPr>
        <w:rPr>
          <w:rFonts w:ascii="Arial" w:cs="Arial" w:eastAsia="Arial" w:hAnsi="Arial"/>
          <w:sz w:val="18"/>
          <w:szCs w:val="18"/>
          <w:color w:val="auto"/>
        </w:rPr>
      </w:pPr>
      <w:r>
        <w:rPr>
          <w:rFonts w:ascii="Arial" w:cs="Arial" w:eastAsia="Arial" w:hAnsi="Arial"/>
          <w:sz w:val="19"/>
          <w:szCs w:val="19"/>
          <w:color w:val="auto"/>
        </w:rPr>
        <w:t>(i) the voluntary withdrawal or institution of any action or proceeding by the FDA or similar Governmental Authority to order the withdrawal of any Product or Product category from the market or to enjoin Borrower, its Subsidiaries or any representative of Borrower or its Subsidiaries from manufacturing, marketing, selling or distributing any Product or Product category, which, in each case, has or would reasonably be expected to result in a Material Adverse Effect, (ii) the institution of any action or proceeding by any FDA, or any other Governmental Authority to revoke, suspend, reject, withdraw, limit, or restrict any Regulatory Required Permit held by Borrower, its Subsidiaries or any representative of Borrower or its Subsidiaries, which, in each case, has or would reasonably be expected to result in a Material Adverse Effect, (iii) the commencement of any enforcement action against Borrower, its Subsidiaries or any representative of Borrower or its Subsidiaries (with respect to the business of Borrower or its Subsidiaries) by FDA, or any other Governmental Authority which has or would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92" w:name="page193"/>
    <w:bookmarkEnd w:id="192"/>
    <w:p>
      <w:pPr>
        <w:spacing w:after="0" w:line="250" w:lineRule="auto"/>
        <w:rPr>
          <w:sz w:val="20"/>
          <w:szCs w:val="20"/>
          <w:color w:val="auto"/>
        </w:rPr>
      </w:pPr>
      <w:r>
        <w:rPr>
          <w:rFonts w:ascii="Arial" w:cs="Arial" w:eastAsia="Arial" w:hAnsi="Arial"/>
          <w:sz w:val="22"/>
          <w:szCs w:val="22"/>
          <w:color w:val="auto"/>
        </w:rPr>
        <w:t>reasonably be expected to result in a Material Adverse Effect, or (iv) the occurrence of adverse test results in connection with a Product which could result in a Material Adverse Effect; or</w:t>
      </w:r>
    </w:p>
    <w:p>
      <w:pPr>
        <w:spacing w:after="0" w:line="175" w:lineRule="exact"/>
        <w:rPr>
          <w:sz w:val="20"/>
          <w:szCs w:val="20"/>
          <w:color w:val="auto"/>
        </w:rPr>
      </w:pPr>
    </w:p>
    <w:p>
      <w:pPr>
        <w:jc w:val="both"/>
        <w:ind w:firstLine="1735"/>
        <w:spacing w:after="0" w:line="270" w:lineRule="auto"/>
        <w:tabs>
          <w:tab w:leader="none" w:pos="2606" w:val="left"/>
        </w:tabs>
        <w:numPr>
          <w:ilvl w:val="1"/>
          <w:numId w:val="160"/>
        </w:numPr>
        <w:rPr>
          <w:rFonts w:ascii="Arial" w:cs="Arial" w:eastAsia="Arial" w:hAnsi="Arial"/>
          <w:sz w:val="18"/>
          <w:szCs w:val="18"/>
          <w:color w:val="auto"/>
        </w:rPr>
      </w:pPr>
      <w:r>
        <w:rPr>
          <w:rFonts w:ascii="Arial" w:cs="Arial" w:eastAsia="Arial" w:hAnsi="Arial"/>
          <w:sz w:val="19"/>
          <w:szCs w:val="19"/>
          <w:color w:val="auto"/>
        </w:rPr>
        <w:t>(i) any Credit Party defaults under or breaches its obligations in any material respect under the Ruxience Royalty Agreement or the IXINITY Royalty Agreement (after any applicable grace period contained therein), or the Ruxience Royalty Agreement or the IXINITY Royalty Agreement shall be terminated by the other party or parties party thereto prior to the expiration thereof, or there is a loss of a right of a Credit Party to any portion of the Royalty Stream under either the Ruxience Royalty Agreement or the IXINITY Royalty Agreement or any portion of either such Royalty Stream is terminated; or</w:t>
      </w:r>
    </w:p>
    <w:p>
      <w:pPr>
        <w:spacing w:after="0" w:line="4" w:lineRule="exact"/>
        <w:rPr>
          <w:rFonts w:ascii="Arial" w:cs="Arial" w:eastAsia="Arial" w:hAnsi="Arial"/>
          <w:sz w:val="18"/>
          <w:szCs w:val="18"/>
          <w:color w:val="auto"/>
        </w:rPr>
      </w:pPr>
    </w:p>
    <w:p>
      <w:pPr>
        <w:jc w:val="both"/>
        <w:ind w:firstLine="8"/>
        <w:spacing w:after="0" w:line="280" w:lineRule="auto"/>
        <w:tabs>
          <w:tab w:leader="none" w:pos="32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any Credit Party defaults in any material respect under or breaches in any material respect any other Material Contract (after any applicable grace period contained therein), or any other Material Contract shall be terminated by the other party or parties party thereto prior to the expiration thereof, or there is a loss of a material right of a Credit Party under any other Material Contract to which it is a party, in each case which would reasonably be expected to result in a Material Adverse Effect.</w:t>
      </w:r>
    </w:p>
    <w:p>
      <w:pPr>
        <w:spacing w:after="0" w:line="15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All cure periods provided for in this Section 10.1 shall run concurrently with any cure period provided for in any applicable Financing Documents under which the default occurred.</w:t>
      </w:r>
    </w:p>
    <w:p>
      <w:pPr>
        <w:spacing w:after="0" w:line="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Acceleration and Suspension or Termination of Term Loan Commitment</w:t>
      </w:r>
      <w:r>
        <w:rPr>
          <w:rFonts w:ascii="Arial" w:cs="Arial" w:eastAsia="Arial" w:hAnsi="Arial"/>
          <w:sz w:val="20"/>
          <w:szCs w:val="20"/>
          <w:color w:val="auto"/>
        </w:rPr>
        <w:t>. Upon the occurrence and during</w:t>
      </w:r>
      <w:r>
        <w:rPr>
          <w:rFonts w:ascii="Arial" w:cs="Arial" w:eastAsia="Arial" w:hAnsi="Arial"/>
          <w:sz w:val="19"/>
          <w:szCs w:val="19"/>
          <w:color w:val="auto"/>
        </w:rPr>
        <w:t xml:space="preserve"> </w:t>
      </w:r>
      <w:r>
        <w:rPr>
          <w:rFonts w:ascii="Arial" w:cs="Arial" w:eastAsia="Arial" w:hAnsi="Arial"/>
          <w:sz w:val="20"/>
          <w:szCs w:val="20"/>
          <w:color w:val="auto"/>
        </w:rPr>
        <w:t xml:space="preserve">the continuance of an Event of Default, Agent may, and shall if requested by Required Lenders, (a) by notice to Borrower Representative suspend or terminate the Term Loan Commitment and the obligations of Agent and the Lenders with respect thereto, in whole or in part (and, if in part, each Lender’s Term Loan Commitment shall be reduced in accordance with its Pro Rata Share), and/or (b) by notice to Borrower Representative declare all or any portion of the Obligations to be, and the Obligations shall thereupon become, immediately due and payable, with accrued interest thereon, without presentment, demand, protest or other notice of any kind, all of which are hereby waived by each Borrower and Borrowers will pay the same;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the case of any of the Events of Default specified in Section 10.1(e) or 10.1(f) above, without any notice to any</w:t>
      </w:r>
      <w:r>
        <w:rPr>
          <w:rFonts w:ascii="Arial" w:cs="Arial" w:eastAsia="Arial" w:hAnsi="Arial"/>
          <w:sz w:val="20"/>
          <w:szCs w:val="20"/>
          <w:i w:val="1"/>
          <w:iCs w:val="1"/>
          <w:color w:val="auto"/>
        </w:rPr>
        <w:t xml:space="preserve"> </w:t>
      </w:r>
      <w:r>
        <w:rPr>
          <w:rFonts w:ascii="Arial" w:cs="Arial" w:eastAsia="Arial" w:hAnsi="Arial"/>
          <w:sz w:val="20"/>
          <w:szCs w:val="20"/>
          <w:color w:val="auto"/>
        </w:rPr>
        <w:t>Borrower or any other act by Agent or the Lenders, the Term Loan Commitment and the obligations of Agent and the Lenders with respect thereto shall thereupon immediately and automatically terminate and all of the Obligations shall become immediately and automatically due and payable without presentment, demand, protest or other notice of any kind, all of which are hereby waived by each Borrower and Borrowers will pay the same.</w:t>
      </w:r>
    </w:p>
    <w:p>
      <w:pPr>
        <w:spacing w:after="0" w:line="17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6"/>
          <w:szCs w:val="16"/>
          <w:u w:val="single" w:color="auto"/>
          <w:color w:val="auto"/>
        </w:rPr>
        <w:t>UCC Remedies</w:t>
      </w:r>
      <w:r>
        <w:rPr>
          <w:rFonts w:ascii="Arial" w:cs="Arial" w:eastAsia="Arial" w:hAnsi="Arial"/>
          <w:sz w:val="16"/>
          <w:szCs w:val="16"/>
          <w:color w:val="auto"/>
        </w:rPr>
        <w:t>.</w:t>
      </w:r>
    </w:p>
    <w:p>
      <w:pPr>
        <w:spacing w:after="0" w:line="211" w:lineRule="exact"/>
        <w:rPr>
          <w:sz w:val="20"/>
          <w:szCs w:val="20"/>
          <w:color w:val="auto"/>
        </w:rPr>
      </w:pPr>
    </w:p>
    <w:p>
      <w:pPr>
        <w:jc w:val="both"/>
        <w:ind w:firstLine="1735"/>
        <w:spacing w:after="0" w:line="236" w:lineRule="auto"/>
        <w:tabs>
          <w:tab w:leader="none" w:pos="2595" w:val="left"/>
        </w:tabs>
        <w:numPr>
          <w:ilvl w:val="0"/>
          <w:numId w:val="162"/>
        </w:numPr>
        <w:rPr>
          <w:rFonts w:ascii="Arial" w:cs="Arial" w:eastAsia="Arial" w:hAnsi="Arial"/>
          <w:sz w:val="20"/>
          <w:szCs w:val="20"/>
          <w:color w:val="auto"/>
        </w:rPr>
      </w:pPr>
      <w:r>
        <w:rPr>
          <w:rFonts w:ascii="Arial" w:cs="Arial" w:eastAsia="Arial" w:hAnsi="Arial"/>
          <w:sz w:val="22"/>
          <w:szCs w:val="22"/>
          <w:color w:val="auto"/>
        </w:rPr>
        <w:t>Upon the occurrence of and during the continuance of an Event of Default under this Agreement or the other Financing Documents, Agent, in addition to all other rights, options, and remedies granted to Agent under this Agreement or at law or in equity, may exercise, either directly or through one or more assignees or designees, all rights and remedies granted to it under all Financing Documents and under the UCC in effect in the applicable jurisdiction(s) and under any other applicable Law; including, without limitation:</w:t>
      </w:r>
    </w:p>
    <w:p>
      <w:pPr>
        <w:spacing w:after="0" w:line="187" w:lineRule="exact"/>
        <w:rPr>
          <w:rFonts w:ascii="Arial" w:cs="Arial" w:eastAsia="Arial" w:hAnsi="Arial"/>
          <w:sz w:val="20"/>
          <w:szCs w:val="20"/>
          <w:color w:val="auto"/>
        </w:rPr>
      </w:pPr>
    </w:p>
    <w:p>
      <w:pPr>
        <w:ind w:left="880" w:firstLine="1586"/>
        <w:spacing w:after="0" w:line="250" w:lineRule="auto"/>
        <w:tabs>
          <w:tab w:leader="none" w:pos="3309" w:val="left"/>
        </w:tabs>
        <w:numPr>
          <w:ilvl w:val="1"/>
          <w:numId w:val="162"/>
        </w:numPr>
        <w:rPr>
          <w:rFonts w:ascii="Arial" w:cs="Arial" w:eastAsia="Arial" w:hAnsi="Arial"/>
          <w:sz w:val="20"/>
          <w:szCs w:val="20"/>
          <w:color w:val="auto"/>
        </w:rPr>
      </w:pPr>
      <w:r>
        <w:rPr>
          <w:rFonts w:ascii="Arial" w:cs="Arial" w:eastAsia="Arial" w:hAnsi="Arial"/>
          <w:sz w:val="22"/>
          <w:szCs w:val="22"/>
          <w:color w:val="auto"/>
        </w:rPr>
        <w:t>the right to take possession of, send notices regarding, and collect directly the Collateral, with or without judicial process;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3" w:name="page194"/>
    <w:bookmarkEnd w:id="193"/>
    <w:p>
      <w:pPr>
        <w:jc w:val="both"/>
        <w:ind w:left="880" w:firstLine="1586"/>
        <w:spacing w:after="0" w:line="273" w:lineRule="auto"/>
        <w:tabs>
          <w:tab w:leader="none" w:pos="3364" w:val="left"/>
        </w:tabs>
        <w:numPr>
          <w:ilvl w:val="1"/>
          <w:numId w:val="163"/>
        </w:numPr>
        <w:rPr>
          <w:rFonts w:ascii="Arial" w:cs="Arial" w:eastAsia="Arial" w:hAnsi="Arial"/>
          <w:sz w:val="18"/>
          <w:szCs w:val="18"/>
          <w:color w:val="auto"/>
        </w:rPr>
      </w:pPr>
      <w:r>
        <w:rPr>
          <w:rFonts w:ascii="Arial" w:cs="Arial" w:eastAsia="Arial" w:hAnsi="Arial"/>
          <w:sz w:val="19"/>
          <w:szCs w:val="19"/>
          <w:color w:val="auto"/>
        </w:rPr>
        <w:t>the right to (by its own means or with judicial assistance) enter any of Borrowers’ premises and take possession of the Collateral, or render it unusable, or to render it usable or saleable, or dispose of the Collateral on such premises in compliance with subsection (iii) below and to take possession of Borrowers’ original books and records, to obtain access to Borrowers’ data processing equipment, computer hardware and software relating to the Collateral and to use all of the foregoing and the information contained therein in any manner Agent deems appropriate, without any liability for rent, storage, utilities, or other sums, and Borrowers shall not resist or interfere with such action (if Borrowers’ books and records are prepared or maintained by an accounting service, contractor or other third party agent, Borrowers hereby irrevocably authorize such service, contractor or other agent, upon notice by Agent to such Person that an Event of Default has occurred and is continuing, to deliver to Agent or its designees such books and records, and to follow Agent’s instructions with respect to further services to be rendered);</w:t>
      </w:r>
    </w:p>
    <w:p>
      <w:pPr>
        <w:spacing w:after="0" w:line="160" w:lineRule="exact"/>
        <w:rPr>
          <w:rFonts w:ascii="Arial" w:cs="Arial" w:eastAsia="Arial" w:hAnsi="Arial"/>
          <w:sz w:val="18"/>
          <w:szCs w:val="18"/>
          <w:color w:val="auto"/>
        </w:rPr>
      </w:pPr>
    </w:p>
    <w:p>
      <w:pPr>
        <w:ind w:left="880" w:firstLine="1586"/>
        <w:spacing w:after="0" w:line="250" w:lineRule="auto"/>
        <w:tabs>
          <w:tab w:leader="none" w:pos="3419" w:val="left"/>
        </w:tabs>
        <w:numPr>
          <w:ilvl w:val="1"/>
          <w:numId w:val="163"/>
        </w:numPr>
        <w:rPr>
          <w:rFonts w:ascii="Arial" w:cs="Arial" w:eastAsia="Arial" w:hAnsi="Arial"/>
          <w:sz w:val="20"/>
          <w:szCs w:val="20"/>
          <w:color w:val="auto"/>
        </w:rPr>
      </w:pPr>
      <w:r>
        <w:rPr>
          <w:rFonts w:ascii="Arial" w:cs="Arial" w:eastAsia="Arial" w:hAnsi="Arial"/>
          <w:sz w:val="22"/>
          <w:szCs w:val="22"/>
          <w:color w:val="auto"/>
        </w:rPr>
        <w:t>the right to require Borrowers at Borrowers’ expense to assemble all or any part of the Collateral and make it available to Agent at any place designated by Lender;</w:t>
      </w:r>
    </w:p>
    <w:p>
      <w:pPr>
        <w:spacing w:after="0" w:line="174" w:lineRule="exact"/>
        <w:rPr>
          <w:rFonts w:ascii="Arial" w:cs="Arial" w:eastAsia="Arial" w:hAnsi="Arial"/>
          <w:sz w:val="20"/>
          <w:szCs w:val="20"/>
          <w:color w:val="auto"/>
        </w:rPr>
      </w:pPr>
    </w:p>
    <w:p>
      <w:pPr>
        <w:ind w:left="880" w:firstLine="1586"/>
        <w:spacing w:after="0" w:line="328" w:lineRule="auto"/>
        <w:tabs>
          <w:tab w:leader="none" w:pos="3408" w:val="left"/>
        </w:tabs>
        <w:numPr>
          <w:ilvl w:val="1"/>
          <w:numId w:val="163"/>
        </w:numPr>
        <w:rPr>
          <w:rFonts w:ascii="Arial" w:cs="Arial" w:eastAsia="Arial" w:hAnsi="Arial"/>
          <w:sz w:val="18"/>
          <w:szCs w:val="18"/>
          <w:color w:val="auto"/>
        </w:rPr>
      </w:pPr>
      <w:r>
        <w:rPr>
          <w:rFonts w:ascii="Arial" w:cs="Arial" w:eastAsia="Arial" w:hAnsi="Arial"/>
          <w:sz w:val="19"/>
          <w:szCs w:val="19"/>
          <w:color w:val="auto"/>
        </w:rPr>
        <w:t>the right to notify postal authorities to change the address for delivery of Borrowers’ mail to an address designated by Agent and to receive, open and dispose of all mail addressed to any Borrower; and/or</w:t>
      </w:r>
    </w:p>
    <w:p>
      <w:pPr>
        <w:spacing w:after="0" w:line="104" w:lineRule="exact"/>
        <w:rPr>
          <w:rFonts w:ascii="Arial" w:cs="Arial" w:eastAsia="Arial" w:hAnsi="Arial"/>
          <w:sz w:val="18"/>
          <w:szCs w:val="18"/>
          <w:color w:val="auto"/>
        </w:rPr>
      </w:pPr>
    </w:p>
    <w:p>
      <w:pPr>
        <w:jc w:val="both"/>
        <w:ind w:left="880" w:firstLine="1586"/>
        <w:spacing w:after="0" w:line="233" w:lineRule="auto"/>
        <w:tabs>
          <w:tab w:leader="none" w:pos="3353" w:val="left"/>
        </w:tabs>
        <w:numPr>
          <w:ilvl w:val="1"/>
          <w:numId w:val="163"/>
        </w:numPr>
        <w:rPr>
          <w:rFonts w:ascii="Arial" w:cs="Arial" w:eastAsia="Arial" w:hAnsi="Arial"/>
          <w:sz w:val="20"/>
          <w:szCs w:val="20"/>
          <w:color w:val="auto"/>
        </w:rPr>
      </w:pPr>
      <w:r>
        <w:rPr>
          <w:rFonts w:ascii="Arial" w:cs="Arial" w:eastAsia="Arial" w:hAnsi="Arial"/>
          <w:sz w:val="22"/>
          <w:szCs w:val="22"/>
          <w:color w:val="auto"/>
        </w:rPr>
        <w:t>the right to enforce Borrowers’ rights against Account Debtors and other obligors, including, without limitation, (i) the right to collect Accounts directly in Agent’s own name (as agent for Lenders) and to charge the collection costs and expenses, including attorneys’ fees, to Borrowers, and (ii) the right, in the name of Agent or any designee of Agent or Borrowers, to verify the validity, amount or any other matter relating to any Accounts by mail, telephone, or otherwise, including, without limitation, verification of Borrowers’ compliance with applicable Laws. Borrowers shall cooperate fully with Agent in an effort to facilitate and promptly conclude such verification process. Such verification may include contacts between Agent and applicable federal, state and local regulatory authorities having jurisdiction over the Borrowers’ affairs, all of which contacts Borrowers hereby irrevocably authorize.</w:t>
      </w:r>
    </w:p>
    <w:p>
      <w:pPr>
        <w:spacing w:after="0" w:line="192" w:lineRule="exact"/>
        <w:rPr>
          <w:rFonts w:ascii="Arial" w:cs="Arial" w:eastAsia="Arial" w:hAnsi="Arial"/>
          <w:sz w:val="20"/>
          <w:szCs w:val="20"/>
          <w:color w:val="auto"/>
        </w:rPr>
      </w:pPr>
    </w:p>
    <w:p>
      <w:pPr>
        <w:jc w:val="both"/>
        <w:ind w:firstLine="1735"/>
        <w:spacing w:after="0" w:line="245" w:lineRule="auto"/>
        <w:tabs>
          <w:tab w:leader="none" w:pos="2606" w:val="left"/>
        </w:tabs>
        <w:numPr>
          <w:ilvl w:val="0"/>
          <w:numId w:val="164"/>
        </w:numPr>
        <w:rPr>
          <w:rFonts w:ascii="Arial" w:cs="Arial" w:eastAsia="Arial" w:hAnsi="Arial"/>
          <w:sz w:val="19"/>
          <w:szCs w:val="19"/>
          <w:color w:val="auto"/>
        </w:rPr>
      </w:pPr>
      <w:r>
        <w:rPr>
          <w:rFonts w:ascii="Arial" w:cs="Arial" w:eastAsia="Arial" w:hAnsi="Arial"/>
          <w:sz w:val="21"/>
          <w:szCs w:val="21"/>
          <w:color w:val="auto"/>
        </w:rPr>
        <w:t>Each Borrower agrees that a notice received by it at least ten (10) days before the time of any intended public sale, or the time after which any private sale or other disposition of the Collateral is to be made, shall be deemed to be reasonable notice of such sale or other disposition. If permitted by applicable Law, any perishable Collateral which threatens to speedily decline in value or which is sold on a recognized market may be sold immediately by Agent without prior notice to Borrowers. At any sale or disposition of Collateral, Agent may (to the extent permitted by applicable Law) purchase all or any part of the Collateral, free from any right of redemption by Borrowers, which right is hereby waived and released. Each Borrower covenants and agrees not to interfere with or impose any obstacle to Agent’s exercise of its rights and remedies with respect to the Collateral. Agent shall have no obligation to clean-up or otherwise prepare the Collateral for sale. Agent may comply with any applicable state or federal law requirements in connection with a disposition of the Collateral and compliance will not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4" w:name="page195"/>
    <w:bookmarkEnd w:id="194"/>
    <w:p>
      <w:pPr>
        <w:jc w:val="both"/>
        <w:spacing w:after="0" w:line="277" w:lineRule="auto"/>
        <w:rPr>
          <w:sz w:val="20"/>
          <w:szCs w:val="20"/>
          <w:color w:val="auto"/>
        </w:rPr>
      </w:pPr>
      <w:r>
        <w:rPr>
          <w:rFonts w:ascii="Arial" w:cs="Arial" w:eastAsia="Arial" w:hAnsi="Arial"/>
          <w:sz w:val="19"/>
          <w:szCs w:val="19"/>
          <w:color w:val="auto"/>
        </w:rPr>
        <w:t>considered to adversely affect the commercial reasonableness of any sale of the Collateral. Agent may sell the Collateral without giving any warranties as to the Collateral. Agent may specifically disclaim any warranties of title or the like. This procedure will not be considered to adversely affect the commercial reasonableness of any sale of the Collateral. If Agent sells any of the Collateral upon credit, Borrowers will be credited only with payments actually made by the purchaser, received by Agent and applied to the indebtedness of the purchaser. In the event the purchaser fails to pay for the Collateral, Agent may resell the Collateral and Borrowers shall be credited with the proceeds of the sale. Borrowers shall remain liable for any deficiency if the proceeds of any sale or disposition of the Collateral are insufficient to pay all Obligations.</w:t>
      </w:r>
    </w:p>
    <w:p>
      <w:pPr>
        <w:spacing w:after="0" w:line="152" w:lineRule="exact"/>
        <w:rPr>
          <w:sz w:val="20"/>
          <w:szCs w:val="20"/>
          <w:color w:val="auto"/>
        </w:rPr>
      </w:pPr>
    </w:p>
    <w:p>
      <w:pPr>
        <w:jc w:val="both"/>
        <w:ind w:firstLine="1735"/>
        <w:spacing w:after="0" w:line="269" w:lineRule="auto"/>
        <w:tabs>
          <w:tab w:leader="none" w:pos="2595" w:val="left"/>
        </w:tabs>
        <w:numPr>
          <w:ilvl w:val="1"/>
          <w:numId w:val="165"/>
        </w:numPr>
        <w:rPr>
          <w:rFonts w:ascii="Arial" w:cs="Arial" w:eastAsia="Arial" w:hAnsi="Arial"/>
          <w:sz w:val="18"/>
          <w:szCs w:val="18"/>
          <w:color w:val="auto"/>
        </w:rPr>
      </w:pPr>
      <w:r>
        <w:rPr>
          <w:rFonts w:ascii="Arial" w:cs="Arial" w:eastAsia="Arial" w:hAnsi="Arial"/>
          <w:sz w:val="19"/>
          <w:szCs w:val="19"/>
          <w:color w:val="auto"/>
        </w:rPr>
        <w:t>Without restricting the generality of the foregoing and for the purposes aforesaid, each Borrower hereby appoints and constitutes Agent its lawful attorney-in-fact with full power of substitution in the Collateral, upon the occurrence and during the continuance of an Event of Default, to (i) use unadvanced funds remaining under this Agreement or which may be reserved, escrowed or set aside for any purposes hereunder at any time, or to advance funds in excess of the face amount of the Notes, (ii) pay, settle or compromise all existing bills and claims, which may be Liens or security interests, or to avoid such bills and claims becoming Liens against the Collateral, (iii) execute all applications and certificates in the name of such Borrower and to prosecute and defend all actions or proceedings in connection with the Collateral, and (iv) do any and every act which such Borrower might do in its own behalf; it being understood and agreed that this power of attorney in this subsection</w:t>
      </w:r>
    </w:p>
    <w:p>
      <w:pPr>
        <w:spacing w:after="0" w:line="2" w:lineRule="exact"/>
        <w:rPr>
          <w:rFonts w:ascii="Arial" w:cs="Arial" w:eastAsia="Arial" w:hAnsi="Arial"/>
          <w:sz w:val="18"/>
          <w:szCs w:val="18"/>
          <w:color w:val="auto"/>
        </w:rPr>
      </w:pPr>
    </w:p>
    <w:p>
      <w:pPr>
        <w:ind w:left="300" w:hanging="292"/>
        <w:spacing w:after="0"/>
        <w:tabs>
          <w:tab w:leader="none" w:pos="3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shall be a power coupled with an interest and cannot be revoked.</w:t>
      </w:r>
    </w:p>
    <w:p>
      <w:pPr>
        <w:spacing w:after="0" w:line="188" w:lineRule="exact"/>
        <w:rPr>
          <w:rFonts w:ascii="Arial" w:cs="Arial" w:eastAsia="Arial" w:hAnsi="Arial"/>
          <w:sz w:val="22"/>
          <w:szCs w:val="22"/>
          <w:color w:val="auto"/>
        </w:rPr>
      </w:pPr>
    </w:p>
    <w:p>
      <w:pPr>
        <w:jc w:val="both"/>
        <w:ind w:firstLine="1735"/>
        <w:spacing w:after="0" w:line="282" w:lineRule="auto"/>
        <w:tabs>
          <w:tab w:leader="none" w:pos="2606" w:val="left"/>
        </w:tabs>
        <w:numPr>
          <w:ilvl w:val="1"/>
          <w:numId w:val="166"/>
        </w:numPr>
        <w:rPr>
          <w:rFonts w:ascii="Arial" w:cs="Arial" w:eastAsia="Arial" w:hAnsi="Arial"/>
          <w:sz w:val="18"/>
          <w:szCs w:val="18"/>
          <w:color w:val="auto"/>
        </w:rPr>
      </w:pPr>
      <w:r>
        <w:rPr>
          <w:rFonts w:ascii="Arial" w:cs="Arial" w:eastAsia="Arial" w:hAnsi="Arial"/>
          <w:sz w:val="19"/>
          <w:szCs w:val="19"/>
          <w:color w:val="auto"/>
        </w:rPr>
        <w:t>Agent and each Lender is hereby granted a non-exclusive, royalty-free license or other right to use, without charge, Borrowers’ labels, mask works, rights of use of any name, any other Intellectual Property and advertising matter, and any similar property as it pertains to the Collateral, in completing production of, advertising for sale, and selling any Collateral pursuant to this Section and, in connection with Agent’s exercise of its rights under this Section, Borrowers’ rights under all licenses (whether as licensor or licensee) and all franchise agreements inure to Agent’s and each Lender’s benefit.</w:t>
      </w:r>
    </w:p>
    <w:p>
      <w:pPr>
        <w:spacing w:after="0" w:line="15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6"/>
          <w:szCs w:val="16"/>
          <w:u w:val="single" w:color="auto"/>
          <w:color w:val="auto"/>
        </w:rPr>
        <w:t>Reserved.</w:t>
      </w:r>
    </w:p>
    <w:p>
      <w:pPr>
        <w:spacing w:after="0" w:line="211"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Default Rate of Interest</w:t>
      </w:r>
      <w:r>
        <w:rPr>
          <w:rFonts w:ascii="Arial" w:cs="Arial" w:eastAsia="Arial" w:hAnsi="Arial"/>
          <w:sz w:val="21"/>
          <w:szCs w:val="21"/>
          <w:color w:val="auto"/>
        </w:rPr>
        <w:t>. At the election of Agent or Required Lenders, after the occurrence of an</w:t>
      </w:r>
      <w:r>
        <w:rPr>
          <w:rFonts w:ascii="Arial" w:cs="Arial" w:eastAsia="Arial" w:hAnsi="Arial"/>
          <w:sz w:val="20"/>
          <w:szCs w:val="20"/>
          <w:color w:val="auto"/>
        </w:rPr>
        <w:t xml:space="preserve"> </w:t>
      </w:r>
      <w:r>
        <w:rPr>
          <w:rFonts w:ascii="Arial" w:cs="Arial" w:eastAsia="Arial" w:hAnsi="Arial"/>
          <w:sz w:val="21"/>
          <w:szCs w:val="21"/>
          <w:color w:val="auto"/>
        </w:rPr>
        <w:t xml:space="preserve">Event of Default and for so long as it continues, the Loans and other Obligations shall bear interest at rates that are three percent (3.0%) per annum in excess of the rates otherwise payable under this Agreement;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the case of any Event of Default specified in Section 10.1(e) or 10.1(f) above, such default rate shall apply immediately and automatically without the need for any election or action of any kind on the part of Agent or any Lender.</w:t>
      </w:r>
    </w:p>
    <w:p>
      <w:pPr>
        <w:spacing w:after="0" w:line="178"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0"/>
          <w:szCs w:val="20"/>
          <w:color w:val="auto"/>
        </w:rPr>
        <w:t xml:space="preserve">Section 10.6 </w:t>
      </w:r>
      <w:r>
        <w:rPr>
          <w:rFonts w:ascii="Arial" w:cs="Arial" w:eastAsia="Arial" w:hAnsi="Arial"/>
          <w:sz w:val="20"/>
          <w:szCs w:val="20"/>
          <w:u w:val="single" w:color="auto"/>
          <w:color w:val="auto"/>
        </w:rPr>
        <w:t>Setoff Rights</w:t>
      </w:r>
      <w:r>
        <w:rPr>
          <w:rFonts w:ascii="Arial" w:cs="Arial" w:eastAsia="Arial" w:hAnsi="Arial"/>
          <w:sz w:val="21"/>
          <w:szCs w:val="21"/>
          <w:color w:val="auto"/>
        </w:rPr>
        <w:t>. Upon the occurrence and during the continuance of any Event of Default, each Lender</w:t>
      </w:r>
      <w:r>
        <w:rPr>
          <w:rFonts w:ascii="Arial" w:cs="Arial" w:eastAsia="Arial" w:hAnsi="Arial"/>
          <w:sz w:val="20"/>
          <w:szCs w:val="20"/>
          <w:color w:val="auto"/>
        </w:rPr>
        <w:t xml:space="preserve"> </w:t>
      </w:r>
      <w:r>
        <w:rPr>
          <w:rFonts w:ascii="Arial" w:cs="Arial" w:eastAsia="Arial" w:hAnsi="Arial"/>
          <w:sz w:val="21"/>
          <w:szCs w:val="21"/>
          <w:color w:val="auto"/>
        </w:rPr>
        <w:t>is hereby authorized by each Borrower at any time or from time to time, with reasonably prompt subsequent notice to such Borrower (any prior or contemporaneous notice being hereby expressly waived) to set off and to appropriate and to apply any and all (a) balances held by such Lender or any of such Lender’s Affiliates at any of its offices for the account of such Borrower or any of its Subsidiaries (regardless of whether such balances are then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5" w:name="page196"/>
    <w:bookmarkEnd w:id="195"/>
    <w:p>
      <w:pPr>
        <w:jc w:val="both"/>
        <w:spacing w:after="0" w:line="277" w:lineRule="auto"/>
        <w:rPr>
          <w:sz w:val="20"/>
          <w:szCs w:val="20"/>
          <w:color w:val="auto"/>
        </w:rPr>
      </w:pPr>
      <w:r>
        <w:rPr>
          <w:rFonts w:ascii="Arial" w:cs="Arial" w:eastAsia="Arial" w:hAnsi="Arial"/>
          <w:sz w:val="19"/>
          <w:szCs w:val="19"/>
          <w:color w:val="auto"/>
        </w:rPr>
        <w:t>due to such Borrower or its Subsidiaries), and (b) other property at any time held or owing by such Lender to or for the credit or for the account of such Borrower or any of its Subsidiaries, against and on account of any of the Obligations; except that no Lender shall exercise any such right without the prior written consent of Agent. Any Lender exercising a right to set off shall purchase for cash (and the other Lenders shall sell) interests in each of such other Lender’s Pro Rata Share of the Obligations as would be necessary to cause all Lenders to share the amount so set off with each other Lender in accordance with their respective Pro Rata Share of the Obligations. Each Borrower agrees, to the fullest extent permitted by law, that any Lender and any of such Lender’s Affiliates may exercise its right to set off with respect to the Obligations as provided in this Section 10.6.</w:t>
      </w:r>
    </w:p>
    <w:p>
      <w:pPr>
        <w:spacing w:after="0" w:line="156"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10.7</w:t>
      </w:r>
      <w:r>
        <w:rPr>
          <w:sz w:val="20"/>
          <w:szCs w:val="20"/>
          <w:color w:val="auto"/>
        </w:rPr>
        <w:tab/>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w:t>
      </w:r>
    </w:p>
    <w:p>
      <w:pPr>
        <w:spacing w:after="0" w:line="211" w:lineRule="exact"/>
        <w:rPr>
          <w:sz w:val="20"/>
          <w:szCs w:val="20"/>
          <w:color w:val="auto"/>
        </w:rPr>
      </w:pPr>
    </w:p>
    <w:p>
      <w:pPr>
        <w:jc w:val="both"/>
        <w:ind w:firstLine="1735"/>
        <w:spacing w:after="0" w:line="279" w:lineRule="auto"/>
        <w:tabs>
          <w:tab w:leader="none" w:pos="2595" w:val="left"/>
        </w:tabs>
        <w:numPr>
          <w:ilvl w:val="0"/>
          <w:numId w:val="167"/>
        </w:numPr>
        <w:rPr>
          <w:rFonts w:ascii="Arial" w:cs="Arial" w:eastAsia="Arial" w:hAnsi="Arial"/>
          <w:sz w:val="18"/>
          <w:szCs w:val="18"/>
          <w:color w:val="auto"/>
        </w:rPr>
      </w:pPr>
      <w:r>
        <w:rPr>
          <w:rFonts w:ascii="Arial" w:cs="Arial" w:eastAsia="Arial" w:hAnsi="Arial"/>
          <w:sz w:val="19"/>
          <w:szCs w:val="19"/>
          <w:color w:val="auto"/>
        </w:rPr>
        <w:t>Notwithstanding anything to the contrary contained in this Agreement, upon the occurrence and during the continuance of an Event of Default, each Borrower irrevocably waives the right to direct the application of any and all payments at any time or times thereafter received by Agent from or on behalf of such Borrower or any Guarantor of all or any part of the Obligations, and, as between Borrowers on the one hand and Agent and Lenders on the other, Agent shall have the continuing and exclusive right to apply and to reapply any and all payments received against the Obligations in such manner as Agent may deem advisable notwithstanding any previous application by Agent.</w:t>
      </w:r>
    </w:p>
    <w:p>
      <w:pPr>
        <w:spacing w:after="0" w:line="150" w:lineRule="exact"/>
        <w:rPr>
          <w:rFonts w:ascii="Arial" w:cs="Arial" w:eastAsia="Arial" w:hAnsi="Arial"/>
          <w:sz w:val="18"/>
          <w:szCs w:val="18"/>
          <w:color w:val="auto"/>
        </w:rPr>
      </w:pPr>
    </w:p>
    <w:p>
      <w:pPr>
        <w:jc w:val="both"/>
        <w:ind w:firstLine="1735"/>
        <w:spacing w:after="0" w:line="297" w:lineRule="auto"/>
        <w:tabs>
          <w:tab w:leader="none" w:pos="2606" w:val="left"/>
        </w:tabs>
        <w:numPr>
          <w:ilvl w:val="0"/>
          <w:numId w:val="167"/>
        </w:numPr>
        <w:rPr>
          <w:rFonts w:ascii="Arial" w:cs="Arial" w:eastAsia="Arial" w:hAnsi="Arial"/>
          <w:sz w:val="18"/>
          <w:szCs w:val="18"/>
          <w:color w:val="auto"/>
        </w:rPr>
      </w:pPr>
      <w:r>
        <w:rPr>
          <w:rFonts w:ascii="Arial" w:cs="Arial" w:eastAsia="Arial" w:hAnsi="Arial"/>
          <w:sz w:val="19"/>
          <w:szCs w:val="19"/>
          <w:color w:val="auto"/>
        </w:rPr>
        <w:t>Following the occurrence and continuance of an Event of Default, but absent the occurrence and continuance of an Acceleration Event, Agent shall apply any and all payments received by Agent in respect of the Obligations, and any and all proceeds of Collateral received by Agent, in such order as Agent may from time to time elect.</w:t>
      </w:r>
    </w:p>
    <w:p>
      <w:pPr>
        <w:spacing w:after="0" w:line="133" w:lineRule="exact"/>
        <w:rPr>
          <w:rFonts w:ascii="Arial" w:cs="Arial" w:eastAsia="Arial" w:hAnsi="Arial"/>
          <w:sz w:val="18"/>
          <w:szCs w:val="18"/>
          <w:color w:val="auto"/>
        </w:rPr>
      </w:pPr>
    </w:p>
    <w:p>
      <w:pPr>
        <w:jc w:val="both"/>
        <w:ind w:firstLine="1735"/>
        <w:spacing w:after="0" w:line="272" w:lineRule="auto"/>
        <w:tabs>
          <w:tab w:leader="none" w:pos="2595" w:val="left"/>
        </w:tabs>
        <w:numPr>
          <w:ilvl w:val="0"/>
          <w:numId w:val="167"/>
        </w:numPr>
        <w:rPr>
          <w:rFonts w:ascii="Arial" w:cs="Arial" w:eastAsia="Arial" w:hAnsi="Arial"/>
          <w:sz w:val="18"/>
          <w:szCs w:val="18"/>
          <w:color w:val="auto"/>
        </w:rPr>
      </w:pPr>
      <w:r>
        <w:rPr>
          <w:rFonts w:ascii="Arial" w:cs="Arial" w:eastAsia="Arial" w:hAnsi="Arial"/>
          <w:sz w:val="19"/>
          <w:szCs w:val="19"/>
          <w:color w:val="auto"/>
        </w:rPr>
        <w:t xml:space="preserve">Notwithstanding anything to the contrary contained in this Agreement, if an Acceleration Event shall have occurred, and so long as it continues, Agent shall apply any and all payments received by Agent in respect of the Obligations, and any and all proceeds of Collateral received by Agent, in the following order: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all fees, costs, indemnities, liabilities, obligations and expenses incurred by or owing to Agent with respect to this Agreement, the other Financing Documents or the Collateral;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all fees, costs, indemnities, liabilities, obligations and expenses incurred by or owing to any Lender with respect to this Agreement, the other Financing Documents or the Collateral;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accrued and unpaid interest on the Obligations (including any interest which, but for the provisions of the Bankruptcy Code, would have accrued on such amounts); </w:t>
      </w:r>
      <w:r>
        <w:rPr>
          <w:rFonts w:ascii="Arial" w:cs="Arial" w:eastAsia="Arial" w:hAnsi="Arial"/>
          <w:sz w:val="19"/>
          <w:szCs w:val="19"/>
          <w:i w:val="1"/>
          <w:iCs w:val="1"/>
          <w:color w:val="auto"/>
        </w:rPr>
        <w:t>fourth</w:t>
      </w:r>
      <w:r>
        <w:rPr>
          <w:rFonts w:ascii="Arial" w:cs="Arial" w:eastAsia="Arial" w:hAnsi="Arial"/>
          <w:sz w:val="19"/>
          <w:szCs w:val="19"/>
          <w:color w:val="auto"/>
        </w:rPr>
        <w:t xml:space="preserve">, to the principal amount of the Obligations outstanding; and </w:t>
      </w:r>
      <w:r>
        <w:rPr>
          <w:rFonts w:ascii="Arial" w:cs="Arial" w:eastAsia="Arial" w:hAnsi="Arial"/>
          <w:sz w:val="19"/>
          <w:szCs w:val="19"/>
          <w:i w:val="1"/>
          <w:iCs w:val="1"/>
          <w:color w:val="auto"/>
        </w:rPr>
        <w:t>fifth</w:t>
      </w:r>
      <w:r>
        <w:rPr>
          <w:rFonts w:ascii="Arial" w:cs="Arial" w:eastAsia="Arial" w:hAnsi="Arial"/>
          <w:sz w:val="19"/>
          <w:szCs w:val="19"/>
          <w:color w:val="auto"/>
        </w:rPr>
        <w:t xml:space="preserve"> to any other indebtedness or obligations of Borrowers owing to Agent or any Lender under the Financing Documents. Any balance remaining shall be delivered to Borrowers or to whomever may be lawfully entitled to receive such balance or as a court of competent jurisdiction may direct. In carrying out the foregoing, (y) amounts received shall be applied in the numerical order provided until exhausted prior to the application to the next succeeding category, and (z) each of the Persons entitled to receive a payment in any particular category shall receive an amount equal to its Pro Rata Share of amounts available to be applied pursuant thereto for such category.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6" w:name="page197"/>
    <w:bookmarkEnd w:id="196"/>
    <w:p>
      <w:pPr>
        <w:ind w:left="880"/>
        <w:spacing w:after="0"/>
        <w:tabs>
          <w:tab w:leader="none" w:pos="2480" w:val="left"/>
        </w:tabs>
        <w:rPr>
          <w:sz w:val="20"/>
          <w:szCs w:val="20"/>
          <w:color w:val="auto"/>
        </w:rPr>
      </w:pPr>
      <w:r>
        <w:rPr>
          <w:rFonts w:ascii="Arial" w:cs="Arial" w:eastAsia="Arial" w:hAnsi="Arial"/>
          <w:sz w:val="20"/>
          <w:szCs w:val="20"/>
          <w:color w:val="auto"/>
        </w:rPr>
        <w:t>Section 10.8</w:t>
      </w:r>
      <w:r>
        <w:rPr>
          <w:sz w:val="20"/>
          <w:szCs w:val="20"/>
          <w:color w:val="auto"/>
        </w:rPr>
        <w:tab/>
      </w:r>
      <w:r>
        <w:rPr>
          <w:rFonts w:ascii="Arial" w:cs="Arial" w:eastAsia="Arial" w:hAnsi="Arial"/>
          <w:sz w:val="16"/>
          <w:szCs w:val="16"/>
          <w:u w:val="single" w:color="auto"/>
          <w:color w:val="auto"/>
        </w:rPr>
        <w:t>Waivers</w:t>
      </w:r>
      <w:r>
        <w:rPr>
          <w:rFonts w:ascii="Arial" w:cs="Arial" w:eastAsia="Arial" w:hAnsi="Arial"/>
          <w:sz w:val="16"/>
          <w:szCs w:val="16"/>
          <w:color w:val="auto"/>
        </w:rPr>
        <w:t>.</w:t>
      </w:r>
    </w:p>
    <w:p>
      <w:pPr>
        <w:spacing w:after="0" w:line="211" w:lineRule="exact"/>
        <w:rPr>
          <w:sz w:val="20"/>
          <w:szCs w:val="20"/>
          <w:color w:val="auto"/>
        </w:rPr>
      </w:pPr>
    </w:p>
    <w:p>
      <w:pPr>
        <w:jc w:val="both"/>
        <w:ind w:firstLine="1735"/>
        <w:spacing w:after="0" w:line="273" w:lineRule="auto"/>
        <w:tabs>
          <w:tab w:leader="none" w:pos="2595" w:val="left"/>
        </w:tabs>
        <w:numPr>
          <w:ilvl w:val="1"/>
          <w:numId w:val="168"/>
        </w:numPr>
        <w:rPr>
          <w:rFonts w:ascii="Arial" w:cs="Arial" w:eastAsia="Arial" w:hAnsi="Arial"/>
          <w:sz w:val="18"/>
          <w:szCs w:val="18"/>
          <w:color w:val="auto"/>
        </w:rPr>
      </w:pPr>
      <w:r>
        <w:rPr>
          <w:rFonts w:ascii="Arial" w:cs="Arial" w:eastAsia="Arial" w:hAnsi="Arial"/>
          <w:sz w:val="19"/>
          <w:szCs w:val="19"/>
          <w:color w:val="auto"/>
        </w:rPr>
        <w:t>Except as otherwise provided for in this Agreement and to the fullest extent permitted by applicable Law, each Borrower waives: (i) presentment, demand and protest, and notice of presentment, dishonor, intent to accelerate, acceleration, protest, default, nonpayment, maturity, release, compromise, settlement, extension or renewal of any or all Financing Documents, the Notes or any other notes, commercial paper, accounts, contracts, documents, Instruments, Chattel Paper and Guarantees at any time held by Lenders on which any Borrower may in any way be liable, and hereby ratifies and confirms whatever Lenders may do in this regard; (ii) all rights to notice and a hearing prior to Agent’s or any Lender’s taking possession or control of, or to Agent’s or any Lender’s replevy, attachment or levy upon, any Collateral or any bond or security which might be required by any court prior to allowing Agent or any Lender to exercise any of its remedies; and (iii) the benefit of all valuation, appraisal and exemption Laws. Each Borrower acknowledges that it has been advised by counsel of its choices and decisions with respect to this Agreement, the other Financing Documents and the transactions evidenced hereby and thereby.</w:t>
      </w:r>
    </w:p>
    <w:p>
      <w:pPr>
        <w:spacing w:after="0" w:line="160" w:lineRule="exact"/>
        <w:rPr>
          <w:rFonts w:ascii="Arial" w:cs="Arial" w:eastAsia="Arial" w:hAnsi="Arial"/>
          <w:sz w:val="18"/>
          <w:szCs w:val="18"/>
          <w:color w:val="auto"/>
        </w:rPr>
      </w:pPr>
    </w:p>
    <w:p>
      <w:pPr>
        <w:jc w:val="both"/>
        <w:ind w:firstLine="1735"/>
        <w:spacing w:after="0" w:line="276" w:lineRule="auto"/>
        <w:tabs>
          <w:tab w:leader="none" w:pos="2606" w:val="left"/>
        </w:tabs>
        <w:numPr>
          <w:ilvl w:val="1"/>
          <w:numId w:val="168"/>
        </w:numPr>
        <w:rPr>
          <w:rFonts w:ascii="Arial" w:cs="Arial" w:eastAsia="Arial" w:hAnsi="Arial"/>
          <w:sz w:val="18"/>
          <w:szCs w:val="18"/>
          <w:color w:val="auto"/>
        </w:rPr>
      </w:pPr>
      <w:r>
        <w:rPr>
          <w:rFonts w:ascii="Arial" w:cs="Arial" w:eastAsia="Arial" w:hAnsi="Arial"/>
          <w:sz w:val="19"/>
          <w:szCs w:val="19"/>
          <w:color w:val="auto"/>
        </w:rPr>
        <w:t>Each Borrower for itself and all its successors and assigns, (i) agrees that its liability shall not be in any manner affected by any indulgence, extension of time, renewal, waiver, or modification granted or consented to by Lender;</w:t>
      </w:r>
    </w:p>
    <w:p>
      <w:pPr>
        <w:spacing w:after="0" w:line="1" w:lineRule="exact"/>
        <w:rPr>
          <w:rFonts w:ascii="Arial" w:cs="Arial" w:eastAsia="Arial" w:hAnsi="Arial"/>
          <w:sz w:val="18"/>
          <w:szCs w:val="18"/>
          <w:color w:val="auto"/>
        </w:rPr>
      </w:pPr>
    </w:p>
    <w:p>
      <w:pPr>
        <w:jc w:val="both"/>
        <w:ind w:firstLine="8"/>
        <w:spacing w:after="0" w:line="243" w:lineRule="auto"/>
        <w:tabs>
          <w:tab w:leader="none" w:pos="327" w:val="left"/>
        </w:tabs>
        <w:numPr>
          <w:ilvl w:val="0"/>
          <w:numId w:val="169"/>
        </w:numPr>
        <w:rPr>
          <w:rFonts w:ascii="Arial" w:cs="Arial" w:eastAsia="Arial" w:hAnsi="Arial"/>
          <w:sz w:val="21"/>
          <w:szCs w:val="21"/>
          <w:color w:val="auto"/>
        </w:rPr>
      </w:pPr>
      <w:r>
        <w:rPr>
          <w:rFonts w:ascii="Arial" w:cs="Arial" w:eastAsia="Arial" w:hAnsi="Arial"/>
          <w:sz w:val="21"/>
          <w:szCs w:val="21"/>
          <w:color w:val="auto"/>
        </w:rPr>
        <w:t>consents to any indulgences and all extensions of time, renewals, waivers, or modifications that may be granted by Agent or any Lender with respect to the payment or other provisions of the Financing Documents, and to any substitution, exchange or release of the Collateral, or any part thereof, with or without substitution, and agrees to the addition or release of any Borrower, endorsers, guarantors, or sureties, or whether primarily or secondarily liable, without notice to any other Borrower and without affecting its liability hereunder; (iii) agrees that its liability shall be unconditional and without regard to the liability of any other Borrower, Agent or any Lender for any tax on the indebtedness; and (iv) to the fullest extent permitted by law, expressly waives the benefit of any statute or rule of law or equity now provided, or which may hereafter be provided, which would produce a result contrary to or in conflict with the foregoing.</w:t>
      </w:r>
    </w:p>
    <w:p>
      <w:pPr>
        <w:spacing w:after="0" w:line="185" w:lineRule="exact"/>
        <w:rPr>
          <w:rFonts w:ascii="Arial" w:cs="Arial" w:eastAsia="Arial" w:hAnsi="Arial"/>
          <w:sz w:val="21"/>
          <w:szCs w:val="21"/>
          <w:color w:val="auto"/>
        </w:rPr>
      </w:pPr>
    </w:p>
    <w:p>
      <w:pPr>
        <w:jc w:val="both"/>
        <w:ind w:firstLine="1735"/>
        <w:spacing w:after="0" w:line="272" w:lineRule="auto"/>
        <w:tabs>
          <w:tab w:leader="none" w:pos="2595" w:val="left"/>
        </w:tabs>
        <w:numPr>
          <w:ilvl w:val="1"/>
          <w:numId w:val="169"/>
        </w:numPr>
        <w:rPr>
          <w:rFonts w:ascii="Arial" w:cs="Arial" w:eastAsia="Arial" w:hAnsi="Arial"/>
          <w:sz w:val="18"/>
          <w:szCs w:val="18"/>
          <w:color w:val="auto"/>
        </w:rPr>
      </w:pPr>
      <w:r>
        <w:rPr>
          <w:rFonts w:ascii="Arial" w:cs="Arial" w:eastAsia="Arial" w:hAnsi="Arial"/>
          <w:sz w:val="19"/>
          <w:szCs w:val="19"/>
          <w:color w:val="auto"/>
        </w:rPr>
        <w:t>To the extent that Agent or any Lender may have acquiesced in any noncompliance with any requirements or conditions precedent to the closing of the Loans or to any subsequent disbursement of Loan proceeds, such acquiescence shall not be deemed to constitute a waiver by Agent or any Lender of such requirements with respect to any future disbursements of Loan proceeds and Agent may at any time after such acquiescence require Borrowers to comply with all such requirements. Any forbearance by Agent or Lender in exercising any right or remedy under any of the Financing Documents, or otherwise afforded by applicable Law, including any failure to accelerate the maturity date of the Loans, shall not be a waiver of or preclude the exercise of any right or remedy nor shall it serve as a novation of the Notes or as a reinstatement of the Loans or a waiver of such right of acceleration or the right to insist upon strict compliance of the terms of the Financing Documents. Agent’s or any Lender’s acceptance of payment of any sum secured by any of the Financing Documents after the due date of such payment shall not be a waiver of Agent’s and such Lender’s right to either require prompt payment when due of all other sums so secured or to declare a default for failure to make prompt payment. The procurement of insurance or the payment of taxes or other Liens or charges by Agent as the result of an Event of Default shall not be a waiver of Agent’s right to accelerate the maturity of the Loans, nor shall Agent’s receipt of any condemnation awards,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97" w:name="page198"/>
    <w:bookmarkEnd w:id="197"/>
    <w:p>
      <w:pPr>
        <w:spacing w:after="0" w:line="250" w:lineRule="auto"/>
        <w:rPr>
          <w:sz w:val="20"/>
          <w:szCs w:val="20"/>
          <w:color w:val="auto"/>
        </w:rPr>
      </w:pPr>
      <w:r>
        <w:rPr>
          <w:rFonts w:ascii="Arial" w:cs="Arial" w:eastAsia="Arial" w:hAnsi="Arial"/>
          <w:sz w:val="22"/>
          <w:szCs w:val="22"/>
          <w:color w:val="auto"/>
        </w:rPr>
        <w:t>insurance proceeds, or damages under this Agreement operate to cure or waive any Credit Party’s default in payment of sums secured by any of the Financing Documents.</w:t>
      </w:r>
    </w:p>
    <w:p>
      <w:pPr>
        <w:spacing w:after="0" w:line="175" w:lineRule="exact"/>
        <w:rPr>
          <w:sz w:val="20"/>
          <w:szCs w:val="20"/>
          <w:color w:val="auto"/>
        </w:rPr>
      </w:pPr>
    </w:p>
    <w:p>
      <w:pPr>
        <w:jc w:val="both"/>
        <w:ind w:firstLine="1735"/>
        <w:spacing w:after="0" w:line="234" w:lineRule="auto"/>
        <w:tabs>
          <w:tab w:leader="none" w:pos="2606" w:val="left"/>
        </w:tabs>
        <w:numPr>
          <w:ilvl w:val="0"/>
          <w:numId w:val="170"/>
        </w:numPr>
        <w:rPr>
          <w:rFonts w:ascii="Arial" w:cs="Arial" w:eastAsia="Arial" w:hAnsi="Arial"/>
          <w:sz w:val="20"/>
          <w:szCs w:val="20"/>
          <w:color w:val="auto"/>
        </w:rPr>
      </w:pPr>
      <w:r>
        <w:rPr>
          <w:rFonts w:ascii="Arial" w:cs="Arial" w:eastAsia="Arial" w:hAnsi="Arial"/>
          <w:sz w:val="22"/>
          <w:szCs w:val="22"/>
          <w:color w:val="auto"/>
        </w:rPr>
        <w:t>Without limiting the generality of anything contained in this Agreement or the other Financing Documents, each Borrower agrees that if an Event of Default is continuing (i) Agent and Lenders shall not be subject to any “one action” or “election of remedies” law or rule, and (ii) all Liens and other rights, remedies or privileges provided to Agent or Lenders shall remain in full force and effect until Agent or Lenders have exhausted all remedies against the Collateral and any other properties owned by Borrowers and the Financing Documents and other security instruments or agreements securing the Loans have been foreclosed, sold and/or otherwise realized upon in satisfaction of Borrowers’ obligations under the Financing Documents.</w:t>
      </w:r>
    </w:p>
    <w:p>
      <w:pPr>
        <w:spacing w:after="0" w:line="190" w:lineRule="exact"/>
        <w:rPr>
          <w:rFonts w:ascii="Arial" w:cs="Arial" w:eastAsia="Arial" w:hAnsi="Arial"/>
          <w:sz w:val="20"/>
          <w:szCs w:val="20"/>
          <w:color w:val="auto"/>
        </w:rPr>
      </w:pPr>
    </w:p>
    <w:p>
      <w:pPr>
        <w:jc w:val="both"/>
        <w:ind w:firstLine="1735"/>
        <w:spacing w:after="0" w:line="272" w:lineRule="auto"/>
        <w:tabs>
          <w:tab w:leader="none" w:pos="2595" w:val="left"/>
        </w:tabs>
        <w:numPr>
          <w:ilvl w:val="0"/>
          <w:numId w:val="170"/>
        </w:numPr>
        <w:rPr>
          <w:rFonts w:ascii="Arial" w:cs="Arial" w:eastAsia="Arial" w:hAnsi="Arial"/>
          <w:sz w:val="18"/>
          <w:szCs w:val="18"/>
          <w:color w:val="auto"/>
        </w:rPr>
      </w:pPr>
      <w:r>
        <w:rPr>
          <w:rFonts w:ascii="Arial" w:cs="Arial" w:eastAsia="Arial" w:hAnsi="Arial"/>
          <w:sz w:val="19"/>
          <w:szCs w:val="19"/>
          <w:color w:val="auto"/>
        </w:rPr>
        <w:t>Nothing contained herein or in any other Financing Document shall be construed as requiring Agent or any Lender to resort to any part of the Collateral for the satisfaction of any of Borrowers’ obligations under the Financing Documents in preference or priority to any other Collateral, and Agent may seek satisfaction out of all of the Collateral or any part thereof, in its absolute discretion in respect of Borrowers’ obligations under the Financing Documents. In addition, Agent shall have the right from time to time to partially foreclose upon any Collateral in any manner and for any amounts secured by the Financing Documents then due and payable as determined by Agent in its sole discretion, including, without limitation, the following circumstances: (i) in the event any Borrower defaults beyond any applicable grace period in the payment of one or more scheduled payments of principal and/or interest, Agent may foreclose upon all or any part of the Collateral to recover such delinquent payments, or (ii) in the event Agent elects to accelerate less than the entire outstanding principal balance of the Loans, Agent may foreclose all or any part of the Collateral to recover so much of the principal balance of the Loans as Lender may accelerate and such other sums secured by one or more of the Financing Documents as Agent may elect. Notwithstanding one or more partial foreclosures, any unforeclosed Collateral shall remain subject to the Financing Documents to secure payment of sums secured by the Financing Documents and not previously recovered.</w:t>
      </w:r>
    </w:p>
    <w:p>
      <w:pPr>
        <w:spacing w:after="0" w:line="155" w:lineRule="exact"/>
        <w:rPr>
          <w:rFonts w:ascii="Arial" w:cs="Arial" w:eastAsia="Arial" w:hAnsi="Arial"/>
          <w:sz w:val="18"/>
          <w:szCs w:val="18"/>
          <w:color w:val="auto"/>
        </w:rPr>
      </w:pPr>
    </w:p>
    <w:p>
      <w:pPr>
        <w:jc w:val="both"/>
        <w:ind w:firstLine="1735"/>
        <w:spacing w:after="0" w:line="235" w:lineRule="auto"/>
        <w:tabs>
          <w:tab w:leader="none" w:pos="2573" w:val="left"/>
        </w:tabs>
        <w:numPr>
          <w:ilvl w:val="0"/>
          <w:numId w:val="170"/>
        </w:numPr>
        <w:rPr>
          <w:rFonts w:ascii="Arial" w:cs="Arial" w:eastAsia="Arial" w:hAnsi="Arial"/>
          <w:sz w:val="20"/>
          <w:szCs w:val="20"/>
          <w:color w:val="auto"/>
        </w:rPr>
      </w:pPr>
      <w:r>
        <w:rPr>
          <w:rFonts w:ascii="Arial" w:cs="Arial" w:eastAsia="Arial" w:hAnsi="Arial"/>
          <w:sz w:val="22"/>
          <w:szCs w:val="22"/>
          <w:color w:val="auto"/>
        </w:rPr>
        <w:t>To the fullest extent permitted by law, each Borrower, for itself and its successors and assigns, waives in the event of foreclosure of any or all of the Collateral any equitable right otherwise available to any Credit Party which would require the separate sale of any of the Collateral or require Agent or Lenders to exhaust their remedies against any part of the Collateral before proceeding against any other part of the Collateral; and further in the event of such foreclosure each Borrower does hereby expressly consent to and authorize, at the option of Agent, the foreclosure and sale either separately or together of each part of the Collateral.</w:t>
      </w:r>
    </w:p>
    <w:p>
      <w:pPr>
        <w:spacing w:after="0" w:line="188"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Injunctive Relief</w:t>
      </w:r>
      <w:r>
        <w:rPr>
          <w:rFonts w:ascii="Arial" w:cs="Arial" w:eastAsia="Arial" w:hAnsi="Arial"/>
          <w:sz w:val="20"/>
          <w:szCs w:val="20"/>
          <w:color w:val="auto"/>
        </w:rPr>
        <w:t>. The parties acknowledge and agree that, in the event of a breach or threatened</w:t>
      </w:r>
      <w:r>
        <w:rPr>
          <w:rFonts w:ascii="Arial" w:cs="Arial" w:eastAsia="Arial" w:hAnsi="Arial"/>
          <w:sz w:val="19"/>
          <w:szCs w:val="19"/>
          <w:color w:val="auto"/>
        </w:rPr>
        <w:t xml:space="preserve"> </w:t>
      </w:r>
      <w:r>
        <w:rPr>
          <w:rFonts w:ascii="Arial" w:cs="Arial" w:eastAsia="Arial" w:hAnsi="Arial"/>
          <w:sz w:val="20"/>
          <w:szCs w:val="20"/>
          <w:color w:val="auto"/>
        </w:rPr>
        <w:t>breach of any Credit Party’s obligations under any Financing Documents, Agent and Lenders may have no adequate remedy in money damages and, accordingly, shall be entitled to an injunction (including, without limitation, a temporary restraining order, preliminary injunction, writ of attachment, or order compelling an audit) against such breach or threatened breach, including, without limitation, maintaining any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8" w:name="page199"/>
    <w:bookmarkEnd w:id="198"/>
    <w:p>
      <w:pPr>
        <w:jc w:val="both"/>
        <w:spacing w:after="0" w:line="257" w:lineRule="auto"/>
        <w:rPr>
          <w:sz w:val="20"/>
          <w:szCs w:val="20"/>
          <w:color w:val="auto"/>
        </w:rPr>
      </w:pPr>
      <w:r>
        <w:rPr>
          <w:rFonts w:ascii="Arial" w:cs="Arial" w:eastAsia="Arial" w:hAnsi="Arial"/>
          <w:sz w:val="21"/>
          <w:szCs w:val="21"/>
          <w:color w:val="auto"/>
        </w:rPr>
        <w:t>Agreement. Each Credit Party waives, to the fullest extent permitted by law, the requirement of the posting of any bond in connection with such injunctive relief. By joining in the Financing Documents as a Credit Party, each Credit Party specifically joins in this Section as if this Section were a part of each Financing Document executed by such Credit Party.</w:t>
      </w:r>
    </w:p>
    <w:p>
      <w:pPr>
        <w:spacing w:after="0" w:line="16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10.10 </w:t>
      </w:r>
      <w:r>
        <w:rPr>
          <w:rFonts w:ascii="Arial" w:cs="Arial" w:eastAsia="Arial" w:hAnsi="Arial"/>
          <w:sz w:val="20"/>
          <w:szCs w:val="20"/>
          <w:u w:val="single" w:color="auto"/>
          <w:color w:val="auto"/>
        </w:rPr>
        <w:t>Marshalling; Payments Set Aside</w:t>
      </w:r>
      <w:r>
        <w:rPr>
          <w:rFonts w:ascii="Arial" w:cs="Arial" w:eastAsia="Arial" w:hAnsi="Arial"/>
          <w:sz w:val="21"/>
          <w:szCs w:val="21"/>
          <w:color w:val="auto"/>
        </w:rPr>
        <w:t>. Neither Agent nor any Lender shall be under any obligation to</w:t>
      </w:r>
      <w:r>
        <w:rPr>
          <w:rFonts w:ascii="Arial" w:cs="Arial" w:eastAsia="Arial" w:hAnsi="Arial"/>
          <w:sz w:val="20"/>
          <w:szCs w:val="20"/>
          <w:color w:val="auto"/>
        </w:rPr>
        <w:t xml:space="preserve"> </w:t>
      </w:r>
      <w:r>
        <w:rPr>
          <w:rFonts w:ascii="Arial" w:cs="Arial" w:eastAsia="Arial" w:hAnsi="Arial"/>
          <w:sz w:val="21"/>
          <w:szCs w:val="21"/>
          <w:color w:val="auto"/>
        </w:rPr>
        <w:t>marshal any assets in payment of any or all of the Obligations. To the extent that Borrower makes any payment or Agent enforces its Liens or Agent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183" w:lineRule="exact"/>
        <w:rPr>
          <w:sz w:val="20"/>
          <w:szCs w:val="20"/>
          <w:color w:val="auto"/>
        </w:rPr>
      </w:pPr>
    </w:p>
    <w:p>
      <w:pPr>
        <w:ind w:left="4320"/>
        <w:spacing w:after="0"/>
        <w:tabs>
          <w:tab w:leader="none" w:pos="6080" w:val="left"/>
        </w:tabs>
        <w:rPr>
          <w:sz w:val="20"/>
          <w:szCs w:val="20"/>
          <w:color w:val="auto"/>
        </w:rPr>
      </w:pPr>
      <w:r>
        <w:rPr>
          <w:rFonts w:ascii="Arial" w:cs="Arial" w:eastAsia="Arial" w:hAnsi="Arial"/>
          <w:sz w:val="20"/>
          <w:szCs w:val="20"/>
          <w:b w:val="1"/>
          <w:bCs w:val="1"/>
          <w:color w:val="auto"/>
        </w:rPr>
        <w:t>ARTICLE 11</w:t>
      </w:r>
      <w:r>
        <w:rPr>
          <w:sz w:val="20"/>
          <w:szCs w:val="20"/>
          <w:color w:val="auto"/>
        </w:rPr>
        <w:tab/>
      </w:r>
      <w:r>
        <w:rPr>
          <w:rFonts w:ascii="Arial" w:cs="Arial" w:eastAsia="Arial" w:hAnsi="Arial"/>
          <w:sz w:val="19"/>
          <w:szCs w:val="19"/>
          <w:b w:val="1"/>
          <w:bCs w:val="1"/>
          <w:color w:val="auto"/>
        </w:rPr>
        <w:t>- AGENT</w:t>
      </w:r>
    </w:p>
    <w:p>
      <w:pPr>
        <w:spacing w:after="0" w:line="217"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Appointment and Authorization</w:t>
      </w:r>
      <w:r>
        <w:rPr>
          <w:rFonts w:ascii="Arial" w:cs="Arial" w:eastAsia="Arial" w:hAnsi="Arial"/>
          <w:sz w:val="20"/>
          <w:szCs w:val="20"/>
          <w:color w:val="auto"/>
        </w:rPr>
        <w:t>. Each Lender hereby irrevocably appoints and authorizes Agent to</w:t>
      </w:r>
      <w:r>
        <w:rPr>
          <w:rFonts w:ascii="Arial" w:cs="Arial" w:eastAsia="Arial" w:hAnsi="Arial"/>
          <w:sz w:val="19"/>
          <w:szCs w:val="19"/>
          <w:color w:val="auto"/>
        </w:rPr>
        <w:t xml:space="preserve"> </w:t>
      </w:r>
      <w:r>
        <w:rPr>
          <w:rFonts w:ascii="Arial" w:cs="Arial" w:eastAsia="Arial" w:hAnsi="Arial"/>
          <w:sz w:val="20"/>
          <w:szCs w:val="20"/>
          <w:color w:val="auto"/>
        </w:rPr>
        <w:t>enter into each of the Financing Documents to which it is a party (other than this Agreement) on its behalf and to take such actions as Agent on its behalf and to exercise such powers under the Financing Documents as are delegated to Agent by the terms thereof, together with all such powers as are reasonably incidental thereto. Subject to the terms of Section 11.16 and to the terms of the other Financing Documents, Agent is authorized and empowered to amend, modify, or waive any provisions of this Agreement or the other Financing Documents on behalf of Lenders. The provisions of this Article 11 are solely for the benefit of Agent and Lenders and neither any Borrower nor any other Credit Party shall have any rights as a third party beneficiary of any of the provisions hereof. In performing its functions and duties under this Agreement, Agent shall act solely as agent of Lenders and does not assume and shall not be deemed to have assumed any obligation toward or relationship of agency or trust with or for any Borrower or any other Credit Party. Agent may perform any of its duties hereunder, or under the Financing Documents, by or through its agents, servicers, trustees, investment managers or employees.</w:t>
      </w:r>
    </w:p>
    <w:p>
      <w:pPr>
        <w:spacing w:after="0" w:line="170"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20"/>
          <w:szCs w:val="20"/>
          <w:u w:val="single" w:color="auto"/>
          <w:color w:val="auto"/>
        </w:rPr>
        <w:t>Agent and Affiliates</w:t>
      </w:r>
      <w:r>
        <w:rPr>
          <w:rFonts w:ascii="Arial" w:cs="Arial" w:eastAsia="Arial" w:hAnsi="Arial"/>
          <w:sz w:val="21"/>
          <w:szCs w:val="21"/>
          <w:color w:val="auto"/>
        </w:rPr>
        <w:t>. Agent shall have the same rights and powers under the Financing Documents as</w:t>
      </w:r>
      <w:r>
        <w:rPr>
          <w:rFonts w:ascii="Arial" w:cs="Arial" w:eastAsia="Arial" w:hAnsi="Arial"/>
          <w:sz w:val="20"/>
          <w:szCs w:val="20"/>
          <w:color w:val="auto"/>
        </w:rPr>
        <w:t xml:space="preserve"> </w:t>
      </w:r>
      <w:r>
        <w:rPr>
          <w:rFonts w:ascii="Arial" w:cs="Arial" w:eastAsia="Arial" w:hAnsi="Arial"/>
          <w:sz w:val="21"/>
          <w:szCs w:val="21"/>
          <w:color w:val="auto"/>
        </w:rPr>
        <w:t>any other Lender and may exercise or refrain from exercising the same as though it were not Agent, and Agent and its Affiliates may lend money to, invest in and generally engage in any kind of business with each Credit Party or Affiliate of any Credit Party as if it were not Agent hereunder.</w:t>
      </w:r>
    </w:p>
    <w:p>
      <w:pPr>
        <w:spacing w:after="0" w:line="174"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Section 11.3 </w:t>
      </w:r>
      <w:r>
        <w:rPr>
          <w:rFonts w:ascii="Arial" w:cs="Arial" w:eastAsia="Arial" w:hAnsi="Arial"/>
          <w:sz w:val="20"/>
          <w:szCs w:val="20"/>
          <w:u w:val="single" w:color="auto"/>
          <w:color w:val="auto"/>
        </w:rPr>
        <w:t>Action by Agent</w:t>
      </w:r>
      <w:r>
        <w:rPr>
          <w:rFonts w:ascii="Arial" w:cs="Arial" w:eastAsia="Arial" w:hAnsi="Arial"/>
          <w:sz w:val="21"/>
          <w:szCs w:val="21"/>
          <w:color w:val="auto"/>
        </w:rPr>
        <w:t>. The duties of Agent shall be mechanical and administrative in nature. Agent shall</w:t>
      </w:r>
      <w:r>
        <w:rPr>
          <w:rFonts w:ascii="Arial" w:cs="Arial" w:eastAsia="Arial" w:hAnsi="Arial"/>
          <w:sz w:val="20"/>
          <w:szCs w:val="20"/>
          <w:color w:val="auto"/>
        </w:rPr>
        <w:t xml:space="preserve"> </w:t>
      </w:r>
      <w:r>
        <w:rPr>
          <w:rFonts w:ascii="Arial" w:cs="Arial" w:eastAsia="Arial" w:hAnsi="Arial"/>
          <w:sz w:val="21"/>
          <w:szCs w:val="21"/>
          <w:color w:val="auto"/>
        </w:rPr>
        <w:t>not have by reason of this Agreement a fiduciary relationship in respect of any Lender. Nothing in this Agreement or any of the Financing Documents is intended to or shall be construed to impose upon Agent any obligations in respect of this Agreement or any of the Financing Documents except as expressly set forth herein or therein.</w:t>
      </w:r>
    </w:p>
    <w:p>
      <w:pPr>
        <w:spacing w:after="0" w:line="174"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0"/>
          <w:szCs w:val="20"/>
          <w:color w:val="auto"/>
        </w:rPr>
        <w:t xml:space="preserve">Section 11.4 </w:t>
      </w:r>
      <w:r>
        <w:rPr>
          <w:rFonts w:ascii="Arial" w:cs="Arial" w:eastAsia="Arial" w:hAnsi="Arial"/>
          <w:sz w:val="20"/>
          <w:szCs w:val="20"/>
          <w:u w:val="single" w:color="auto"/>
          <w:color w:val="auto"/>
        </w:rPr>
        <w:t>Consultation with Experts</w:t>
      </w:r>
      <w:r>
        <w:rPr>
          <w:rFonts w:ascii="Arial" w:cs="Arial" w:eastAsia="Arial" w:hAnsi="Arial"/>
          <w:sz w:val="21"/>
          <w:szCs w:val="21"/>
          <w:color w:val="auto"/>
        </w:rPr>
        <w:t>. Agent may consult with legal counsel, independent public accountants and</w:t>
      </w:r>
      <w:r>
        <w:rPr>
          <w:rFonts w:ascii="Arial" w:cs="Arial" w:eastAsia="Arial" w:hAnsi="Arial"/>
          <w:sz w:val="20"/>
          <w:szCs w:val="20"/>
          <w:color w:val="auto"/>
        </w:rPr>
        <w:t xml:space="preserve"> </w:t>
      </w:r>
      <w:r>
        <w:rPr>
          <w:rFonts w:ascii="Arial" w:cs="Arial" w:eastAsia="Arial" w:hAnsi="Arial"/>
          <w:sz w:val="21"/>
          <w:szCs w:val="21"/>
          <w:color w:val="auto"/>
        </w:rPr>
        <w:t>other experts selected by it and shall not be liable for 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9" w:name="page200"/>
    <w:bookmarkEnd w:id="199"/>
    <w:p>
      <w:pPr>
        <w:spacing w:after="0"/>
        <w:rPr>
          <w:sz w:val="20"/>
          <w:szCs w:val="20"/>
          <w:color w:val="auto"/>
        </w:rPr>
      </w:pPr>
      <w:r>
        <w:rPr>
          <w:rFonts w:ascii="Arial" w:cs="Arial" w:eastAsia="Arial" w:hAnsi="Arial"/>
          <w:sz w:val="19"/>
          <w:szCs w:val="19"/>
          <w:color w:val="auto"/>
        </w:rPr>
        <w:t>action taken or omitted to be taken by it in good faith in accordance with the advice of such counsel, accountants or experts.</w:t>
      </w:r>
    </w:p>
    <w:p>
      <w:pPr>
        <w:spacing w:after="0" w:line="24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Liability of Agent</w:t>
      </w:r>
      <w:r>
        <w:rPr>
          <w:rFonts w:ascii="Arial" w:cs="Arial" w:eastAsia="Arial" w:hAnsi="Arial"/>
          <w:sz w:val="20"/>
          <w:szCs w:val="20"/>
          <w:color w:val="auto"/>
        </w:rPr>
        <w:t>. Neither Agent nor any of its directors, officers, agents, trustees, investment</w:t>
      </w:r>
      <w:r>
        <w:rPr>
          <w:rFonts w:ascii="Arial" w:cs="Arial" w:eastAsia="Arial" w:hAnsi="Arial"/>
          <w:sz w:val="19"/>
          <w:szCs w:val="19"/>
          <w:color w:val="auto"/>
        </w:rPr>
        <w:t xml:space="preserve"> </w:t>
      </w:r>
      <w:r>
        <w:rPr>
          <w:rFonts w:ascii="Arial" w:cs="Arial" w:eastAsia="Arial" w:hAnsi="Arial"/>
          <w:sz w:val="20"/>
          <w:szCs w:val="20"/>
          <w:color w:val="auto"/>
        </w:rPr>
        <w:t>managers, servicers or employees shall be liable to any Lender for any action taken or not taken by it in connection with the Financing Documents, except that Agent shall be liable with respect to its specific duties set forth hereunder but only to the extent of its own gross negligence or willful misconduct in the discharge thereof as determined by a final non-appealable judgment of a court of competent jurisdiction. Neither Agent nor any of its directors, officers, agents, trustees, investment managers, servicers or employees shall be responsible for or have any duty to ascertain, inquire into or verify (a) any statement, warranty or representation made in connection with any Financing Document or any borrowing hereunder; (b) the performance or observance of any of the covenants or agreements specified in any Financing Document; (c) the satisfaction of any condition specified in any Financing Document; (d) the validity, effectiveness, sufficiency or genuineness of any Financing Document, any Lien purported to be created or perfected thereby or any other instrument or writing furnished in connection therewith; (e) the existence or non-existence of any Default or Event of Default; or (f) the financial condition of any Credit Party. Agent shall not incur any liability by acting in reliance upon any notice, consent, certificate, statement, or other writing (which may be a bank wire, facsimile or electronic transmission or similar writing) believed by it to be genuine or to be signed by the proper party or parties.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spacing w:after="0" w:line="17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11.6 </w:t>
      </w:r>
      <w:r>
        <w:rPr>
          <w:rFonts w:ascii="Arial" w:cs="Arial" w:eastAsia="Arial" w:hAnsi="Arial"/>
          <w:sz w:val="20"/>
          <w:szCs w:val="20"/>
          <w:u w:val="single" w:color="auto"/>
          <w:color w:val="auto"/>
        </w:rPr>
        <w:t>Indemnification</w:t>
      </w:r>
      <w:r>
        <w:rPr>
          <w:rFonts w:ascii="Arial" w:cs="Arial" w:eastAsia="Arial" w:hAnsi="Arial"/>
          <w:sz w:val="21"/>
          <w:szCs w:val="21"/>
          <w:color w:val="auto"/>
        </w:rPr>
        <w:t>. Each Lender shall, in accordance with its Pro Rata Share, indemnify Agent (to the</w:t>
      </w:r>
      <w:r>
        <w:rPr>
          <w:rFonts w:ascii="Arial" w:cs="Arial" w:eastAsia="Arial" w:hAnsi="Arial"/>
          <w:sz w:val="20"/>
          <w:szCs w:val="20"/>
          <w:color w:val="auto"/>
        </w:rPr>
        <w:t xml:space="preserve"> </w:t>
      </w:r>
      <w:r>
        <w:rPr>
          <w:rFonts w:ascii="Arial" w:cs="Arial" w:eastAsia="Arial" w:hAnsi="Arial"/>
          <w:sz w:val="21"/>
          <w:szCs w:val="21"/>
          <w:color w:val="auto"/>
        </w:rPr>
        <w:t>extent not reimbursed by Borrowers) upon demand against any cost, expense (including counsel fees and disbursements), claim, demand, action, loss or liability (except such as result from Agent’s gross negligence or willful misconduct as determined by a final non-appealable judgment of a court of competent jurisdiction) that Agent may suffer or incur in connection with the Financing Documents or any action taken or omitted by Agent hereunder or thereunder. If any indemnity furnished to Agent for any purpose shall, in the opinion of Agent, be insufficient or become impaired, Agent may call for additional indemnity and cease, or not commence, to do the acts indemnified against even if so directed by Required Lenders until such additional indemnity is furnished.</w:t>
      </w:r>
    </w:p>
    <w:p>
      <w:pPr>
        <w:spacing w:after="0" w:line="18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9"/>
          <w:szCs w:val="19"/>
          <w:color w:val="auto"/>
        </w:rPr>
        <w:t xml:space="preserve">Section 11.7 </w:t>
      </w:r>
      <w:r>
        <w:rPr>
          <w:rFonts w:ascii="Arial" w:cs="Arial" w:eastAsia="Arial" w:hAnsi="Arial"/>
          <w:sz w:val="19"/>
          <w:szCs w:val="19"/>
          <w:u w:val="single" w:color="auto"/>
          <w:color w:val="auto"/>
        </w:rPr>
        <w:t>Right to Request and Act on Instructions</w:t>
      </w:r>
      <w:r>
        <w:rPr>
          <w:rFonts w:ascii="Arial" w:cs="Arial" w:eastAsia="Arial" w:hAnsi="Arial"/>
          <w:sz w:val="20"/>
          <w:szCs w:val="20"/>
          <w:color w:val="auto"/>
        </w:rPr>
        <w:t>. Agent may at any time request instructions from Lenders</w:t>
      </w:r>
      <w:r>
        <w:rPr>
          <w:rFonts w:ascii="Arial" w:cs="Arial" w:eastAsia="Arial" w:hAnsi="Arial"/>
          <w:sz w:val="19"/>
          <w:szCs w:val="19"/>
          <w:color w:val="auto"/>
        </w:rPr>
        <w:t xml:space="preserve"> </w:t>
      </w:r>
      <w:r>
        <w:rPr>
          <w:rFonts w:ascii="Arial" w:cs="Arial" w:eastAsia="Arial" w:hAnsi="Arial"/>
          <w:sz w:val="20"/>
          <w:szCs w:val="20"/>
          <w:color w:val="auto"/>
        </w:rPr>
        <w:t>with respect to any actions or approvals which by the terms of this Agreement or of any of the Financing Documents Agent is permitted or desires to take or to grant, and if such instructions are promptly requested, Agent shall be absolutely entitled to refrain from taking any action or to withhold any approval and shall not be under any liability whatsoever to any Person for refraining from any action or withholding any approval under any of the Financing Documents until it shall have received such instructions from Required Lenders or all or such other portion of the Lenders as shall be prescribed by this Agreement. Without limiting the foregoing, no Lender shall have any right of action whatsoever against Agent as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0" w:name="page201"/>
    <w:bookmarkEnd w:id="200"/>
    <w:p>
      <w:pPr>
        <w:jc w:val="both"/>
        <w:spacing w:after="0" w:line="282" w:lineRule="auto"/>
        <w:rPr>
          <w:sz w:val="20"/>
          <w:szCs w:val="20"/>
          <w:color w:val="auto"/>
        </w:rPr>
      </w:pPr>
      <w:r>
        <w:rPr>
          <w:rFonts w:ascii="Arial" w:cs="Arial" w:eastAsia="Arial" w:hAnsi="Arial"/>
          <w:sz w:val="19"/>
          <w:szCs w:val="19"/>
          <w:color w:val="auto"/>
        </w:rPr>
        <w:t>result of Agent acting or refraining from acting under this Agreement or any of the other Financing Documents in accordance with the instructions of Required Lenders (or all or such other portion of the Lenders as shall be prescribed by this Agreement) and, notwithstanding the instructions of Required Lenders (or such other applicable portion of the Lenders), Agent shall have no obligation to take any action if it believes, in good faith, that such action would violate applicable Law or exposes Agent to any liability for which it has not received satisfactory indemnification in accordance with the provisions of Section 11.6.</w:t>
      </w:r>
    </w:p>
    <w:p>
      <w:pPr>
        <w:spacing w:after="0" w:line="147"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 xml:space="preserve">Section 11.8 </w:t>
      </w:r>
      <w:r>
        <w:rPr>
          <w:rFonts w:ascii="Arial" w:cs="Arial" w:eastAsia="Arial" w:hAnsi="Arial"/>
          <w:sz w:val="19"/>
          <w:szCs w:val="19"/>
          <w:u w:val="single" w:color="auto"/>
          <w:color w:val="auto"/>
        </w:rPr>
        <w:t>Credit Decision</w:t>
      </w:r>
      <w:r>
        <w:rPr>
          <w:rFonts w:ascii="Arial" w:cs="Arial" w:eastAsia="Arial" w:hAnsi="Arial"/>
          <w:sz w:val="20"/>
          <w:szCs w:val="20"/>
          <w:color w:val="auto"/>
        </w:rPr>
        <w:t>. Each Lender acknowledges that it has, independently and without reliance upon</w:t>
      </w:r>
      <w:r>
        <w:rPr>
          <w:rFonts w:ascii="Arial" w:cs="Arial" w:eastAsia="Arial" w:hAnsi="Arial"/>
          <w:sz w:val="19"/>
          <w:szCs w:val="19"/>
          <w:color w:val="auto"/>
        </w:rPr>
        <w:t xml:space="preserve"> </w:t>
      </w:r>
      <w:r>
        <w:rPr>
          <w:rFonts w:ascii="Arial" w:cs="Arial" w:eastAsia="Arial" w:hAnsi="Arial"/>
          <w:sz w:val="20"/>
          <w:szCs w:val="20"/>
          <w:color w:val="auto"/>
        </w:rPr>
        <w:t>Agent or any other Lender, and based on such documents and information as it has deemed appropriate, made its own credit analysis and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any action under the Financing Documents.</w:t>
      </w:r>
    </w:p>
    <w:p>
      <w:pPr>
        <w:spacing w:after="0" w:line="161" w:lineRule="exact"/>
        <w:rPr>
          <w:sz w:val="20"/>
          <w:szCs w:val="20"/>
          <w:color w:val="auto"/>
        </w:rPr>
      </w:pPr>
    </w:p>
    <w:p>
      <w:pPr>
        <w:ind w:left="880"/>
        <w:spacing w:after="0"/>
        <w:tabs>
          <w:tab w:leader="none" w:pos="2540" w:val="left"/>
          <w:tab w:leader="none" w:pos="4300" w:val="left"/>
        </w:tabs>
        <w:rPr>
          <w:sz w:val="20"/>
          <w:szCs w:val="20"/>
          <w:color w:val="auto"/>
        </w:rPr>
      </w:pPr>
      <w:r>
        <w:rPr>
          <w:rFonts w:ascii="Arial" w:cs="Arial" w:eastAsia="Arial" w:hAnsi="Arial"/>
          <w:sz w:val="20"/>
          <w:szCs w:val="20"/>
          <w:color w:val="auto"/>
        </w:rPr>
        <w:t>Section 11.9</w:t>
      </w:r>
      <w:r>
        <w:rPr>
          <w:sz w:val="20"/>
          <w:szCs w:val="20"/>
          <w:color w:val="auto"/>
        </w:rPr>
        <w:tab/>
      </w:r>
      <w:r>
        <w:rPr>
          <w:rFonts w:ascii="Arial" w:cs="Arial" w:eastAsia="Arial" w:hAnsi="Arial"/>
          <w:sz w:val="20"/>
          <w:szCs w:val="20"/>
          <w:u w:val="single" w:color="auto"/>
          <w:color w:val="auto"/>
        </w:rPr>
        <w:t>Collateral Matters</w:t>
      </w:r>
      <w:r>
        <w:rPr>
          <w:rFonts w:ascii="Arial" w:cs="Arial" w:eastAsia="Arial" w:hAnsi="Arial"/>
          <w:sz w:val="21"/>
          <w:szCs w:val="21"/>
          <w:color w:val="auto"/>
        </w:rPr>
        <w:t>.</w:t>
      </w:r>
      <w:r>
        <w:rPr>
          <w:sz w:val="20"/>
          <w:szCs w:val="20"/>
          <w:color w:val="auto"/>
        </w:rPr>
        <w:tab/>
      </w:r>
      <w:r>
        <w:rPr>
          <w:rFonts w:ascii="Arial" w:cs="Arial" w:eastAsia="Arial" w:hAnsi="Arial"/>
          <w:sz w:val="21"/>
          <w:szCs w:val="21"/>
          <w:color w:val="auto"/>
        </w:rPr>
        <w:t>Lenders irrevocably authorize Agent, at its option and in its discretion, to</w:t>
      </w:r>
    </w:p>
    <w:p>
      <w:pPr>
        <w:spacing w:after="0" w:line="20" w:lineRule="exact"/>
        <w:rPr>
          <w:sz w:val="20"/>
          <w:szCs w:val="20"/>
          <w:color w:val="auto"/>
        </w:rPr>
      </w:pPr>
    </w:p>
    <w:p>
      <w:pPr>
        <w:jc w:val="both"/>
        <w:ind w:firstLine="8"/>
        <w:spacing w:after="0" w:line="272" w:lineRule="auto"/>
        <w:tabs>
          <w:tab w:leader="none" w:pos="34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release any Lien granted to or held by Agent under any Security Document (i) upon termination of the Term Loan Commitment and payment in full of all Obligations; or (ii) constituting property sold or disposed of as part of or in connection with any disposition permitted under any Financing Document (it being understood and agreed that Agent may conclusively rely without further inquiry on a certificate of a Responsible Officer as to the sale or other disposition of property being made in full compliance with the provisions of the Financing Documents); and (b) subordinate any Lien granted to or held by Agent under any Security Document to a Permitted Lien that is allowed to have priority over the Liens granted to or held by Agent pursuant to the definition of “Permitted Liens”. Upon request by Agent at any time, Lenders will confirm Agent’s authority to release and/or subordinate particular types or items of Collateral pursuant to this Section 11.9.</w:t>
      </w:r>
    </w:p>
    <w:p>
      <w:pPr>
        <w:spacing w:after="0" w:line="16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u w:val="single" w:color="auto"/>
          <w:color w:val="auto"/>
        </w:rPr>
        <w:t>Agency for Perfection</w:t>
      </w:r>
      <w:r>
        <w:rPr>
          <w:rFonts w:ascii="Arial" w:cs="Arial" w:eastAsia="Arial" w:hAnsi="Arial"/>
          <w:sz w:val="21"/>
          <w:szCs w:val="21"/>
          <w:color w:val="auto"/>
        </w:rPr>
        <w:t>. Agent and each Lender hereby appoint each other Lender as agent for the</w:t>
      </w:r>
      <w:r>
        <w:rPr>
          <w:rFonts w:ascii="Arial" w:cs="Arial" w:eastAsia="Arial" w:hAnsi="Arial"/>
          <w:sz w:val="20"/>
          <w:szCs w:val="20"/>
          <w:color w:val="auto"/>
        </w:rPr>
        <w:t xml:space="preserve"> </w:t>
      </w:r>
      <w:r>
        <w:rPr>
          <w:rFonts w:ascii="Arial" w:cs="Arial" w:eastAsia="Arial" w:hAnsi="Arial"/>
          <w:sz w:val="21"/>
          <w:szCs w:val="21"/>
          <w:color w:val="auto"/>
        </w:rPr>
        <w:t>purpose of perfecting Agent’s security interest in assets which, in accordance with the Uniform Commercial Code in any applicable jurisdiction, can be perfected by possession or control. Should any Lender (other than Agent) obtain possession or control of any such assets, such Lender shall notify Agent thereof, and, promptly upon Agent’s request therefor, shall deliver such assets to Agent or in accordance with Agent’s instructions or transfer control to Agent in accordance with Agent’s instructions. Each Lender agrees that it will not have any right individually to enforce or seek to enforce any Security Document or to realize upon any Collateral for the Loan unless instructed to do so by Agent (or consented to by Agent), it being understood and agreed that such rights and remedies may be exercised only by Agent.</w:t>
      </w:r>
    </w:p>
    <w:p>
      <w:pPr>
        <w:spacing w:after="0" w:line="18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 xml:space="preserve">Section 11.11 </w:t>
      </w:r>
      <w:r>
        <w:rPr>
          <w:rFonts w:ascii="Arial" w:cs="Arial" w:eastAsia="Arial" w:hAnsi="Arial"/>
          <w:sz w:val="20"/>
          <w:szCs w:val="20"/>
          <w:u w:val="single" w:color="auto"/>
          <w:color w:val="auto"/>
        </w:rPr>
        <w:t>Notice of Default</w:t>
      </w:r>
      <w:r>
        <w:rPr>
          <w:rFonts w:ascii="Arial" w:cs="Arial" w:eastAsia="Arial" w:hAnsi="Arial"/>
          <w:sz w:val="21"/>
          <w:szCs w:val="21"/>
          <w:color w:val="auto"/>
        </w:rPr>
        <w:t>. Agent shall not be deemed to have knowledge or notice of the occurrence of any</w:t>
      </w:r>
      <w:r>
        <w:rPr>
          <w:rFonts w:ascii="Arial" w:cs="Arial" w:eastAsia="Arial" w:hAnsi="Arial"/>
          <w:sz w:val="20"/>
          <w:szCs w:val="20"/>
          <w:color w:val="auto"/>
        </w:rPr>
        <w:t xml:space="preserve"> </w:t>
      </w:r>
      <w:r>
        <w:rPr>
          <w:rFonts w:ascii="Arial" w:cs="Arial" w:eastAsia="Arial" w:hAnsi="Arial"/>
          <w:sz w:val="21"/>
          <w:szCs w:val="21"/>
          <w:color w:val="auto"/>
        </w:rPr>
        <w:t>Default or Event of Default except with respect to defaults in the payment of principal, interest and fees required to be paid to Agent for the account of Lenders, unless Agent shall have received written notice from a Lender or a Borrower referring to this Agreement, describing such Default or Event of Default and stating that such notice is a “notice of default”. Agent will notify each Lender of its receipt of any such notice. Agent shall take such action with respect to such Default or Event of Default as may be requested by Required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1" w:name="page202"/>
    <w:bookmarkEnd w:id="201"/>
    <w:p>
      <w:pPr>
        <w:jc w:val="both"/>
        <w:spacing w:after="0" w:line="238" w:lineRule="auto"/>
        <w:rPr>
          <w:sz w:val="20"/>
          <w:szCs w:val="20"/>
          <w:color w:val="auto"/>
        </w:rPr>
      </w:pPr>
      <w:r>
        <w:rPr>
          <w:rFonts w:ascii="Arial" w:cs="Arial" w:eastAsia="Arial" w:hAnsi="Arial"/>
          <w:sz w:val="22"/>
          <w:szCs w:val="22"/>
          <w:color w:val="auto"/>
        </w:rPr>
        <w:t>Lenders (or all or such other portion of the Lenders as shall be prescribed by this Agreement) in accordance with the terms hereof. Unless and until Agent has received any such request, Agent may (but shall not be obligated to) take such action, or refrain from taking such action, with respect to such Default or Event of Default as it shall deem advisable or in the best interests of Lenders.</w:t>
      </w:r>
    </w:p>
    <w:p>
      <w:pPr>
        <w:spacing w:after="0" w:line="189"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color w:val="auto"/>
        </w:rPr>
        <w:t>Section 11.12</w:t>
      </w:r>
      <w:r>
        <w:rPr>
          <w:sz w:val="20"/>
          <w:szCs w:val="20"/>
          <w:color w:val="auto"/>
        </w:rPr>
        <w:tab/>
      </w:r>
      <w:r>
        <w:rPr>
          <w:rFonts w:ascii="Arial" w:cs="Arial" w:eastAsia="Arial" w:hAnsi="Arial"/>
          <w:sz w:val="18"/>
          <w:szCs w:val="18"/>
          <w:u w:val="single" w:color="auto"/>
          <w:color w:val="auto"/>
        </w:rPr>
        <w:t>Assignment by Agent; Resignation of Agent; Successor Agent</w:t>
      </w:r>
      <w:r>
        <w:rPr>
          <w:rFonts w:ascii="Arial" w:cs="Arial" w:eastAsia="Arial" w:hAnsi="Arial"/>
          <w:sz w:val="18"/>
          <w:szCs w:val="18"/>
          <w:color w:val="auto"/>
        </w:rPr>
        <w:t>.</w:t>
      </w:r>
    </w:p>
    <w:p>
      <w:pPr>
        <w:spacing w:after="0" w:line="211" w:lineRule="exact"/>
        <w:rPr>
          <w:sz w:val="20"/>
          <w:szCs w:val="20"/>
          <w:color w:val="auto"/>
        </w:rPr>
      </w:pPr>
    </w:p>
    <w:p>
      <w:pPr>
        <w:jc w:val="both"/>
        <w:ind w:firstLine="1735"/>
        <w:spacing w:after="0" w:line="246" w:lineRule="auto"/>
        <w:tabs>
          <w:tab w:leader="none" w:pos="2595" w:val="left"/>
        </w:tabs>
        <w:numPr>
          <w:ilvl w:val="0"/>
          <w:numId w:val="172"/>
        </w:numPr>
        <w:rPr>
          <w:rFonts w:ascii="Arial" w:cs="Arial" w:eastAsia="Arial" w:hAnsi="Arial"/>
          <w:sz w:val="19"/>
          <w:szCs w:val="19"/>
          <w:color w:val="auto"/>
        </w:rPr>
      </w:pPr>
      <w:r>
        <w:rPr>
          <w:rFonts w:ascii="Arial" w:cs="Arial" w:eastAsia="Arial" w:hAnsi="Arial"/>
          <w:sz w:val="21"/>
          <w:szCs w:val="21"/>
          <w:color w:val="auto"/>
        </w:rPr>
        <w:t>Agent may at any time assign its rights, powers, privileges and duties hereunder to (i) another Lender or an Affiliate of Agent or any Lender or any Approved Fund, or (ii) any Person to whom Agent, in its capacity as a Lender, has assigned (or will assign, in conjunction with such assignment of agency rights hereunder) 50% or more of its Loan in accordance with Section 11.17(a), in each case without the consent of Lenders or Borrowers. Following any such assignment, Agent shall give notice to Lenders and Borrowers. Failure to give such notice shall affect such assignment in any way or cause the assignment to be ineffective. An assignment by Agent pursuant to this subsection (a) shall not be deemed a resignation by Agent for purposes of subsection (b) below.</w:t>
      </w:r>
    </w:p>
    <w:p>
      <w:pPr>
        <w:spacing w:after="0" w:line="184" w:lineRule="exact"/>
        <w:rPr>
          <w:rFonts w:ascii="Arial" w:cs="Arial" w:eastAsia="Arial" w:hAnsi="Arial"/>
          <w:sz w:val="19"/>
          <w:szCs w:val="19"/>
          <w:color w:val="auto"/>
        </w:rPr>
      </w:pPr>
    </w:p>
    <w:p>
      <w:pPr>
        <w:jc w:val="both"/>
        <w:ind w:firstLine="1735"/>
        <w:spacing w:after="0" w:line="244" w:lineRule="auto"/>
        <w:tabs>
          <w:tab w:leader="none" w:pos="2606" w:val="left"/>
        </w:tabs>
        <w:numPr>
          <w:ilvl w:val="0"/>
          <w:numId w:val="172"/>
        </w:numPr>
        <w:rPr>
          <w:rFonts w:ascii="Arial" w:cs="Arial" w:eastAsia="Arial" w:hAnsi="Arial"/>
          <w:sz w:val="19"/>
          <w:szCs w:val="19"/>
          <w:color w:val="auto"/>
        </w:rPr>
      </w:pPr>
      <w:r>
        <w:rPr>
          <w:rFonts w:ascii="Arial" w:cs="Arial" w:eastAsia="Arial" w:hAnsi="Arial"/>
          <w:sz w:val="21"/>
          <w:szCs w:val="21"/>
          <w:color w:val="auto"/>
        </w:rPr>
        <w:t xml:space="preserve">Without limiting the rights of Agent to designate an assignee pursuant to subsection (a) above, Agent may at any time give notice of its resignation to the Lenders and Borrowers. Upon receipt of any such notice of resignation, Required Lenders shall have the right to appoint a successor Agent. If no such successor shall have been so appointed by Required Lenders and shall have accepted such appointment within ten (10) Business Days after the retiring Agent gives notice of its resignation, then the retiring Agent may on behalf of Lenders, appoint a successor Agent;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Agent shall notify Borrowers and Lenders that no Person has accepted such appointment, then such resignation shall nonetheless become effective in accordance with such notice from Agent that no Person has accepted such appointment and, from and following delivery of such notice, (i) the retiring Agent shall be discharged from its duties and obligations hereunder and under the other Financing Documents, and (ii) all payments, communications and determinations provided to be made by, to or through Agent shall instead be made by or to each Lender directly, until such time as Required Lenders appoint a successor Agent as provided for above in this paragraph.</w:t>
      </w:r>
    </w:p>
    <w:p>
      <w:pPr>
        <w:spacing w:after="0" w:line="188" w:lineRule="exact"/>
        <w:rPr>
          <w:rFonts w:ascii="Arial" w:cs="Arial" w:eastAsia="Arial" w:hAnsi="Arial"/>
          <w:sz w:val="19"/>
          <w:szCs w:val="19"/>
          <w:color w:val="auto"/>
        </w:rPr>
      </w:pPr>
    </w:p>
    <w:p>
      <w:pPr>
        <w:jc w:val="both"/>
        <w:ind w:firstLine="1735"/>
        <w:spacing w:after="0" w:line="245" w:lineRule="auto"/>
        <w:tabs>
          <w:tab w:leader="none" w:pos="2595" w:val="left"/>
        </w:tabs>
        <w:numPr>
          <w:ilvl w:val="0"/>
          <w:numId w:val="172"/>
        </w:numPr>
        <w:rPr>
          <w:rFonts w:ascii="Arial" w:cs="Arial" w:eastAsia="Arial" w:hAnsi="Arial"/>
          <w:sz w:val="19"/>
          <w:szCs w:val="19"/>
          <w:color w:val="auto"/>
        </w:rPr>
      </w:pPr>
      <w:r>
        <w:rPr>
          <w:rFonts w:ascii="Arial" w:cs="Arial" w:eastAsia="Arial" w:hAnsi="Arial"/>
          <w:sz w:val="21"/>
          <w:szCs w:val="21"/>
          <w:color w:val="auto"/>
        </w:rPr>
        <w:t>Upon (i) an assignment permitted by subsection (a) above, or (ii) the acceptance of a successor’s appointment as Agent pursuant to subsection (b) above, such successor shall succeed to and become vested with all of the rights, powers, privileges and duties of the retiring (or retired) Agent, and the retiring Agent shall be discharged from all of its duties and obligations hereunder and under the other Financing Documents (if not already discharged therefrom as provided above in this paragraph). The fees payable by Borrowers to a successor Agent shall be the same as those payable to its predecessor unless otherwise agreed between Borrowers and such successor. After the retiring Agent’s resignation hereunder and under the other Financing Documents, the provisions of this Article and Section 11.12 shall continue in effect for the benefit of such retiring Agent and its sub-agents in respect of any actions taken or omitted to be taken by any of them while the retiring Agent was acting or was continuing to act as Agent.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2" w:name="page203"/>
    <w:bookmarkEnd w:id="202"/>
    <w:p>
      <w:pPr>
        <w:ind w:left="880"/>
        <w:spacing w:after="0"/>
        <w:tabs>
          <w:tab w:leader="none" w:pos="2580" w:val="left"/>
        </w:tabs>
        <w:rPr>
          <w:sz w:val="20"/>
          <w:szCs w:val="20"/>
          <w:color w:val="auto"/>
        </w:rPr>
      </w:pPr>
      <w:r>
        <w:rPr>
          <w:rFonts w:ascii="Arial" w:cs="Arial" w:eastAsia="Arial" w:hAnsi="Arial"/>
          <w:sz w:val="20"/>
          <w:szCs w:val="20"/>
          <w:color w:val="auto"/>
        </w:rPr>
        <w:t>Section 11.13</w:t>
      </w:r>
      <w:r>
        <w:rPr>
          <w:sz w:val="20"/>
          <w:szCs w:val="20"/>
          <w:color w:val="auto"/>
        </w:rPr>
        <w:tab/>
      </w:r>
      <w:r>
        <w:rPr>
          <w:rFonts w:ascii="Arial" w:cs="Arial" w:eastAsia="Arial" w:hAnsi="Arial"/>
          <w:sz w:val="16"/>
          <w:szCs w:val="16"/>
          <w:u w:val="single" w:color="auto"/>
          <w:color w:val="auto"/>
        </w:rPr>
        <w:t>Payment and Sharing of Payment</w:t>
      </w:r>
      <w:r>
        <w:rPr>
          <w:rFonts w:ascii="Arial" w:cs="Arial" w:eastAsia="Arial" w:hAnsi="Arial"/>
          <w:sz w:val="16"/>
          <w:szCs w:val="16"/>
          <w:color w:val="auto"/>
        </w:rPr>
        <w:t>.</w:t>
      </w:r>
    </w:p>
    <w:p>
      <w:pPr>
        <w:spacing w:after="0" w:line="211" w:lineRule="exact"/>
        <w:rPr>
          <w:sz w:val="20"/>
          <w:szCs w:val="20"/>
          <w:color w:val="auto"/>
        </w:rPr>
      </w:pPr>
    </w:p>
    <w:p>
      <w:pPr>
        <w:ind w:left="2600" w:hanging="865"/>
        <w:spacing w:after="0"/>
        <w:tabs>
          <w:tab w:leader="none" w:pos="2600" w:val="left"/>
        </w:tabs>
        <w:numPr>
          <w:ilvl w:val="0"/>
          <w:numId w:val="173"/>
        </w:numPr>
        <w:rPr>
          <w:rFonts w:ascii="Arial" w:cs="Arial" w:eastAsia="Arial" w:hAnsi="Arial"/>
          <w:sz w:val="20"/>
          <w:szCs w:val="20"/>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jc w:val="both"/>
        <w:ind w:firstLine="1735"/>
        <w:spacing w:after="0" w:line="257" w:lineRule="auto"/>
        <w:tabs>
          <w:tab w:leader="none" w:pos="2606" w:val="left"/>
        </w:tabs>
        <w:numPr>
          <w:ilvl w:val="0"/>
          <w:numId w:val="173"/>
        </w:numPr>
        <w:rPr>
          <w:rFonts w:ascii="Arial" w:cs="Arial" w:eastAsia="Arial" w:hAnsi="Arial"/>
          <w:sz w:val="19"/>
          <w:szCs w:val="19"/>
          <w:color w:val="auto"/>
        </w:rPr>
      </w:pPr>
      <w:r>
        <w:rPr>
          <w:rFonts w:ascii="Arial" w:cs="Arial" w:eastAsia="Arial" w:hAnsi="Arial"/>
          <w:sz w:val="21"/>
          <w:szCs w:val="21"/>
          <w:u w:val="single" w:color="auto"/>
          <w:color w:val="auto"/>
        </w:rPr>
        <w:t>Term Loan Payments</w:t>
      </w:r>
      <w:r>
        <w:rPr>
          <w:rFonts w:ascii="Arial" w:cs="Arial" w:eastAsia="Arial" w:hAnsi="Arial"/>
          <w:sz w:val="21"/>
          <w:szCs w:val="21"/>
          <w:color w:val="auto"/>
        </w:rPr>
        <w:t>. Payments of principal, interest and fees in respect of the Term Loans will be settled on the date of receipt if received by Agent on the last Business Day of a month or on the Business Day immediately following the date of receipt if received on any day other than the last Business Day of a month.</w:t>
      </w:r>
    </w:p>
    <w:p>
      <w:pPr>
        <w:spacing w:after="0" w:line="169" w:lineRule="exact"/>
        <w:rPr>
          <w:rFonts w:ascii="Arial" w:cs="Arial" w:eastAsia="Arial" w:hAnsi="Arial"/>
          <w:sz w:val="19"/>
          <w:szCs w:val="19"/>
          <w:color w:val="auto"/>
        </w:rPr>
      </w:pPr>
    </w:p>
    <w:p>
      <w:pPr>
        <w:ind w:left="2600" w:hanging="865"/>
        <w:spacing w:after="0"/>
        <w:tabs>
          <w:tab w:leader="none" w:pos="2600" w:val="left"/>
        </w:tabs>
        <w:numPr>
          <w:ilvl w:val="0"/>
          <w:numId w:val="173"/>
        </w:numPr>
        <w:rPr>
          <w:rFonts w:ascii="Arial" w:cs="Arial" w:eastAsia="Arial" w:hAnsi="Arial"/>
          <w:sz w:val="20"/>
          <w:szCs w:val="20"/>
          <w:color w:val="auto"/>
        </w:rPr>
      </w:pPr>
      <w:r>
        <w:rPr>
          <w:rFonts w:ascii="Arial" w:cs="Arial" w:eastAsia="Arial" w:hAnsi="Arial"/>
          <w:sz w:val="22"/>
          <w:szCs w:val="22"/>
          <w:u w:val="single" w:color="auto"/>
          <w:color w:val="auto"/>
        </w:rPr>
        <w:t>Return of Payments</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jc w:val="both"/>
        <w:ind w:left="880" w:firstLine="1586"/>
        <w:spacing w:after="0" w:line="287" w:lineRule="auto"/>
        <w:tabs>
          <w:tab w:leader="none" w:pos="3309" w:val="left"/>
        </w:tabs>
        <w:numPr>
          <w:ilvl w:val="1"/>
          <w:numId w:val="173"/>
        </w:numPr>
        <w:rPr>
          <w:rFonts w:ascii="Arial" w:cs="Arial" w:eastAsia="Arial" w:hAnsi="Arial"/>
          <w:sz w:val="18"/>
          <w:szCs w:val="18"/>
          <w:color w:val="auto"/>
        </w:rPr>
      </w:pPr>
      <w:r>
        <w:rPr>
          <w:rFonts w:ascii="Arial" w:cs="Arial" w:eastAsia="Arial" w:hAnsi="Arial"/>
          <w:sz w:val="19"/>
          <w:szCs w:val="19"/>
          <w:color w:val="auto"/>
        </w:rPr>
        <w:t>If Agent pays an amount to a Lender under this Agreement in the belief or expectation that a related payment has been or will be received by Agent from a Borrower and such related payment is not received by Agent, then Agent will be entitled to recover such amount from such Lender on demand without setoff, counterclaim or deduction of any kind, together with interest accruing on a daily basis at the Federal Funds Rate.</w:t>
      </w:r>
    </w:p>
    <w:p>
      <w:pPr>
        <w:spacing w:after="0" w:line="142" w:lineRule="exact"/>
        <w:rPr>
          <w:rFonts w:ascii="Arial" w:cs="Arial" w:eastAsia="Arial" w:hAnsi="Arial"/>
          <w:sz w:val="18"/>
          <w:szCs w:val="18"/>
          <w:color w:val="auto"/>
        </w:rPr>
      </w:pPr>
    </w:p>
    <w:p>
      <w:pPr>
        <w:jc w:val="both"/>
        <w:ind w:left="880" w:firstLine="1586"/>
        <w:spacing w:after="0" w:line="279" w:lineRule="auto"/>
        <w:tabs>
          <w:tab w:leader="none" w:pos="3364" w:val="left"/>
        </w:tabs>
        <w:numPr>
          <w:ilvl w:val="1"/>
          <w:numId w:val="173"/>
        </w:numPr>
        <w:rPr>
          <w:rFonts w:ascii="Arial" w:cs="Arial" w:eastAsia="Arial" w:hAnsi="Arial"/>
          <w:sz w:val="18"/>
          <w:szCs w:val="18"/>
          <w:color w:val="auto"/>
        </w:rPr>
      </w:pPr>
      <w:r>
        <w:rPr>
          <w:rFonts w:ascii="Arial" w:cs="Arial" w:eastAsia="Arial" w:hAnsi="Arial"/>
          <w:sz w:val="19"/>
          <w:szCs w:val="19"/>
          <w:color w:val="auto"/>
        </w:rPr>
        <w:t>If Agent determines at any time that any amount received by Agent under this Agreement must be returned to any Borrower or paid to any other Person pursuant to any insolvency law or otherwise, then, notwithstanding any other term or condition of this Agreement or any other Financing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any Borrower or such other Person, without setoff, counterclaim or deduction of any kind.</w:t>
      </w:r>
    </w:p>
    <w:p>
      <w:pPr>
        <w:spacing w:after="0" w:line="150" w:lineRule="exact"/>
        <w:rPr>
          <w:rFonts w:ascii="Arial" w:cs="Arial" w:eastAsia="Arial" w:hAnsi="Arial"/>
          <w:sz w:val="18"/>
          <w:szCs w:val="18"/>
          <w:color w:val="auto"/>
        </w:rPr>
      </w:pPr>
    </w:p>
    <w:p>
      <w:pPr>
        <w:jc w:val="both"/>
        <w:ind w:firstLine="1735"/>
        <w:spacing w:after="0" w:line="235" w:lineRule="auto"/>
        <w:tabs>
          <w:tab w:leader="none" w:pos="2606" w:val="left"/>
        </w:tabs>
        <w:numPr>
          <w:ilvl w:val="0"/>
          <w:numId w:val="173"/>
        </w:numPr>
        <w:rPr>
          <w:rFonts w:ascii="Arial" w:cs="Arial" w:eastAsia="Arial" w:hAnsi="Arial"/>
          <w:sz w:val="20"/>
          <w:szCs w:val="20"/>
          <w:color w:val="auto"/>
        </w:rPr>
      </w:pPr>
      <w:r>
        <w:rPr>
          <w:rFonts w:ascii="Arial" w:cs="Arial" w:eastAsia="Arial" w:hAnsi="Arial"/>
          <w:sz w:val="22"/>
          <w:szCs w:val="22"/>
          <w:u w:val="single" w:color="auto"/>
          <w:color w:val="auto"/>
        </w:rPr>
        <w:t>Defaulted Lenders</w:t>
      </w:r>
      <w:r>
        <w:rPr>
          <w:rFonts w:ascii="Arial" w:cs="Arial" w:eastAsia="Arial" w:hAnsi="Arial"/>
          <w:sz w:val="22"/>
          <w:szCs w:val="22"/>
          <w:color w:val="auto"/>
        </w:rPr>
        <w:t>. The failure of any Defaulted Lender to make any payment required by it hereunder shall not relieve any other Lender of its obligations to make payment, but neither any other Lender nor Agent shall be responsible for the failure of any Defaulted Lender to make any payment required hereunder. Notwithstanding anything set forth herein to the contrary, a Defaulted Lender shall not have any voting or consent rights under or with respect to any Financing Document or constitute a “Lender” (or be included in the calculation of “Required Lenders” hereunder) for any voting or consent rights under or with respect to any Financing Document.</w:t>
      </w:r>
    </w:p>
    <w:p>
      <w:pPr>
        <w:spacing w:after="0" w:line="187" w:lineRule="exact"/>
        <w:rPr>
          <w:rFonts w:ascii="Arial" w:cs="Arial" w:eastAsia="Arial" w:hAnsi="Arial"/>
          <w:sz w:val="20"/>
          <w:szCs w:val="20"/>
          <w:color w:val="auto"/>
        </w:rPr>
      </w:pPr>
    </w:p>
    <w:p>
      <w:pPr>
        <w:jc w:val="both"/>
        <w:ind w:firstLine="1735"/>
        <w:spacing w:after="0" w:line="245" w:lineRule="auto"/>
        <w:tabs>
          <w:tab w:leader="none" w:pos="2595" w:val="left"/>
        </w:tabs>
        <w:numPr>
          <w:ilvl w:val="0"/>
          <w:numId w:val="173"/>
        </w:numPr>
        <w:rPr>
          <w:rFonts w:ascii="Arial" w:cs="Arial" w:eastAsia="Arial" w:hAnsi="Arial"/>
          <w:sz w:val="19"/>
          <w:szCs w:val="19"/>
          <w:color w:val="auto"/>
        </w:rPr>
      </w:pPr>
      <w:r>
        <w:rPr>
          <w:rFonts w:ascii="Arial" w:cs="Arial" w:eastAsia="Arial" w:hAnsi="Arial"/>
          <w:sz w:val="21"/>
          <w:szCs w:val="21"/>
          <w:u w:val="single" w:color="auto"/>
          <w:color w:val="auto"/>
        </w:rPr>
        <w:t>Sharing of Payments</w:t>
      </w:r>
      <w:r>
        <w:rPr>
          <w:rFonts w:ascii="Arial" w:cs="Arial" w:eastAsia="Arial" w:hAnsi="Arial"/>
          <w:sz w:val="21"/>
          <w:szCs w:val="21"/>
          <w:color w:val="auto"/>
        </w:rPr>
        <w:t xml:space="preserve">. If any Lender shall obtain any payment or other recovery (whether voluntary, involuntary, by application of setoff or otherwise) on account of any Loan (other than pursuant to the terms of Section 2.8(d)) in excess of its Pro Rata Share of payments entitled pursuant to the other provisions of this Section 11.13, such Lender shall purchase from the other Lenders such participations in extensions of credit made by such other Lenders (without recourse, representation or warranty) as shall be necessary to cause such purchasing Lender to share the excess payment or other recovery ratably with each of them;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all or any portion of the excess payment or other recovery is thereafter required to be returned or otherwise recovered from such purchasing Lender, such portion of such purchase shall be rescinded and each Lender which has sold a participation to the purchasing Lender shall repay to the purchasing Lender the purchase price to the ratable extent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3" w:name="page204"/>
    <w:bookmarkEnd w:id="203"/>
    <w:p>
      <w:pPr>
        <w:jc w:val="both"/>
        <w:spacing w:after="0" w:line="246" w:lineRule="auto"/>
        <w:rPr>
          <w:sz w:val="20"/>
          <w:szCs w:val="20"/>
          <w:color w:val="auto"/>
        </w:rPr>
      </w:pPr>
      <w:r>
        <w:rPr>
          <w:rFonts w:ascii="Arial" w:cs="Arial" w:eastAsia="Arial" w:hAnsi="Arial"/>
          <w:sz w:val="21"/>
          <w:szCs w:val="21"/>
          <w:color w:val="auto"/>
        </w:rPr>
        <w:t>of such return or recovery, without interest. Each Borrower agrees that any Lender so purchasing a participation from another Lender pursuant to this clause (e) may, to the fullest extent permitted by law, exercise all its rights of payment (including pursuant to Section 10.6) with respect to such participation as fully as if such Lender were the direct creditor of Borrowers in the amount of such participation. If under any applicable bankruptcy, insolvency or other similar law, any Lender receives a secured claim in lieu of a setoff to which this clause (e) applies, such Lender shall, to the extent practicable, exercise its rights in respect of such secured claim in a manner consistent with the rights of the Lenders entitled under this clause (e) to share in the benefits of any recovery on such secured claim.</w:t>
      </w:r>
    </w:p>
    <w:p>
      <w:pPr>
        <w:spacing w:after="0" w:line="184"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0"/>
          <w:szCs w:val="20"/>
          <w:color w:val="auto"/>
        </w:rPr>
        <w:t xml:space="preserve">Section 11.14 </w:t>
      </w:r>
      <w:r>
        <w:rPr>
          <w:rFonts w:ascii="Arial" w:cs="Arial" w:eastAsia="Arial" w:hAnsi="Arial"/>
          <w:sz w:val="20"/>
          <w:szCs w:val="20"/>
          <w:u w:val="single" w:color="auto"/>
          <w:color w:val="auto"/>
        </w:rPr>
        <w:t>Right to Perform, Preserve and Protect</w:t>
      </w:r>
      <w:r>
        <w:rPr>
          <w:rFonts w:ascii="Arial" w:cs="Arial" w:eastAsia="Arial" w:hAnsi="Arial"/>
          <w:sz w:val="21"/>
          <w:szCs w:val="21"/>
          <w:color w:val="auto"/>
        </w:rPr>
        <w:t>. If any Credit Party fails to perform any obligation hereunder</w:t>
      </w:r>
      <w:r>
        <w:rPr>
          <w:rFonts w:ascii="Arial" w:cs="Arial" w:eastAsia="Arial" w:hAnsi="Arial"/>
          <w:sz w:val="20"/>
          <w:szCs w:val="20"/>
          <w:color w:val="auto"/>
        </w:rPr>
        <w:t xml:space="preserve"> </w:t>
      </w:r>
      <w:r>
        <w:rPr>
          <w:rFonts w:ascii="Arial" w:cs="Arial" w:eastAsia="Arial" w:hAnsi="Arial"/>
          <w:sz w:val="21"/>
          <w:szCs w:val="21"/>
          <w:color w:val="auto"/>
        </w:rPr>
        <w:t>or under any other Financing Document, Agent itself may, but shall not be obligated to, cause such obligation to be performed at Borrowers’ expense. Agent is further authorized by Borrowers and Lenders to make expenditures from time to time which Agent, in its reasonable business judgment, deems necessary or desirable to (a) preserve or protect the business conducted by Borrowers, the Collateral, or any portion thereof, and/or (b) enhance the likelihood of, or maximize the amount of, repayment of the Loan and other Obligations. Each Borrower hereby agrees to reimburse Agent on demand for any and all costs, liabilities and obligations incurred by Agent pursuant to this Section 11.14. Each Lender hereby agrees to indemnify Agent upon demand for any and all costs, liabilities and obligations incurred by Agent pursuant to this Section 11.14, in accordance with the provisions of Section 11.6.</w:t>
      </w:r>
    </w:p>
    <w:p>
      <w:pPr>
        <w:spacing w:after="0" w:line="184"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 xml:space="preserve">Section 11.15 </w:t>
      </w:r>
      <w:r>
        <w:rPr>
          <w:rFonts w:ascii="Arial" w:cs="Arial" w:eastAsia="Arial" w:hAnsi="Arial"/>
          <w:sz w:val="19"/>
          <w:szCs w:val="19"/>
          <w:u w:val="single" w:color="auto"/>
          <w:color w:val="auto"/>
        </w:rPr>
        <w:t>Additional Titled Agents</w:t>
      </w:r>
      <w:r>
        <w:rPr>
          <w:rFonts w:ascii="Arial" w:cs="Arial" w:eastAsia="Arial" w:hAnsi="Arial"/>
          <w:sz w:val="20"/>
          <w:szCs w:val="20"/>
          <w:color w:val="auto"/>
        </w:rPr>
        <w:t>. Except for rights and powers, if any, expressly reserved under this</w:t>
      </w:r>
      <w:r>
        <w:rPr>
          <w:rFonts w:ascii="Arial" w:cs="Arial" w:eastAsia="Arial" w:hAnsi="Arial"/>
          <w:sz w:val="19"/>
          <w:szCs w:val="19"/>
          <w:color w:val="auto"/>
        </w:rPr>
        <w:t xml:space="preserve"> </w:t>
      </w:r>
      <w:r>
        <w:rPr>
          <w:rFonts w:ascii="Arial" w:cs="Arial" w:eastAsia="Arial" w:hAnsi="Arial"/>
          <w:sz w:val="20"/>
          <w:szCs w:val="20"/>
          <w:color w:val="auto"/>
        </w:rPr>
        <w:t>Agreement to any bookrunner, arranger or to any titled agent named on the cover page of this Agreement, other than Agent (collectively, the “</w:t>
      </w:r>
      <w:r>
        <w:rPr>
          <w:rFonts w:ascii="Arial" w:cs="Arial" w:eastAsia="Arial" w:hAnsi="Arial"/>
          <w:sz w:val="20"/>
          <w:szCs w:val="20"/>
          <w:b w:val="1"/>
          <w:bCs w:val="1"/>
          <w:color w:val="auto"/>
        </w:rPr>
        <w:t>Additional Titled Agents</w:t>
      </w:r>
      <w:r>
        <w:rPr>
          <w:rFonts w:ascii="Arial" w:cs="Arial" w:eastAsia="Arial" w:hAnsi="Arial"/>
          <w:sz w:val="20"/>
          <w:szCs w:val="20"/>
          <w:color w:val="auto"/>
        </w:rPr>
        <w:t>”), and except for obligations, liabilities, duties and responsibilities, if any, expressly assumed under this Agreement by any Additional Titled Agent, no Additional Titled Agent, in such capacity, has any rights, powers, liabilities, duties or responsibilities hereunder or under any of the other Financing Documents. Without limiting the foregoing, no Additional Titled Agent shall have nor be deemed to have a fiduciary relationship with any Lender. At any time that any Lender serving as an Additional Titled Agent shall have transferred to any other Person (other than any Affiliates) all of its interests in the Loan, such Lender shall be deemed to have concurrently resigned as such Additional Titled Agent.</w:t>
      </w:r>
    </w:p>
    <w:p>
      <w:pPr>
        <w:spacing w:after="0" w:line="171"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color w:val="auto"/>
        </w:rPr>
        <w:t>Section 11.16</w:t>
      </w:r>
      <w:r>
        <w:rPr>
          <w:sz w:val="20"/>
          <w:szCs w:val="20"/>
          <w:color w:val="auto"/>
        </w:rPr>
        <w:tab/>
      </w:r>
      <w:r>
        <w:rPr>
          <w:rFonts w:ascii="Arial" w:cs="Arial" w:eastAsia="Arial" w:hAnsi="Arial"/>
          <w:sz w:val="16"/>
          <w:szCs w:val="16"/>
          <w:u w:val="single" w:color="auto"/>
          <w:color w:val="auto"/>
        </w:rPr>
        <w:t>Amendments and Waivers</w:t>
      </w:r>
      <w:r>
        <w:rPr>
          <w:rFonts w:ascii="Arial" w:cs="Arial" w:eastAsia="Arial" w:hAnsi="Arial"/>
          <w:sz w:val="16"/>
          <w:szCs w:val="16"/>
          <w:color w:val="auto"/>
        </w:rPr>
        <w:t>.</w:t>
      </w:r>
    </w:p>
    <w:p>
      <w:pPr>
        <w:spacing w:after="0" w:line="211" w:lineRule="exact"/>
        <w:rPr>
          <w:sz w:val="20"/>
          <w:szCs w:val="20"/>
          <w:color w:val="auto"/>
        </w:rPr>
      </w:pPr>
    </w:p>
    <w:p>
      <w:pPr>
        <w:jc w:val="both"/>
        <w:ind w:firstLine="1735"/>
        <w:spacing w:after="0" w:line="287" w:lineRule="auto"/>
        <w:tabs>
          <w:tab w:leader="none" w:pos="2595" w:val="left"/>
        </w:tabs>
        <w:numPr>
          <w:ilvl w:val="0"/>
          <w:numId w:val="174"/>
        </w:numPr>
        <w:rPr>
          <w:rFonts w:ascii="Arial" w:cs="Arial" w:eastAsia="Arial" w:hAnsi="Arial"/>
          <w:sz w:val="18"/>
          <w:szCs w:val="18"/>
          <w:color w:val="auto"/>
        </w:rPr>
      </w:pPr>
      <w:r>
        <w:rPr>
          <w:rFonts w:ascii="Arial" w:cs="Arial" w:eastAsia="Arial" w:hAnsi="Arial"/>
          <w:sz w:val="19"/>
          <w:szCs w:val="19"/>
          <w:color w:val="auto"/>
        </w:rPr>
        <w:t xml:space="preserve">No provision of this Agreement or any other Financing Document may be amended, waived or otherwise modified unless such amendment, waiver or other modification is in writing and is signed or otherwise approved by Borrowers, the Required Lenders and any other Lender to the extent required under Section 11.16(b); </w:t>
      </w:r>
      <w:r>
        <w:rPr>
          <w:rFonts w:ascii="Arial" w:cs="Arial" w:eastAsia="Arial" w:hAnsi="Arial"/>
          <w:sz w:val="19"/>
          <w:szCs w:val="19"/>
          <w:i w:val="1"/>
          <w:iCs w:val="1"/>
          <w:color w:val="auto"/>
        </w:rPr>
        <w:t>provided, however</w:t>
      </w:r>
      <w:r>
        <w:rPr>
          <w:rFonts w:ascii="Arial" w:cs="Arial" w:eastAsia="Arial" w:hAnsi="Arial"/>
          <w:sz w:val="19"/>
          <w:szCs w:val="19"/>
          <w:color w:val="auto"/>
        </w:rPr>
        <w:t>, the Fee Letter may be amended, or rights or privileges thereunder waived, in a writing executed only by the parties thereto.</w:t>
      </w:r>
    </w:p>
    <w:p>
      <w:pPr>
        <w:spacing w:after="0" w:line="142" w:lineRule="exact"/>
        <w:rPr>
          <w:rFonts w:ascii="Arial" w:cs="Arial" w:eastAsia="Arial" w:hAnsi="Arial"/>
          <w:sz w:val="18"/>
          <w:szCs w:val="18"/>
          <w:color w:val="auto"/>
        </w:rPr>
      </w:pPr>
    </w:p>
    <w:p>
      <w:pPr>
        <w:jc w:val="both"/>
        <w:ind w:firstLine="1735"/>
        <w:spacing w:after="0"/>
        <w:tabs>
          <w:tab w:leader="none" w:pos="2606" w:val="left"/>
        </w:tabs>
        <w:numPr>
          <w:ilvl w:val="0"/>
          <w:numId w:val="174"/>
        </w:numPr>
        <w:rPr>
          <w:rFonts w:ascii="Arial" w:cs="Arial" w:eastAsia="Arial" w:hAnsi="Arial"/>
          <w:sz w:val="20"/>
          <w:szCs w:val="20"/>
          <w:color w:val="auto"/>
        </w:rPr>
      </w:pPr>
      <w:r>
        <w:rPr>
          <w:rFonts w:ascii="Arial" w:cs="Arial" w:eastAsia="Arial" w:hAnsi="Arial"/>
          <w:sz w:val="22"/>
          <w:szCs w:val="22"/>
          <w:color w:val="auto"/>
        </w:rPr>
        <w:t>In addition to the required signatures under Section 11.16(a), no provision of this Agreement or any other Financing Document may be amended, waived or otherwise modified unless such amendment, waiver or other modification is in writing and is signed or otherwise approved by the following Persons: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4" w:name="page205"/>
    <w:bookmarkEnd w:id="204"/>
    <w:p>
      <w:pPr>
        <w:ind w:left="880" w:firstLine="1586"/>
        <w:spacing w:after="0" w:line="250" w:lineRule="auto"/>
        <w:tabs>
          <w:tab w:leader="none" w:pos="3309" w:val="left"/>
        </w:tabs>
        <w:numPr>
          <w:ilvl w:val="0"/>
          <w:numId w:val="175"/>
        </w:numPr>
        <w:rPr>
          <w:rFonts w:ascii="Arial" w:cs="Arial" w:eastAsia="Arial" w:hAnsi="Arial"/>
          <w:sz w:val="20"/>
          <w:szCs w:val="20"/>
          <w:color w:val="auto"/>
        </w:rPr>
      </w:pPr>
      <w:r>
        <w:rPr>
          <w:rFonts w:ascii="Arial" w:cs="Arial" w:eastAsia="Arial" w:hAnsi="Arial"/>
          <w:sz w:val="22"/>
          <w:szCs w:val="22"/>
          <w:color w:val="auto"/>
        </w:rPr>
        <w:t>if any amendment, waiver or other modification would increase a Lender’s funding obligations in respect of any Loan, by such Lender; and/or</w:t>
      </w:r>
    </w:p>
    <w:p>
      <w:pPr>
        <w:spacing w:after="0" w:line="174" w:lineRule="exact"/>
        <w:rPr>
          <w:rFonts w:ascii="Arial" w:cs="Arial" w:eastAsia="Arial" w:hAnsi="Arial"/>
          <w:sz w:val="20"/>
          <w:szCs w:val="20"/>
          <w:color w:val="auto"/>
        </w:rPr>
      </w:pPr>
    </w:p>
    <w:p>
      <w:pPr>
        <w:ind w:left="3360" w:hanging="894"/>
        <w:spacing w:after="0"/>
        <w:tabs>
          <w:tab w:leader="none" w:pos="3360" w:val="left"/>
        </w:tabs>
        <w:numPr>
          <w:ilvl w:val="0"/>
          <w:numId w:val="175"/>
        </w:numPr>
        <w:rPr>
          <w:rFonts w:ascii="Arial" w:cs="Arial" w:eastAsia="Arial" w:hAnsi="Arial"/>
          <w:sz w:val="20"/>
          <w:szCs w:val="20"/>
          <w:color w:val="auto"/>
        </w:rPr>
      </w:pPr>
      <w:r>
        <w:rPr>
          <w:rFonts w:ascii="Arial" w:cs="Arial" w:eastAsia="Arial" w:hAnsi="Arial"/>
          <w:sz w:val="22"/>
          <w:szCs w:val="22"/>
          <w:color w:val="auto"/>
        </w:rPr>
        <w:t>if the rights or duties of Agent are affected thereby, by Agent;</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in each of (i) and (ii) above, no such amendment, waiver or other modification shall, unless signed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writing by all the Lenders directly affected thereby, (A) reduce the principal of, rate of interest on or any fees with respect to any Loan or forgive any principal, interest (other than default interest) or fees (other than late charges) with respect to any Loan; (B) postpone the date fixed for, or waive, any payment (other than any mandatory prepayment pursuant to Section 2.1(a)(ii)) of principal of any Loan, or of interest on any Loan (other than default interest) or any fees provided for hereunder (other than late charges) or postpone the date of termination of any commitment of any Lender hereunder; (C) change the definition of the term Required Lenders or the percentage of Lenders which shall be required for Lenders to take any action hereunder; (D) release all or substantially all of the Collateral, authorize any Borrower to sell or otherwise dispose of all or substantially all of the Collateral, release any Guarantor of all or any portion of the Obligations or its Guarantee obligations with respect thereto, or consent to a transfer of any of the Intellectual Property, except, in each case with respect to this clause (D), as otherwise may be provided in this Agreement or the other Financing Documents (including in connection with any disposition permitted hereunder); (E) amend, waive or otherwise modify this Section 11.16(b) or the definitions of the terms used in this Section 11.16(b) insofar as the definitions affect the substance of this Section 11.16(b); (F) consent to the assignment, delegation or other transfer by any Credit Party of any of its rights and obligations under any Financing Document or release any Borrower of its payment obligations under any Financing Document, except, in each case with respect to this clause (F), pursuant to a merger or consolidation permitted pursuant to this Agreement; or (G) amend any of the provisions of Section 10.7 or amend any of the definitions of Pro Rata Share, Term Loan Commitments, or Term Loan Commitment Percentage or that provide for the Lenders to receive their Pro Rata Shares of any fees, payments, setoffs or proceeds of Collateral hereunder. It is hereby understood and agreed that all Lenders shall be deemed directly affected by an amendment, waiver or other modification of the type described in the preceding clauses (C), (D), (E), (F) and (G) of the preceding sentence.</w:t>
      </w:r>
    </w:p>
    <w:p>
      <w:pPr>
        <w:spacing w:after="0" w:line="18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color w:val="auto"/>
        </w:rPr>
        <w:t>Section 11.17</w:t>
      </w:r>
      <w:r>
        <w:rPr>
          <w:sz w:val="20"/>
          <w:szCs w:val="20"/>
          <w:color w:val="auto"/>
        </w:rPr>
        <w:tab/>
      </w:r>
      <w:r>
        <w:rPr>
          <w:rFonts w:ascii="Arial" w:cs="Arial" w:eastAsia="Arial" w:hAnsi="Arial"/>
          <w:sz w:val="16"/>
          <w:szCs w:val="16"/>
          <w:u w:val="single" w:color="auto"/>
          <w:color w:val="auto"/>
        </w:rPr>
        <w:t>Assignments and Participations</w:t>
      </w:r>
      <w:r>
        <w:rPr>
          <w:rFonts w:ascii="Arial" w:cs="Arial" w:eastAsia="Arial" w:hAnsi="Arial"/>
          <w:sz w:val="16"/>
          <w:szCs w:val="16"/>
          <w:color w:val="auto"/>
        </w:rPr>
        <w:t>.</w:t>
      </w:r>
    </w:p>
    <w:p>
      <w:pPr>
        <w:spacing w:after="0" w:line="211" w:lineRule="exact"/>
        <w:rPr>
          <w:sz w:val="20"/>
          <w:szCs w:val="20"/>
          <w:color w:val="auto"/>
        </w:rPr>
      </w:pPr>
    </w:p>
    <w:p>
      <w:pPr>
        <w:ind w:left="2700" w:hanging="874"/>
        <w:spacing w:after="0"/>
        <w:tabs>
          <w:tab w:leader="none" w:pos="2700" w:val="left"/>
        </w:tabs>
        <w:numPr>
          <w:ilvl w:val="0"/>
          <w:numId w:val="176"/>
        </w:numPr>
        <w:rPr>
          <w:rFonts w:ascii="Arial" w:cs="Arial" w:eastAsia="Arial" w:hAnsi="Arial"/>
          <w:sz w:val="20"/>
          <w:szCs w:val="20"/>
          <w:color w:val="auto"/>
        </w:rPr>
      </w:pPr>
      <w:r>
        <w:rPr>
          <w:rFonts w:ascii="Arial" w:cs="Arial" w:eastAsia="Arial" w:hAnsi="Arial"/>
          <w:sz w:val="22"/>
          <w:szCs w:val="22"/>
          <w:u w:val="single" w:color="auto"/>
          <w:color w:val="auto"/>
        </w:rPr>
        <w:t>Assignments</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jc w:val="both"/>
        <w:ind w:left="880" w:firstLine="1586"/>
        <w:spacing w:after="0" w:line="244" w:lineRule="auto"/>
        <w:tabs>
          <w:tab w:leader="none" w:pos="3309" w:val="left"/>
        </w:tabs>
        <w:numPr>
          <w:ilvl w:val="1"/>
          <w:numId w:val="176"/>
        </w:numPr>
        <w:rPr>
          <w:rFonts w:ascii="Arial" w:cs="Arial" w:eastAsia="Arial" w:hAnsi="Arial"/>
          <w:sz w:val="19"/>
          <w:szCs w:val="19"/>
          <w:color w:val="auto"/>
        </w:rPr>
      </w:pPr>
      <w:r>
        <w:rPr>
          <w:rFonts w:ascii="Arial" w:cs="Arial" w:eastAsia="Arial" w:hAnsi="Arial"/>
          <w:sz w:val="21"/>
          <w:szCs w:val="21"/>
          <w:color w:val="auto"/>
        </w:rPr>
        <w:t xml:space="preserve">Any Lender may at any time assign to one or more Eligible Assignees all or any portion of such Lender’s Loan together with all related obligations of such Lender hereunder. Except as Agent may otherwise agree, the amount of any such assignment (determined as of the date of the applicable Assignment Agreement or, if a “Trade Date” is specified in such Assignment Agreement, as of such Trade Date) shall be in a minimum aggregate amount equal to $1,000,000 or, if less, the assignor’s entire interests in the outstanding Loan;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in connection with simultaneous assignments to two or more related Approved Funds, such Approved Funds shall be treated as one assignee for purposes of determining compliance with the minimum assignment size referred to above. Borrowers and Agent shall be entitled to continue to deal solely and directly with such Lender in connection with the interests so assigned to an Eligible Assignee until Agent shall have received and accepted an effective Assignment Agreement executed, delivered and fully completed by the applicable parties thereto and a processing fee of $3,500 to be paid by the assigning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5" w:name="page206"/>
    <w:bookmarkEnd w:id="205"/>
    <w:p>
      <w:pPr>
        <w:spacing w:after="0" w:line="250" w:lineRule="auto"/>
        <w:rPr>
          <w:sz w:val="20"/>
          <w:szCs w:val="20"/>
          <w:color w:val="auto"/>
        </w:rPr>
      </w:pPr>
      <w:r>
        <w:rPr>
          <w:rFonts w:ascii="Arial" w:cs="Arial" w:eastAsia="Arial" w:hAnsi="Arial"/>
          <w:sz w:val="22"/>
          <w:szCs w:val="22"/>
          <w:color w:val="auto"/>
        </w:rPr>
        <w:t xml:space="preserve">Lender;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only one processing fee shall be payable in connection with simultaneous assignments to two or more related Approved Funds.</w:t>
      </w:r>
    </w:p>
    <w:p>
      <w:pPr>
        <w:spacing w:after="0" w:line="175" w:lineRule="exact"/>
        <w:rPr>
          <w:sz w:val="20"/>
          <w:szCs w:val="20"/>
          <w:color w:val="auto"/>
        </w:rPr>
      </w:pPr>
    </w:p>
    <w:p>
      <w:pPr>
        <w:jc w:val="both"/>
        <w:ind w:firstLine="1586"/>
        <w:spacing w:after="0" w:line="273" w:lineRule="auto"/>
        <w:tabs>
          <w:tab w:leader="none" w:pos="2484" w:val="left"/>
        </w:tabs>
        <w:numPr>
          <w:ilvl w:val="0"/>
          <w:numId w:val="177"/>
        </w:numPr>
        <w:rPr>
          <w:rFonts w:ascii="Arial" w:cs="Arial" w:eastAsia="Arial" w:hAnsi="Arial"/>
          <w:sz w:val="18"/>
          <w:szCs w:val="18"/>
          <w:color w:val="auto"/>
        </w:rPr>
      </w:pPr>
      <w:r>
        <w:rPr>
          <w:rFonts w:ascii="Arial" w:cs="Arial" w:eastAsia="Arial" w:hAnsi="Arial"/>
          <w:sz w:val="19"/>
          <w:szCs w:val="19"/>
          <w:color w:val="auto"/>
        </w:rPr>
        <w:t>From and after the date on which the conditions described above have been met, (A) such Eligible Assignee shall be deemed automatically to have become a party hereto and, to the extent of the interests assigned to such Eligible Assignee pursuant to such Assignment Agreement, shall have the rights and obligations of a Lender hereunder, and (B) the assigning Lender, to the extent that rights and obligations hereunder have been assigned by it pursuant to such Assignment Agreement, shall be released from its rights and obligations hereunder (other than those that survive termination pursuant to Section 12.1). Upon the request of the Eligible Assignee (and, as applicable, the assigning Lender) pursuant to an effective Assignment Agreement, each Borrower shall execute and deliver to Agent for delivery to the Eligible Assignee (and, as applicable, the assigning Lender) Notes in the aggregate principal amount of the Eligible Assignee’s Loan (and, as applicable, Notes in the principal amount of that portion of the principal amount of the Loan retained by the assigning Lender). Upon receipt by the assigning Lender of such Note, the assigning Lender shall return to Borrower Representative any prior Note held by it.</w:t>
      </w:r>
    </w:p>
    <w:p>
      <w:pPr>
        <w:spacing w:after="0" w:line="155" w:lineRule="exact"/>
        <w:rPr>
          <w:rFonts w:ascii="Arial" w:cs="Arial" w:eastAsia="Arial" w:hAnsi="Arial"/>
          <w:sz w:val="18"/>
          <w:szCs w:val="18"/>
          <w:color w:val="auto"/>
        </w:rPr>
      </w:pPr>
    </w:p>
    <w:p>
      <w:pPr>
        <w:jc w:val="both"/>
        <w:ind w:firstLine="1586"/>
        <w:spacing w:after="0" w:line="270" w:lineRule="auto"/>
        <w:tabs>
          <w:tab w:leader="none" w:pos="2539" w:val="left"/>
        </w:tabs>
        <w:numPr>
          <w:ilvl w:val="0"/>
          <w:numId w:val="177"/>
        </w:numPr>
        <w:rPr>
          <w:rFonts w:ascii="Arial" w:cs="Arial" w:eastAsia="Arial" w:hAnsi="Arial"/>
          <w:sz w:val="18"/>
          <w:szCs w:val="18"/>
          <w:color w:val="auto"/>
        </w:rPr>
      </w:pPr>
      <w:r>
        <w:rPr>
          <w:rFonts w:ascii="Arial" w:cs="Arial" w:eastAsia="Arial" w:hAnsi="Arial"/>
          <w:sz w:val="19"/>
          <w:szCs w:val="19"/>
          <w:color w:val="auto"/>
        </w:rPr>
        <w:t>Agent, acting solely for this purpose as an agent of Borrower, shall maintain at the office of its servicer located in Bethesda, Maryland a copy of each Assignment Agreement delivered to it and a register for the recordation of the names and addresses of each Lender, and the commitments of, and principal amount of the Loan owing to, such Lender pursuant to the terms hereof (the “</w:t>
      </w:r>
      <w:r>
        <w:rPr>
          <w:rFonts w:ascii="Arial" w:cs="Arial" w:eastAsia="Arial" w:hAnsi="Arial"/>
          <w:sz w:val="19"/>
          <w:szCs w:val="19"/>
          <w:b w:val="1"/>
          <w:bCs w:val="1"/>
          <w:color w:val="auto"/>
        </w:rPr>
        <w:t>Register</w:t>
      </w:r>
      <w:r>
        <w:rPr>
          <w:rFonts w:ascii="Arial" w:cs="Arial" w:eastAsia="Arial" w:hAnsi="Arial"/>
          <w:sz w:val="19"/>
          <w:szCs w:val="19"/>
          <w:color w:val="auto"/>
        </w:rPr>
        <w:t>”). The entries in such Register shall be conclusive, absent manifest error, and Borrower, Agent and Lenders shall treat each Person whose name is recorded therein pursuant to the terms hereof as a Lender hereunder for all purposes of this Agreement. Such Register shall be available for inspection by Borrower and any Lender, at any reasonable time upon reasonable prior notice to Agent. Each Lender that sells a participation shall, acting solely for this purpose as an agent of Borrower maintain a register on which it enters the name and address of each participant and the principal amounts (and stated interest) of each participant’s interest in the Obligations (each, a “Participant Register”). The entries in the Participant Registers shall be conclusive, absent manifest error. Each Participant Register shall be available for inspection by Borrower and Agent at any reasonable time upon reasonable prior notice to the applicable Lender;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Financing Document) to any Person (including Borrower) except to the extent that such disclosure is necessary to establish that such commitment, loan, letter of credit or other obligation is in registered form under Section 5f.103-1(c) of the United States Treasury Regulations. For the avoidance of doubt, Agent (in its capacity as Agent) shall have no responsibility for maintaining a Participant Register.</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jc w:val="both"/>
        <w:ind w:firstLine="1586"/>
        <w:spacing w:after="0"/>
        <w:tabs>
          <w:tab w:leader="none" w:pos="2528" w:val="left"/>
        </w:tabs>
        <w:numPr>
          <w:ilvl w:val="0"/>
          <w:numId w:val="177"/>
        </w:numPr>
        <w:rPr>
          <w:rFonts w:ascii="Arial" w:cs="Arial" w:eastAsia="Arial" w:hAnsi="Arial"/>
          <w:sz w:val="20"/>
          <w:szCs w:val="20"/>
          <w:color w:val="auto"/>
        </w:rPr>
      </w:pPr>
      <w:r>
        <w:rPr>
          <w:rFonts w:ascii="Arial" w:cs="Arial" w:eastAsia="Arial" w:hAnsi="Arial"/>
          <w:sz w:val="22"/>
          <w:szCs w:val="22"/>
          <w:color w:val="auto"/>
        </w:rPr>
        <w:t>Notwithstanding the foregoing provisions of this Section 11.17(a) or any other provision of this Agreement, any Lender may at any time pledge or assign a security interest in all or any portion of its rights under this Agreement to secure</w:t>
      </w:r>
    </w:p>
    <w:p>
      <w:pPr>
        <w:spacing w:after="0" w:line="18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62865</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206" w:name="page207"/>
    <w:bookmarkEnd w:id="206"/>
    <w:p>
      <w:pPr>
        <w:jc w:val="both"/>
        <w:ind w:left="880"/>
        <w:spacing w:after="0"/>
        <w:rPr>
          <w:sz w:val="20"/>
          <w:szCs w:val="20"/>
          <w:color w:val="auto"/>
        </w:rPr>
      </w:pPr>
      <w:r>
        <w:rPr>
          <w:rFonts w:ascii="Arial" w:cs="Arial" w:eastAsia="Arial" w:hAnsi="Arial"/>
          <w:sz w:val="22"/>
          <w:szCs w:val="22"/>
          <w:color w:val="auto"/>
        </w:rPr>
        <w:t xml:space="preserve">obligations of such Lender, including any pledge or assignment to secure obligations to a Federal Reserve Bank; </w:t>
      </w: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no such pledge or assignment shall release such Lender from any of its obligations hereunder or</w:t>
      </w:r>
      <w:r>
        <w:rPr>
          <w:rFonts w:ascii="Arial" w:cs="Arial" w:eastAsia="Arial" w:hAnsi="Arial"/>
          <w:sz w:val="22"/>
          <w:szCs w:val="22"/>
          <w:i w:val="1"/>
          <w:iCs w:val="1"/>
          <w:color w:val="auto"/>
        </w:rPr>
        <w:t xml:space="preserve"> </w:t>
      </w:r>
      <w:r>
        <w:rPr>
          <w:rFonts w:ascii="Arial" w:cs="Arial" w:eastAsia="Arial" w:hAnsi="Arial"/>
          <w:sz w:val="22"/>
          <w:szCs w:val="22"/>
          <w:color w:val="auto"/>
        </w:rPr>
        <w:t>substitute any such pledgee or assignee for such Lender as a party hereto.</w:t>
      </w:r>
    </w:p>
    <w:p>
      <w:pPr>
        <w:spacing w:after="0" w:line="186" w:lineRule="exact"/>
        <w:rPr>
          <w:sz w:val="20"/>
          <w:szCs w:val="20"/>
          <w:color w:val="auto"/>
        </w:rPr>
      </w:pPr>
    </w:p>
    <w:p>
      <w:pPr>
        <w:jc w:val="both"/>
        <w:ind w:left="880" w:firstLine="1586"/>
        <w:spacing w:after="0" w:line="244" w:lineRule="auto"/>
        <w:tabs>
          <w:tab w:leader="none" w:pos="3353" w:val="left"/>
        </w:tabs>
        <w:numPr>
          <w:ilvl w:val="2"/>
          <w:numId w:val="178"/>
        </w:numPr>
        <w:rPr>
          <w:rFonts w:ascii="Arial" w:cs="Arial" w:eastAsia="Arial" w:hAnsi="Arial"/>
          <w:sz w:val="19"/>
          <w:szCs w:val="19"/>
          <w:color w:val="auto"/>
        </w:rPr>
      </w:pPr>
      <w:r>
        <w:rPr>
          <w:rFonts w:ascii="Arial" w:cs="Arial" w:eastAsia="Arial" w:hAnsi="Arial"/>
          <w:sz w:val="21"/>
          <w:szCs w:val="21"/>
          <w:color w:val="auto"/>
        </w:rPr>
        <w:t>Notwithstanding the foregoing provisions of this Section 11.17(a) or any other provision of this Agreement, Agent has the right, but not the obligation, to effectuate assignments of Loan via an electronic settlement system acceptable to Agent as designated in writing from time to time to Lenders by Agent (the “</w:t>
      </w:r>
      <w:r>
        <w:rPr>
          <w:rFonts w:ascii="Arial" w:cs="Arial" w:eastAsia="Arial" w:hAnsi="Arial"/>
          <w:sz w:val="21"/>
          <w:szCs w:val="21"/>
          <w:b w:val="1"/>
          <w:bCs w:val="1"/>
          <w:color w:val="auto"/>
        </w:rPr>
        <w:t>Settlement</w:t>
      </w:r>
      <w:r>
        <w:rPr>
          <w:rFonts w:ascii="Arial" w:cs="Arial" w:eastAsia="Arial" w:hAnsi="Arial"/>
          <w:sz w:val="21"/>
          <w:szCs w:val="21"/>
          <w:color w:val="auto"/>
        </w:rPr>
        <w:t xml:space="preserve"> </w:t>
      </w:r>
      <w:r>
        <w:rPr>
          <w:rFonts w:ascii="Arial" w:cs="Arial" w:eastAsia="Arial" w:hAnsi="Arial"/>
          <w:sz w:val="21"/>
          <w:szCs w:val="21"/>
          <w:b w:val="1"/>
          <w:bCs w:val="1"/>
          <w:color w:val="auto"/>
        </w:rPr>
        <w:t>Service</w:t>
      </w:r>
      <w:r>
        <w:rPr>
          <w:rFonts w:ascii="Arial" w:cs="Arial" w:eastAsia="Arial" w:hAnsi="Arial"/>
          <w:sz w:val="21"/>
          <w:szCs w:val="21"/>
          <w:color w:val="auto"/>
        </w:rPr>
        <w:t>”). At any time when Agent elects, in its sole discretion, to implement such Settlement Service, each such</w:t>
      </w:r>
      <w:r>
        <w:rPr>
          <w:rFonts w:ascii="Arial" w:cs="Arial" w:eastAsia="Arial" w:hAnsi="Arial"/>
          <w:sz w:val="21"/>
          <w:szCs w:val="21"/>
          <w:b w:val="1"/>
          <w:bCs w:val="1"/>
          <w:color w:val="auto"/>
        </w:rPr>
        <w:t xml:space="preserve"> </w:t>
      </w:r>
      <w:r>
        <w:rPr>
          <w:rFonts w:ascii="Arial" w:cs="Arial" w:eastAsia="Arial" w:hAnsi="Arial"/>
          <w:sz w:val="21"/>
          <w:szCs w:val="21"/>
          <w:color w:val="auto"/>
        </w:rPr>
        <w:t>assignment shall be effected by the assigning Lender and proposed assignee pursuant to the procedures then in effect under the Settlement Service, which procedures shall be consistent with the other provisions of this Section 11.17(a). Each assigning Lender and proposed Eligible Assignee shall comply with the requirements of the Settlement Service in connection with effecting any assignment of Loan pursuant to the Settlement Service. With the prior written approval of Agent, Agent’s approval of such Eligible Assignee shall be deemed to have been automatically granted with respect to any transfer effected through the Settlement Service. Assignments and assumptions of the Loan shall be effected by the provisions otherwise set forth herein until Agent notifies Lenders of the Settlement Service as set forth herein.</w:t>
      </w:r>
    </w:p>
    <w:p>
      <w:pPr>
        <w:spacing w:after="0" w:line="185" w:lineRule="exact"/>
        <w:rPr>
          <w:rFonts w:ascii="Arial" w:cs="Arial" w:eastAsia="Arial" w:hAnsi="Arial"/>
          <w:sz w:val="19"/>
          <w:szCs w:val="19"/>
          <w:color w:val="auto"/>
        </w:rPr>
      </w:pPr>
    </w:p>
    <w:p>
      <w:pPr>
        <w:jc w:val="both"/>
        <w:ind w:firstLine="1735"/>
        <w:spacing w:after="0" w:line="271" w:lineRule="auto"/>
        <w:tabs>
          <w:tab w:leader="none" w:pos="2606" w:val="left"/>
        </w:tabs>
        <w:numPr>
          <w:ilvl w:val="1"/>
          <w:numId w:val="179"/>
        </w:numPr>
        <w:rPr>
          <w:rFonts w:ascii="Arial" w:cs="Arial" w:eastAsia="Arial" w:hAnsi="Arial"/>
          <w:sz w:val="18"/>
          <w:szCs w:val="18"/>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any Borrower or Agent, sell to one or more Persons (other than any Borrower or any Borrower’s Affiliates) participating interests in its Loan, commitments or other interests hereunder (any such Person, a “</w:t>
      </w:r>
      <w:r>
        <w:rPr>
          <w:rFonts w:ascii="Arial" w:cs="Arial" w:eastAsia="Arial" w:hAnsi="Arial"/>
          <w:sz w:val="19"/>
          <w:szCs w:val="19"/>
          <w:b w:val="1"/>
          <w:bCs w:val="1"/>
          <w:color w:val="auto"/>
        </w:rPr>
        <w:t>Participant</w:t>
      </w:r>
      <w:r>
        <w:rPr>
          <w:rFonts w:ascii="Arial" w:cs="Arial" w:eastAsia="Arial" w:hAnsi="Arial"/>
          <w:sz w:val="19"/>
          <w:szCs w:val="19"/>
          <w:color w:val="auto"/>
        </w:rPr>
        <w:t>”). In the event of a sale by a Lender of a participating interest to a Participant, (i) such Lender’s obligations hereunder shall remain unchanged for all purposes,</w:t>
      </w:r>
    </w:p>
    <w:p>
      <w:pPr>
        <w:spacing w:after="0" w:line="3" w:lineRule="exact"/>
        <w:rPr>
          <w:rFonts w:ascii="Arial" w:cs="Arial" w:eastAsia="Arial" w:hAnsi="Arial"/>
          <w:sz w:val="18"/>
          <w:szCs w:val="18"/>
          <w:color w:val="auto"/>
        </w:rPr>
      </w:pPr>
    </w:p>
    <w:p>
      <w:pPr>
        <w:jc w:val="both"/>
        <w:ind w:firstLine="8"/>
        <w:spacing w:after="0" w:line="232" w:lineRule="auto"/>
        <w:tabs>
          <w:tab w:leader="none" w:pos="323"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xml:space="preserve">Borrowers and Agent shall continue to deal solely and directly with such Lender in connection with such Lender’s rights and obligations hereunder, and (iii) all amounts payable by each Borrower shall be determined as if such Lender had not sold such participation and shall be paid directly to such Lender. Each Borrower agrees that if amounts outstanding under this Agreement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such right of set-off shall be subject to the obligation of each Participant to share with Lenders, and Lenders agree to share with each Participant, as provided in Section 11.5.</w:t>
      </w:r>
    </w:p>
    <w:p>
      <w:pPr>
        <w:spacing w:after="0" w:line="185" w:lineRule="exact"/>
        <w:rPr>
          <w:rFonts w:ascii="Arial" w:cs="Arial" w:eastAsia="Arial" w:hAnsi="Arial"/>
          <w:sz w:val="22"/>
          <w:szCs w:val="22"/>
          <w:color w:val="auto"/>
        </w:rPr>
      </w:pPr>
    </w:p>
    <w:p>
      <w:pPr>
        <w:jc w:val="both"/>
        <w:ind w:firstLine="1735"/>
        <w:spacing w:after="0" w:line="276" w:lineRule="auto"/>
        <w:tabs>
          <w:tab w:leader="none" w:pos="2595" w:val="left"/>
        </w:tabs>
        <w:numPr>
          <w:ilvl w:val="1"/>
          <w:numId w:val="180"/>
        </w:numPr>
        <w:rPr>
          <w:rFonts w:ascii="Arial" w:cs="Arial" w:eastAsia="Arial" w:hAnsi="Arial"/>
          <w:sz w:val="18"/>
          <w:szCs w:val="18"/>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Within thirty (30) days after: (i) receipt by Agent of notice and demand from any Lender for payment of additional costs as provided in Section 2.8(h), which demand shall not have been revoked,</w:t>
      </w:r>
    </w:p>
    <w:p>
      <w:pPr>
        <w:spacing w:after="0" w:line="1" w:lineRule="exact"/>
        <w:rPr>
          <w:rFonts w:ascii="Arial" w:cs="Arial" w:eastAsia="Arial" w:hAnsi="Arial"/>
          <w:sz w:val="18"/>
          <w:szCs w:val="18"/>
          <w:color w:val="auto"/>
        </w:rPr>
      </w:pPr>
    </w:p>
    <w:p>
      <w:pPr>
        <w:jc w:val="both"/>
        <w:ind w:firstLine="8"/>
        <w:spacing w:after="0" w:line="244" w:lineRule="auto"/>
        <w:tabs>
          <w:tab w:leader="none" w:pos="327" w:val="left"/>
        </w:tabs>
        <w:numPr>
          <w:ilvl w:val="0"/>
          <w:numId w:val="181"/>
        </w:numPr>
        <w:rPr>
          <w:rFonts w:ascii="Arial" w:cs="Arial" w:eastAsia="Arial" w:hAnsi="Arial"/>
          <w:sz w:val="21"/>
          <w:szCs w:val="21"/>
          <w:color w:val="auto"/>
        </w:rPr>
      </w:pPr>
      <w:r>
        <w:rPr>
          <w:rFonts w:ascii="Arial" w:cs="Arial" w:eastAsia="Arial" w:hAnsi="Arial"/>
          <w:sz w:val="21"/>
          <w:szCs w:val="21"/>
          <w:color w:val="auto"/>
        </w:rPr>
        <w:t>any Borrower is required to pay any additional amount to any Lender or any Governmental Authority for the account of any Lender pursuant to Section 2.8(a) through (h), (iii) any Lender is a Defaulted Lender, and the circumstances causing such status shall not have been cured or waived; or (iv) any failure by any Lender to consent to a requested amendment, waiver or modification to any Financing Document in which Required Lenders have already consented to such amendment, waiver or modification but the consent of each Lender, or each Lender affected thereby, is required with respect thereto (each relevant Lender in the foregoing clauses (i) through (iv) being an “</w:t>
      </w:r>
      <w:r>
        <w:rPr>
          <w:rFonts w:ascii="Arial" w:cs="Arial" w:eastAsia="Arial" w:hAnsi="Arial"/>
          <w:sz w:val="21"/>
          <w:szCs w:val="21"/>
          <w:b w:val="1"/>
          <w:bCs w:val="1"/>
          <w:color w:val="auto"/>
        </w:rPr>
        <w:t>Affected Lender</w:t>
      </w:r>
      <w:r>
        <w:rPr>
          <w:rFonts w:ascii="Arial" w:cs="Arial" w:eastAsia="Arial" w:hAnsi="Arial"/>
          <w:sz w:val="21"/>
          <w:szCs w:val="21"/>
          <w:color w:val="auto"/>
        </w:rPr>
        <w:t>”) each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7" w:name="page208"/>
    <w:bookmarkEnd w:id="207"/>
    <w:p>
      <w:pPr>
        <w:jc w:val="both"/>
        <w:spacing w:after="0" w:line="270" w:lineRule="auto"/>
        <w:rPr>
          <w:sz w:val="20"/>
          <w:szCs w:val="20"/>
          <w:color w:val="auto"/>
        </w:rPr>
      </w:pPr>
      <w:r>
        <w:rPr>
          <w:rFonts w:ascii="Arial" w:cs="Arial" w:eastAsia="Arial" w:hAnsi="Arial"/>
          <w:sz w:val="19"/>
          <w:szCs w:val="19"/>
          <w:color w:val="auto"/>
        </w:rPr>
        <w:t>of Borrower Representative and Agent may, at its option, notify such Affected Lender and, in the case of Borrowers’ election, Agent, of such Person’s intention to obtain, at Borrowers’ expense, a replacement Lender (“</w:t>
      </w:r>
      <w:r>
        <w:rPr>
          <w:rFonts w:ascii="Arial" w:cs="Arial" w:eastAsia="Arial" w:hAnsi="Arial"/>
          <w:sz w:val="19"/>
          <w:szCs w:val="19"/>
          <w:b w:val="1"/>
          <w:bCs w:val="1"/>
          <w:color w:val="auto"/>
        </w:rPr>
        <w:t>Replacement Lender</w:t>
      </w:r>
      <w:r>
        <w:rPr>
          <w:rFonts w:ascii="Arial" w:cs="Arial" w:eastAsia="Arial" w:hAnsi="Arial"/>
          <w:sz w:val="19"/>
          <w:szCs w:val="19"/>
          <w:color w:val="auto"/>
        </w:rPr>
        <w:t xml:space="preserve">”) for such Lender, which Replacement Lender shall be an Eligible Assignee and, in the event the Replacement Lender is to replace an Affected Lender described in the preceding clause (iv), such Replacement Lender consents to the requested amendment, waiver or modification making the replaced Lender an Affected Lender. In the event Borrowers or Agent, as applicable, obtains a Replacement Lender within ninety (90) days following notice of its intention to do so, the Affected Lender shall sell, at par, and assign all of its Loan and funding commitments hereunder to such Replacement Lender in accordance with the procedures set forth in Section 11.17(a);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Borrowers shall have reimbursed such Lender for its increased costs and additional payments for which it is entitled to reimbursement under Section 2.8(a) through (h), as applicable, of this Agreement through the date of such sale and assignment, and (B) Borrowers shall pay to Agent the $3,500 processing fee in respect of such assignment. In the event that a replaced Lender does not execute an Assignment Agreement pursuant to Section 11.17(a) within five (5) Business Days after receipt by such replaced Lender of notice of replacement pursuant to this Section 11.17(c) and presentation to such replaced Lender of an Assignment Agreement evidencing an assignment pursuant to this Section 11.17(c), such replaced Lender shall be deemed to have consented to the terms of such Assignment Agreement, and any such Assignment Agreement executed by Agent, the Replacement Lender and, to the extent required pursuant to Section 11.17(a), Borrowers, shall be effective for purposes of this Section 11.17(c) and Section 11.17(a). Upon any such assignment and payment, such replaced Lender shall no longer constitute a “</w:t>
      </w:r>
      <w:r>
        <w:rPr>
          <w:rFonts w:ascii="Arial" w:cs="Arial" w:eastAsia="Arial" w:hAnsi="Arial"/>
          <w:sz w:val="19"/>
          <w:szCs w:val="19"/>
          <w:b w:val="1"/>
          <w:bCs w:val="1"/>
          <w:color w:val="auto"/>
        </w:rPr>
        <w:t>Lender</w:t>
      </w:r>
      <w:r>
        <w:rPr>
          <w:rFonts w:ascii="Arial" w:cs="Arial" w:eastAsia="Arial" w:hAnsi="Arial"/>
          <w:sz w:val="19"/>
          <w:szCs w:val="19"/>
          <w:color w:val="auto"/>
        </w:rPr>
        <w:t>” for purposes hereof, other than with respect to such rights and obligations that survive termination as set forth in Section 12.1.</w:t>
      </w:r>
    </w:p>
    <w:p>
      <w:pPr>
        <w:spacing w:after="0" w:line="200" w:lineRule="exact"/>
        <w:rPr>
          <w:sz w:val="20"/>
          <w:szCs w:val="20"/>
          <w:color w:val="auto"/>
        </w:rPr>
      </w:pPr>
    </w:p>
    <w:p>
      <w:pPr>
        <w:spacing w:after="0" w:line="211" w:lineRule="exact"/>
        <w:rPr>
          <w:sz w:val="20"/>
          <w:szCs w:val="20"/>
          <w:color w:val="auto"/>
        </w:rPr>
      </w:pPr>
    </w:p>
    <w:p>
      <w:pPr>
        <w:jc w:val="both"/>
        <w:ind w:firstLine="1735"/>
        <w:spacing w:after="0"/>
        <w:tabs>
          <w:tab w:leader="none" w:pos="2606" w:val="left"/>
        </w:tabs>
        <w:numPr>
          <w:ilvl w:val="0"/>
          <w:numId w:val="182"/>
        </w:numPr>
        <w:rPr>
          <w:rFonts w:ascii="Arial" w:cs="Arial" w:eastAsia="Arial" w:hAnsi="Arial"/>
          <w:sz w:val="20"/>
          <w:szCs w:val="20"/>
          <w:color w:val="auto"/>
        </w:rPr>
      </w:pPr>
      <w:r>
        <w:rPr>
          <w:rFonts w:ascii="Arial" w:cs="Arial" w:eastAsia="Arial" w:hAnsi="Arial"/>
          <w:sz w:val="22"/>
          <w:szCs w:val="22"/>
          <w:u w:val="single" w:color="auto"/>
          <w:color w:val="auto"/>
        </w:rPr>
        <w:t>Credit Party Assignments</w:t>
      </w:r>
      <w:r>
        <w:rPr>
          <w:rFonts w:ascii="Arial" w:cs="Arial" w:eastAsia="Arial" w:hAnsi="Arial"/>
          <w:sz w:val="22"/>
          <w:szCs w:val="22"/>
          <w:color w:val="auto"/>
        </w:rPr>
        <w:t>. No Credit Party may assign, delegate or otherwise transfer any of its rights or other obligations hereunder or under any other Financing Document without the prior written consent of Agent and each Lender.</w:t>
      </w:r>
    </w:p>
    <w:p>
      <w:pPr>
        <w:spacing w:after="0" w:line="18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Section 11.18 </w:t>
      </w:r>
      <w:r>
        <w:rPr>
          <w:rFonts w:ascii="Arial" w:cs="Arial" w:eastAsia="Arial" w:hAnsi="Arial"/>
          <w:sz w:val="19"/>
          <w:szCs w:val="19"/>
          <w:u w:val="single" w:color="auto"/>
          <w:color w:val="auto"/>
        </w:rPr>
        <w:t>Funding and Settlement Provisions Applicable When Non-Funding Lenders Exist</w:t>
      </w:r>
      <w:r>
        <w:rPr>
          <w:rFonts w:ascii="Arial" w:cs="Arial" w:eastAsia="Arial" w:hAnsi="Arial"/>
          <w:sz w:val="20"/>
          <w:szCs w:val="20"/>
          <w:color w:val="auto"/>
        </w:rPr>
        <w:t>.</w:t>
      </w:r>
      <w:r>
        <w:rPr>
          <w:rFonts w:ascii="Arial" w:cs="Arial" w:eastAsia="Arial" w:hAnsi="Arial"/>
          <w:sz w:val="19"/>
          <w:szCs w:val="19"/>
          <w:color w:val="auto"/>
        </w:rPr>
        <w:t xml:space="preserve"> So long as Agent has not waived the conditions to the funding of Loans set forth in Section 7.2 or Section 2.1, any Lender may deliver a notice to Agent stating that such Lender shall not fund the Term Loan due to the non-satisfaction of one or more conditions to funding Loans set forth in Section 7.2 or Section 2.1, and specifying any such non-satisfied conditions. Any Lender delivering any such notice shall become a non-funding Lender (a “</w:t>
      </w:r>
      <w:r>
        <w:rPr>
          <w:rFonts w:ascii="Arial" w:cs="Arial" w:eastAsia="Arial" w:hAnsi="Arial"/>
          <w:sz w:val="19"/>
          <w:szCs w:val="19"/>
          <w:b w:val="1"/>
          <w:bCs w:val="1"/>
          <w:color w:val="auto"/>
        </w:rPr>
        <w:t>Non-Funding Lender</w:t>
      </w:r>
      <w:r>
        <w:rPr>
          <w:rFonts w:ascii="Arial" w:cs="Arial" w:eastAsia="Arial" w:hAnsi="Arial"/>
          <w:sz w:val="19"/>
          <w:szCs w:val="19"/>
          <w:color w:val="auto"/>
        </w:rPr>
        <w:t xml:space="preserve">”) for purposes of this Agreement commencing on the Business Day following receipt by Agent of such notice, and shall cease to be a Non-Funding Lender on the date on which such Lender has either revoked the effectiveness of such notice or acknowledged in writing to each of Agent the satisfaction of the condition(s) specified in such notice, or Required Lenders waive the conditions to the funding of such Loans giving rise to such notice by Non-Funding Lender. Each Non-Funding Lender shall remain a Lender for purposes of this Agreement to the extent that such Non-Funding Lender has Term Loans outstanding in excess of $0;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during any period of time that any Non-Funding Lender exists, and notwithstanding any provision to the contrary set forth herein, the following provisions shall apply:</w:t>
      </w:r>
    </w:p>
    <w:p>
      <w:pPr>
        <w:spacing w:after="0" w:line="183" w:lineRule="exact"/>
        <w:rPr>
          <w:sz w:val="20"/>
          <w:szCs w:val="20"/>
          <w:color w:val="auto"/>
        </w:rPr>
      </w:pPr>
    </w:p>
    <w:p>
      <w:pPr>
        <w:ind w:left="2600" w:hanging="865"/>
        <w:spacing w:after="0"/>
        <w:tabs>
          <w:tab w:leader="none" w:pos="26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Except as provided in clause (a) above, Term Loan Commitment Amount of each Non-Funding Lender shall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 deemed to be $0.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8" w:name="page209"/>
    <w:bookmarkEnd w:id="208"/>
    <w:p>
      <w:pPr>
        <w:jc w:val="both"/>
        <w:ind w:firstLine="1735"/>
        <w:spacing w:after="0" w:line="275" w:lineRule="auto"/>
        <w:tabs>
          <w:tab w:leader="none" w:pos="260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Term Loan Commitment at any date of determination during such period shall be deemed to be equal to the sum of (i) the aggregate Term Loan Commitment Amounts of all Lenders, other than the Non-Funding Lenders as of such date plus</w:t>
      </w:r>
    </w:p>
    <w:p>
      <w:pPr>
        <w:ind w:left="300" w:hanging="292"/>
        <w:spacing w:after="0"/>
        <w:tabs>
          <w:tab w:leader="none" w:pos="30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aggregate principal amount outstanding under the Term Loans of all Non-Funding Lenders as of such date.</w:t>
      </w:r>
    </w:p>
    <w:p>
      <w:pPr>
        <w:spacing w:after="0" w:line="19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color w:val="auto"/>
        </w:rPr>
        <w:t>Section 11.19</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8"/>
          <w:szCs w:val="18"/>
          <w:color w:val="auto"/>
        </w:rPr>
        <w:t>.</w:t>
      </w:r>
    </w:p>
    <w:p>
      <w:pPr>
        <w:spacing w:after="0" w:line="229"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color w:val="auto"/>
        </w:rPr>
        <w:t>Section 11.20</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20"/>
          <w:szCs w:val="20"/>
          <w:color w:val="auto"/>
        </w:rPr>
        <w:t>. As used in this Article 11, the following terms have the following meanings:</w:t>
      </w:r>
    </w:p>
    <w:p>
      <w:pPr>
        <w:spacing w:after="0" w:line="22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(a) investment company, fund, trust, securitization vehicle or conduit that is (or will be) engaged in making, purchasing, holding or otherwise investing in commercial loans and similar extensions of credit in the Ordinary Course of Business, or</w:t>
      </w:r>
    </w:p>
    <w:p>
      <w:pPr>
        <w:spacing w:after="0" w:line="1" w:lineRule="exact"/>
        <w:rPr>
          <w:sz w:val="20"/>
          <w:szCs w:val="20"/>
          <w:color w:val="auto"/>
        </w:rPr>
      </w:pPr>
    </w:p>
    <w:p>
      <w:pPr>
        <w:jc w:val="both"/>
        <w:ind w:firstLine="8"/>
        <w:spacing w:after="0" w:line="241" w:lineRule="auto"/>
        <w:tabs>
          <w:tab w:leader="none" w:pos="301"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any Person (other than a natural person) which temporarily warehouses loans for any Lender or any entity described in the preceding clause (a) and that, with respect to each of the preceding clauses (a) and (b), is administered or managed by (i) a Lender, (ii) an Affiliate of a Lender, or (iii) a Person (other than a natural person) or an Affiliate of a Person (other than a natural person) that administers or manages a Lender.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Assignment Agreement</w:t>
      </w:r>
      <w:r>
        <w:rPr>
          <w:rFonts w:ascii="Arial" w:cs="Arial" w:eastAsia="Arial" w:hAnsi="Arial"/>
          <w:sz w:val="20"/>
          <w:szCs w:val="20"/>
          <w:color w:val="auto"/>
        </w:rPr>
        <w:t>” means an assignment agreement in form and substance acceptable to Agent.</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Lender</w:t>
      </w:r>
      <w:r>
        <w:rPr>
          <w:rFonts w:ascii="Arial" w:cs="Arial" w:eastAsia="Arial" w:hAnsi="Arial"/>
          <w:sz w:val="18"/>
          <w:szCs w:val="18"/>
          <w:color w:val="auto"/>
        </w:rPr>
        <w:t>” means any Lender that (a) has failed, within two (2) Business Days of the date required to be funded or paid, to (i) fund any portion of its Loans, or (ii) pay over to any Credit Party any other amount required to be paid by it hereunder, unless, in the case of clause (i) above, such Lender notifies Agent and Borrower Representative in writing that such failure is the result of such Lender’s good faith determination that a condition precedent to funding (specifically identified and including the particular default, if any) has not been satisfied,</w:t>
      </w:r>
    </w:p>
    <w:p>
      <w:pPr>
        <w:spacing w:after="0" w:line="2" w:lineRule="exact"/>
        <w:rPr>
          <w:sz w:val="20"/>
          <w:szCs w:val="20"/>
          <w:color w:val="auto"/>
        </w:rPr>
      </w:pPr>
    </w:p>
    <w:p>
      <w:pPr>
        <w:jc w:val="both"/>
        <w:ind w:firstLine="8"/>
        <w:spacing w:after="0" w:line="266" w:lineRule="auto"/>
        <w:tabs>
          <w:tab w:leader="none" w:pos="28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or the Borrower Representative, acting in good faith, to provide a certification in writing from an authorized officer of such Lender that it will comply with its obligations (and is financially able to meet such obligations) to fund prospective Loans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Lender shall cease to be a Defaulted Lender pursuant to this clause (c) upon such Credit Party’s receipt of such certification in form and substance satisfactory to it and the Agent, or (d) has, or has a direct or indirect parent company that has, (i) become the subject of a proceeding under any bankruptcy, insolvency or other similar law, or</w:t>
      </w:r>
    </w:p>
    <w:p>
      <w:pPr>
        <w:jc w:val="both"/>
        <w:ind w:firstLine="8"/>
        <w:spacing w:after="0" w:line="276" w:lineRule="auto"/>
        <w:tabs>
          <w:tab w:leader="none" w:pos="3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had appointed for it a receiver, custodian, conservator, trustee, administrator, assignee for the benefit of creditors or similar Person charged with reorganization or liquidation of its business or assets. Any determination by Agent that a Lender is a Defaulted Lender under any one or more of clauses (a) through (d) above shall be conclusive and binding absent manifest error, and such Lender shall be deemed to be a Defaulted Lender upon delivery of written notice of such determination to Borrower Representative and each Lender.</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Assignee</w:t>
      </w:r>
      <w:r>
        <w:rPr>
          <w:rFonts w:ascii="Arial" w:cs="Arial" w:eastAsia="Arial" w:hAnsi="Arial"/>
          <w:sz w:val="19"/>
          <w:szCs w:val="19"/>
          <w:color w:val="auto"/>
        </w:rPr>
        <w:t xml:space="preserve">” means (a) a Lender, (b) an Affiliate of a Lender, (c) an Approved Fund, and (d) any other Person (other than a natural person) approved by Agent;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the foregoing, (x) “</w:t>
      </w:r>
      <w:r>
        <w:rPr>
          <w:rFonts w:ascii="Arial" w:cs="Arial" w:eastAsia="Arial" w:hAnsi="Arial"/>
          <w:sz w:val="19"/>
          <w:szCs w:val="19"/>
          <w:b w:val="1"/>
          <w:bCs w:val="1"/>
          <w:color w:val="auto"/>
        </w:rPr>
        <w:t>Eligible Assignee</w:t>
      </w:r>
      <w:r>
        <w:rPr>
          <w:rFonts w:ascii="Arial" w:cs="Arial" w:eastAsia="Arial" w:hAnsi="Arial"/>
          <w:sz w:val="19"/>
          <w:szCs w:val="19"/>
          <w:color w:val="auto"/>
        </w:rPr>
        <w:t>” shall not include (i) any Borrower or any of a Borrower’s Affiliates or (ii) unless an Event of Default has occurred and is continuing, (A) any hedge fund or private equity fund that is primarily and directly engaged in the business of purchasing distressed debt or (B) any direct competitor of Credit Parties, in each case, as determined by Agent in its reasonable discretion, and (y) no proposed assignee intending to assume any unfunded portion of the Term Loan Commitment shall be an Eligible Assignee unless such proposed assignee either already holds a portion of such Term Loan Commitment, or has been approved as an Eligible Assignee by Agent.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09" w:name="page210"/>
    <w:bookmarkEnd w:id="209"/>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xml:space="preserve">” means, for any day, the rate of interest per annum (rounded upwards, if necessary, to the nearest whole multiple of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8"/>
          <w:szCs w:val="18"/>
          <w:i w:val="1"/>
          <w:iCs w:val="1"/>
          <w:color w:val="auto"/>
        </w:rPr>
        <w:t>provided, however</w:t>
      </w:r>
      <w:r>
        <w:rPr>
          <w:rFonts w:ascii="Arial" w:cs="Arial" w:eastAsia="Arial" w:hAnsi="Arial"/>
          <w:sz w:val="18"/>
          <w:szCs w:val="18"/>
          <w:color w:val="auto"/>
        </w:rPr>
        <w:t>, that (a) if such day is not a Business Day, the Federal Funds Rate for such day shall be such rate on such transactions on the next preceding Business Day, and (b) if no such rate is so published on such next preceding Business Day, the Federal Funds Rate for such day shall be the average rate quoted to Agent on such day on such transactions as determined by Agent.</w:t>
      </w:r>
    </w:p>
    <w:p>
      <w:pPr>
        <w:spacing w:after="0" w:line="160" w:lineRule="exact"/>
        <w:rPr>
          <w:sz w:val="20"/>
          <w:szCs w:val="20"/>
          <w:color w:val="auto"/>
        </w:rPr>
      </w:pPr>
    </w:p>
    <w:p>
      <w:pPr>
        <w:ind w:left="3800"/>
        <w:spacing w:after="0"/>
        <w:tabs>
          <w:tab w:leader="none" w:pos="5580" w:val="left"/>
        </w:tabs>
        <w:rPr>
          <w:sz w:val="20"/>
          <w:szCs w:val="20"/>
          <w:color w:val="auto"/>
        </w:rPr>
      </w:pPr>
      <w:r>
        <w:rPr>
          <w:rFonts w:ascii="Arial" w:cs="Arial" w:eastAsia="Arial" w:hAnsi="Arial"/>
          <w:sz w:val="20"/>
          <w:szCs w:val="20"/>
          <w:b w:val="1"/>
          <w:bCs w:val="1"/>
          <w:color w:val="auto"/>
        </w:rPr>
        <w:t>ARTICLE 12</w:t>
      </w:r>
      <w:r>
        <w:rPr>
          <w:sz w:val="20"/>
          <w:szCs w:val="20"/>
          <w:color w:val="auto"/>
        </w:rPr>
        <w:tab/>
      </w:r>
      <w:r>
        <w:rPr>
          <w:rFonts w:ascii="Arial" w:cs="Arial" w:eastAsia="Arial" w:hAnsi="Arial"/>
          <w:sz w:val="19"/>
          <w:szCs w:val="19"/>
          <w:b w:val="1"/>
          <w:bCs w:val="1"/>
          <w:color w:val="auto"/>
        </w:rPr>
        <w:t>- MISCELLANEOUS</w:t>
      </w:r>
    </w:p>
    <w:p>
      <w:pPr>
        <w:spacing w:after="0" w:line="21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 xml:space="preserve">Section 12.1 </w:t>
      </w:r>
      <w:r>
        <w:rPr>
          <w:rFonts w:ascii="Arial" w:cs="Arial" w:eastAsia="Arial" w:hAnsi="Arial"/>
          <w:sz w:val="20"/>
          <w:szCs w:val="20"/>
          <w:u w:val="single" w:color="auto"/>
          <w:color w:val="auto"/>
        </w:rPr>
        <w:t>Survival</w:t>
      </w:r>
      <w:r>
        <w:rPr>
          <w:rFonts w:ascii="Arial" w:cs="Arial" w:eastAsia="Arial" w:hAnsi="Arial"/>
          <w:sz w:val="21"/>
          <w:szCs w:val="21"/>
          <w:color w:val="auto"/>
        </w:rPr>
        <w:t>. All agreements, representations and warranties made herein and in every other Financing</w:t>
      </w:r>
      <w:r>
        <w:rPr>
          <w:rFonts w:ascii="Arial" w:cs="Arial" w:eastAsia="Arial" w:hAnsi="Arial"/>
          <w:sz w:val="20"/>
          <w:szCs w:val="20"/>
          <w:color w:val="auto"/>
        </w:rPr>
        <w:t xml:space="preserve"> </w:t>
      </w:r>
      <w:r>
        <w:rPr>
          <w:rFonts w:ascii="Arial" w:cs="Arial" w:eastAsia="Arial" w:hAnsi="Arial"/>
          <w:sz w:val="21"/>
          <w:szCs w:val="21"/>
          <w:color w:val="auto"/>
        </w:rPr>
        <w:t>Document shall survive the execution and delivery of this Agreement and the other Financing Documents and the other Financing Documents. The provisions of Section 2.10 and Articles 11 and 12 shall survive the payment of the Obligations (both with respect to any Lender and all Lenders collectively) and any termination of this Agreement and any judgment with respect to any Obligations, including any final foreclosure judgment with respect to any Security Document, and no unpaid or unperformed, current or future, Obligations will merge into any such judgment.</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12.2 </w:t>
      </w:r>
      <w:r>
        <w:rPr>
          <w:rFonts w:ascii="Arial" w:cs="Arial" w:eastAsia="Arial" w:hAnsi="Arial"/>
          <w:sz w:val="20"/>
          <w:szCs w:val="20"/>
          <w:u w:val="single" w:color="auto"/>
          <w:color w:val="auto"/>
        </w:rPr>
        <w:t>No Waivers</w:t>
      </w:r>
      <w:r>
        <w:rPr>
          <w:rFonts w:ascii="Arial" w:cs="Arial" w:eastAsia="Arial" w:hAnsi="Arial"/>
          <w:sz w:val="21"/>
          <w:szCs w:val="21"/>
          <w:color w:val="auto"/>
        </w:rPr>
        <w:t>. No failure or delay by Agent or any Lender in exercising any right, power or privilege</w:t>
      </w:r>
      <w:r>
        <w:rPr>
          <w:rFonts w:ascii="Arial" w:cs="Arial" w:eastAsia="Arial" w:hAnsi="Arial"/>
          <w:sz w:val="20"/>
          <w:szCs w:val="20"/>
          <w:color w:val="auto"/>
        </w:rPr>
        <w:t xml:space="preserve"> </w:t>
      </w:r>
      <w:r>
        <w:rPr>
          <w:rFonts w:ascii="Arial" w:cs="Arial" w:eastAsia="Arial" w:hAnsi="Arial"/>
          <w:sz w:val="21"/>
          <w:szCs w:val="21"/>
          <w:color w:val="auto"/>
        </w:rPr>
        <w:t>under any Financing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Financing Document to the “continuing” nature of any Event of Default shall not be construed as establishing or otherwise indicating that any Borrower or any other Credit Party has the independent right to cure any such Event of Default, but is rather presented merely for convenience should such Event of Default be waived in accordance with the terms of the applicable Financing Documents.</w:t>
      </w:r>
    </w:p>
    <w:p>
      <w:pPr>
        <w:spacing w:after="0" w:line="184"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12.3</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11" w:lineRule="exact"/>
        <w:rPr>
          <w:sz w:val="20"/>
          <w:szCs w:val="20"/>
          <w:color w:val="auto"/>
        </w:rPr>
      </w:pPr>
    </w:p>
    <w:p>
      <w:pPr>
        <w:jc w:val="both"/>
        <w:ind w:firstLine="1735"/>
        <w:spacing w:after="0" w:line="269" w:lineRule="auto"/>
        <w:tabs>
          <w:tab w:leader="none" w:pos="2595" w:val="left"/>
        </w:tabs>
        <w:numPr>
          <w:ilvl w:val="0"/>
          <w:numId w:val="189"/>
        </w:numPr>
        <w:rPr>
          <w:rFonts w:ascii="Arial" w:cs="Arial" w:eastAsia="Arial" w:hAnsi="Arial"/>
          <w:sz w:val="18"/>
          <w:szCs w:val="18"/>
          <w:color w:val="auto"/>
        </w:rPr>
      </w:pPr>
      <w:r>
        <w:rPr>
          <w:rFonts w:ascii="Arial" w:cs="Arial" w:eastAsia="Arial" w:hAnsi="Arial"/>
          <w:sz w:val="19"/>
          <w:szCs w:val="19"/>
          <w:color w:val="auto"/>
        </w:rPr>
        <w:t xml:space="preserve">All notices, requests and other communications to any party hereunder shall be in writing (including prepaid overnight courier, facsimile transmission or similar writing) and shall be given to such party at its address, facsimile number or e-mail address set forth on the signature pages hereof (or, in the case of any such Lender who becomes a Lender after the date hereof, in an assignment agreement or in a notice delivered to Borrower Representative and Agent by the assignee Lender forthwith upon such assignment) or at such other address, facsimile number or e-mail address as such party may hereafter specify for the purpose by notice to Agent and Borrower Representative;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notices, requests or other communications shall be permitted by electronic means only in accordance with the provisions of Section 12.3(b) and</w:t>
      </w:r>
    </w:p>
    <w:p>
      <w:pPr>
        <w:spacing w:after="0" w:line="4" w:lineRule="exact"/>
        <w:rPr>
          <w:rFonts w:ascii="Arial" w:cs="Arial" w:eastAsia="Arial" w:hAnsi="Arial"/>
          <w:sz w:val="18"/>
          <w:szCs w:val="18"/>
          <w:color w:val="auto"/>
        </w:rPr>
      </w:pPr>
    </w:p>
    <w:p>
      <w:pPr>
        <w:jc w:val="both"/>
        <w:spacing w:after="0" w:line="233" w:lineRule="auto"/>
        <w:rPr>
          <w:rFonts w:ascii="Arial" w:cs="Arial" w:eastAsia="Arial" w:hAnsi="Arial"/>
          <w:sz w:val="18"/>
          <w:szCs w:val="18"/>
          <w:color w:val="auto"/>
        </w:rPr>
      </w:pPr>
      <w:r>
        <w:rPr>
          <w:rFonts w:ascii="Arial" w:cs="Arial" w:eastAsia="Arial" w:hAnsi="Arial"/>
          <w:sz w:val="22"/>
          <w:szCs w:val="22"/>
          <w:color w:val="auto"/>
        </w:rPr>
        <w:t>(c). Each such notice, request or other communication shall be effective (i) if given by facsimile, when such notice is transmitted to the facsimile number specified by this Section and the sender receives a confirmation of transmission from the sending facsimile machine, or (ii) if given by mail, prepaid overnight courier or any other means, when received or when receipt is refused at the applicable address specified by this Section 12.3(a).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0" w:name="page211"/>
    <w:bookmarkEnd w:id="210"/>
    <w:p>
      <w:pPr>
        <w:jc w:val="both"/>
        <w:ind w:firstLine="1735"/>
        <w:spacing w:after="0" w:line="279" w:lineRule="auto"/>
        <w:tabs>
          <w:tab w:leader="none" w:pos="2606" w:val="left"/>
        </w:tabs>
        <w:numPr>
          <w:ilvl w:val="0"/>
          <w:numId w:val="190"/>
        </w:numPr>
        <w:rPr>
          <w:rFonts w:ascii="Arial" w:cs="Arial" w:eastAsia="Arial" w:hAnsi="Arial"/>
          <w:sz w:val="18"/>
          <w:szCs w:val="18"/>
          <w:color w:val="auto"/>
        </w:rPr>
      </w:pPr>
      <w:r>
        <w:rPr>
          <w:rFonts w:ascii="Arial" w:cs="Arial" w:eastAsia="Arial" w:hAnsi="Arial"/>
          <w:sz w:val="19"/>
          <w:szCs w:val="19"/>
          <w:color w:val="auto"/>
        </w:rPr>
        <w:t xml:space="preserve">Notices and other communications to the parties hereto may be delivered or furnished by electronic communication (including e-mail and Internet or intranet websites) pursuant to procedures approved from time to time by Agent,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foregoing shall not apply to notices sent directly to any Lender if such Lender has notified Agent that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it is incapable of receiving notices by electronic communication. Agent or Borrower Representative may, in their discretion, agree to accept notices and other communications to them hereunder by electronic communications pursuant to procedures approved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approval of such procedures may be limited to particular notices or communications.</w:t>
      </w:r>
    </w:p>
    <w:p>
      <w:pPr>
        <w:spacing w:after="0" w:line="150" w:lineRule="exact"/>
        <w:rPr>
          <w:rFonts w:ascii="Arial" w:cs="Arial" w:eastAsia="Arial" w:hAnsi="Arial"/>
          <w:sz w:val="18"/>
          <w:szCs w:val="18"/>
          <w:color w:val="auto"/>
        </w:rPr>
      </w:pPr>
    </w:p>
    <w:p>
      <w:pPr>
        <w:jc w:val="both"/>
        <w:ind w:firstLine="1735"/>
        <w:spacing w:after="0" w:line="246" w:lineRule="auto"/>
        <w:tabs>
          <w:tab w:leader="none" w:pos="2595" w:val="left"/>
        </w:tabs>
        <w:numPr>
          <w:ilvl w:val="0"/>
          <w:numId w:val="190"/>
        </w:numPr>
        <w:rPr>
          <w:rFonts w:ascii="Arial" w:cs="Arial" w:eastAsia="Arial" w:hAnsi="Arial"/>
          <w:sz w:val="19"/>
          <w:szCs w:val="19"/>
          <w:color w:val="auto"/>
        </w:rPr>
      </w:pPr>
      <w:r>
        <w:rPr>
          <w:rFonts w:ascii="Arial" w:cs="Arial" w:eastAsia="Arial" w:hAnsi="Arial"/>
          <w:sz w:val="21"/>
          <w:szCs w:val="21"/>
          <w:color w:val="auto"/>
        </w:rPr>
        <w:t xml:space="preserve">Unless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any such notice or other communication is not sent or posted during normal business hours, such notice or communication shall be deemed to have been sent at the opening of business on the next Business Day.</w:t>
      </w:r>
    </w:p>
    <w:p>
      <w:pPr>
        <w:spacing w:after="0" w:line="180"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Section 12.4 </w:t>
      </w:r>
      <w:r>
        <w:rPr>
          <w:rFonts w:ascii="Arial" w:cs="Arial" w:eastAsia="Arial" w:hAnsi="Arial"/>
          <w:sz w:val="20"/>
          <w:szCs w:val="20"/>
          <w:u w:val="single" w:color="auto"/>
          <w:color w:val="auto"/>
        </w:rPr>
        <w:t>Severability</w:t>
      </w:r>
      <w:r>
        <w:rPr>
          <w:rFonts w:ascii="Arial" w:cs="Arial" w:eastAsia="Arial" w:hAnsi="Arial"/>
          <w:sz w:val="21"/>
          <w:szCs w:val="21"/>
          <w:color w:val="auto"/>
        </w:rPr>
        <w:t>. In case any provision of or obligation under this Agreement or any other Financing</w:t>
      </w:r>
      <w:r>
        <w:rPr>
          <w:rFonts w:ascii="Arial" w:cs="Arial" w:eastAsia="Arial" w:hAnsi="Arial"/>
          <w:sz w:val="20"/>
          <w:szCs w:val="20"/>
          <w:color w:val="auto"/>
        </w:rPr>
        <w:t xml:space="preserve"> </w:t>
      </w:r>
      <w:r>
        <w:rPr>
          <w:rFonts w:ascii="Arial" w:cs="Arial" w:eastAsia="Arial" w:hAnsi="Arial"/>
          <w:sz w:val="21"/>
          <w:szCs w:val="21"/>
          <w:color w:val="auto"/>
        </w:rPr>
        <w:t>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 xml:space="preserve">Section 12.5 </w:t>
      </w:r>
      <w:r>
        <w:rPr>
          <w:rFonts w:ascii="Arial" w:cs="Arial" w:eastAsia="Arial" w:hAnsi="Arial"/>
          <w:sz w:val="20"/>
          <w:szCs w:val="20"/>
          <w:u w:val="single" w:color="auto"/>
          <w:color w:val="auto"/>
        </w:rPr>
        <w:t>Headings</w:t>
      </w:r>
      <w:r>
        <w:rPr>
          <w:rFonts w:ascii="Arial" w:cs="Arial" w:eastAsia="Arial" w:hAnsi="Arial"/>
          <w:sz w:val="21"/>
          <w:szCs w:val="21"/>
          <w:color w:val="auto"/>
        </w:rPr>
        <w:t>. Headings and captions used in the Financing Documents (including the Exhibits,</w:t>
      </w:r>
      <w:r>
        <w:rPr>
          <w:rFonts w:ascii="Arial" w:cs="Arial" w:eastAsia="Arial" w:hAnsi="Arial"/>
          <w:sz w:val="20"/>
          <w:szCs w:val="20"/>
          <w:color w:val="auto"/>
        </w:rPr>
        <w:t xml:space="preserve"> </w:t>
      </w:r>
      <w:r>
        <w:rPr>
          <w:rFonts w:ascii="Arial" w:cs="Arial" w:eastAsia="Arial" w:hAnsi="Arial"/>
          <w:sz w:val="21"/>
          <w:szCs w:val="21"/>
          <w:color w:val="auto"/>
        </w:rPr>
        <w:t>Schedules and Annexes hereto and thereto) are included for convenience of reference only and shall not be given any substantive effect.</w:t>
      </w:r>
    </w:p>
    <w:p>
      <w:pPr>
        <w:spacing w:after="0" w:line="174"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Agent and each Lender shall hold all non-public information regarding the Credit Parties and their respective businesses and obtained by Agent or any Lender pursuant to the requirements hereof in accordance with such Person’s customary procedures for handling information of such nature, except that disclosure of such information may be made (i) to their respective agents, employees, Subsidiaries, Affiliates, attorneys, auditors, professional consultants, rating agencies, insurance industry associations and portfolio management services, (ii) to prospective transferees or purchasers of any interest in the Loans, Agent or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Persons are bound by obligations of confidentiality, (iii) as required by Law, subpoena, judicial order or similar order</w:t>
      </w:r>
      <w:r>
        <w:rPr>
          <w:rFonts w:ascii="Arial" w:cs="Arial" w:eastAsia="Arial" w:hAnsi="Arial"/>
          <w:sz w:val="18"/>
          <w:szCs w:val="18"/>
          <w:i w:val="1"/>
          <w:iCs w:val="1"/>
          <w:color w:val="auto"/>
        </w:rPr>
        <w:t xml:space="preserve"> </w:t>
      </w:r>
      <w:r>
        <w:rPr>
          <w:rFonts w:ascii="Arial" w:cs="Arial" w:eastAsia="Arial" w:hAnsi="Arial"/>
          <w:sz w:val="18"/>
          <w:szCs w:val="18"/>
          <w:color w:val="auto"/>
        </w:rPr>
        <w:t>and in connection with any litigation, (iv) as may be required in connection with the examination, audit or similar investigation of such Person, and (v) to a Person that is a trustee, investment advisor or investment manager, collateral manager, servicer, noteholder or secured party in a Securitization (as hereinafter defined) in connection with the administration, servicing and reporting on the assets serving as collateral for such Securitization. For the purposes of this Section, “</w:t>
      </w:r>
      <w:r>
        <w:rPr>
          <w:rFonts w:ascii="Arial" w:cs="Arial" w:eastAsia="Arial" w:hAnsi="Arial"/>
          <w:sz w:val="18"/>
          <w:szCs w:val="18"/>
          <w:b w:val="1"/>
          <w:bCs w:val="1"/>
          <w:color w:val="auto"/>
        </w:rPr>
        <w:t>Securitization</w:t>
      </w:r>
      <w:r>
        <w:rPr>
          <w:rFonts w:ascii="Arial" w:cs="Arial" w:eastAsia="Arial" w:hAnsi="Arial"/>
          <w:sz w:val="18"/>
          <w:szCs w:val="18"/>
          <w:color w:val="auto"/>
        </w:rPr>
        <w:t>” shall mean (A) the pledge of the Loans as collateral security for loans to a Lender, or (B) a public or private offering by a Lender or any of its Affiliates or their respective successors and assigns, of securities which represent an interest in, or which are collateralized, in whole or in part, by the Loans. Confidential information shall include only such information identified as such at the time provided to Agent and shall not include information that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either: (y) is in the public domain, or becomes part of the public domain after disclosure to such Person through no fault of such Person, or</w:t>
      </w:r>
    </w:p>
    <w:p>
      <w:pPr>
        <w:spacing w:after="0" w:line="39" w:lineRule="exact"/>
        <w:rPr>
          <w:sz w:val="20"/>
          <w:szCs w:val="20"/>
          <w:color w:val="auto"/>
        </w:rPr>
      </w:pPr>
    </w:p>
    <w:p>
      <w:pPr>
        <w:jc w:val="both"/>
        <w:ind w:firstLine="8"/>
        <w:spacing w:after="0" w:line="241" w:lineRule="auto"/>
        <w:tabs>
          <w:tab w:leader="none" w:pos="28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is disclosed to such Person by a Person other than a Credit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Agent does not have actual knowledge that such Person is prohibited from disclosing such information. The obligations of Agent and Lenders under this Section 12.6 shall supersede and replace the obligations of Agent and Lenders under any confidentiality agreement in respect of this financing executed and delivered by Agent or any Lender prior to the date hereof.</w:t>
      </w:r>
    </w:p>
    <w:p>
      <w:pPr>
        <w:spacing w:after="0" w:line="19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 xml:space="preserve">Section 12.7 </w:t>
      </w:r>
      <w:r>
        <w:rPr>
          <w:rFonts w:ascii="Arial" w:cs="Arial" w:eastAsia="Arial" w:hAnsi="Arial"/>
          <w:sz w:val="19"/>
          <w:szCs w:val="19"/>
          <w:u w:val="single" w:color="auto"/>
          <w:color w:val="auto"/>
        </w:rPr>
        <w:t>Waiver of Consequential and Other Damages</w:t>
      </w:r>
      <w:r>
        <w:rPr>
          <w:rFonts w:ascii="Arial" w:cs="Arial" w:eastAsia="Arial" w:hAnsi="Arial"/>
          <w:sz w:val="20"/>
          <w:szCs w:val="20"/>
          <w:color w:val="auto"/>
        </w:rPr>
        <w:t>. To the fullest extent permitted by applicable Law, no</w:t>
      </w:r>
      <w:r>
        <w:rPr>
          <w:rFonts w:ascii="Arial" w:cs="Arial" w:eastAsia="Arial" w:hAnsi="Arial"/>
          <w:sz w:val="19"/>
          <w:szCs w:val="19"/>
          <w:color w:val="auto"/>
        </w:rPr>
        <w:t xml:space="preserve"> </w:t>
      </w:r>
      <w:r>
        <w:rPr>
          <w:rFonts w:ascii="Arial" w:cs="Arial" w:eastAsia="Arial" w:hAnsi="Arial"/>
          <w:sz w:val="20"/>
          <w:szCs w:val="20"/>
          <w:color w:val="auto"/>
        </w:rPr>
        <w:t>Borrower shall assert, and each Borrower hereby waives, any claim against any Indemnitee (as defined below), on any theory of liability, for special, indirect, consequential or punitive damages (as opposed to direct or actual damages) arising out of, in connection with, or as a result of this Agreement, any other Financing Document or any agreement or instrument contemplated hereby or thereby, the transactions contemplated hereby or thereby, any Loan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spacing w:after="0" w:line="171"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12.8</w:t>
      </w:r>
      <w:r>
        <w:rPr>
          <w:sz w:val="20"/>
          <w:szCs w:val="20"/>
          <w:color w:val="auto"/>
        </w:rPr>
        <w:tab/>
      </w:r>
      <w:r>
        <w:rPr>
          <w:rFonts w:ascii="Arial" w:cs="Arial" w:eastAsia="Arial" w:hAnsi="Arial"/>
          <w:sz w:val="19"/>
          <w:szCs w:val="19"/>
          <w:u w:val="single" w:color="auto"/>
          <w:color w:val="auto"/>
        </w:rPr>
        <w:t>GOVERNING LAW; SUBMISSION TO JURISDICTION</w:t>
      </w:r>
      <w:r>
        <w:rPr>
          <w:rFonts w:ascii="Arial" w:cs="Arial" w:eastAsia="Arial" w:hAnsi="Arial"/>
          <w:sz w:val="19"/>
          <w:szCs w:val="19"/>
          <w:color w:val="auto"/>
        </w:rPr>
        <w:t>.</w:t>
      </w:r>
    </w:p>
    <w:p>
      <w:pPr>
        <w:spacing w:after="0" w:line="216" w:lineRule="exact"/>
        <w:rPr>
          <w:sz w:val="20"/>
          <w:szCs w:val="20"/>
          <w:color w:val="auto"/>
        </w:rPr>
      </w:pPr>
    </w:p>
    <w:p>
      <w:pPr>
        <w:jc w:val="both"/>
        <w:ind w:firstLine="1735"/>
        <w:spacing w:after="0" w:line="244" w:lineRule="auto"/>
        <w:tabs>
          <w:tab w:leader="none" w:pos="2595" w:val="left"/>
        </w:tabs>
        <w:numPr>
          <w:ilvl w:val="0"/>
          <w:numId w:val="192"/>
        </w:numPr>
        <w:rPr>
          <w:rFonts w:ascii="Arial" w:cs="Arial" w:eastAsia="Arial" w:hAnsi="Arial"/>
          <w:sz w:val="20"/>
          <w:szCs w:val="20"/>
          <w:color w:val="auto"/>
        </w:rPr>
      </w:pPr>
      <w:r>
        <w:rPr>
          <w:rFonts w:ascii="Arial" w:cs="Arial" w:eastAsia="Arial" w:hAnsi="Arial"/>
          <w:sz w:val="20"/>
          <w:szCs w:val="20"/>
          <w:color w:val="auto"/>
        </w:rPr>
        <w:t>THIS AGREEMENT, EACH NOTE AND EACH OTHER FINANCING DOCUMENT,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w:t>
      </w:r>
    </w:p>
    <w:p>
      <w:pPr>
        <w:spacing w:after="0" w:line="194" w:lineRule="exact"/>
        <w:rPr>
          <w:rFonts w:ascii="Arial" w:cs="Arial" w:eastAsia="Arial" w:hAnsi="Arial"/>
          <w:sz w:val="20"/>
          <w:szCs w:val="20"/>
          <w:color w:val="auto"/>
        </w:rPr>
      </w:pPr>
    </w:p>
    <w:p>
      <w:pPr>
        <w:jc w:val="both"/>
        <w:ind w:firstLine="1735"/>
        <w:spacing w:after="0" w:line="241" w:lineRule="auto"/>
        <w:tabs>
          <w:tab w:leader="none" w:pos="2606" w:val="left"/>
        </w:tabs>
        <w:numPr>
          <w:ilvl w:val="0"/>
          <w:numId w:val="192"/>
        </w:numPr>
        <w:rPr>
          <w:rFonts w:ascii="Arial" w:cs="Arial" w:eastAsia="Arial" w:hAnsi="Arial"/>
          <w:sz w:val="20"/>
          <w:szCs w:val="20"/>
          <w:color w:val="auto"/>
        </w:rPr>
      </w:pPr>
      <w:r>
        <w:rPr>
          <w:rFonts w:ascii="Arial" w:cs="Arial" w:eastAsia="Arial" w:hAnsi="Arial"/>
          <w:sz w:val="20"/>
          <w:szCs w:val="20"/>
          <w:color w:val="auto"/>
        </w:rPr>
        <w:t>EACH BORROWER HEREBY CONSENTS TO THE JURISDICTION OF ANY STATE OR FEDERAL COURT LOCATED IN THE STATE OF NEW YORK IN THE CITY OF NEW YORK, BOROUGH OF MANHATTAN, AND IRREVOCABLY AGREES THAT, SUBJECT TO AGENT’S ELECTION, ALL ACTIONS OR PROCEEDINGS ARISING OUT OF OR RELATING TO THIS AGREEMENT OR THE OTHER FINANCING DOCUMENTS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pacing w:after="0" w:line="201" w:lineRule="exact"/>
        <w:rPr>
          <w:rFonts w:ascii="Arial" w:cs="Arial" w:eastAsia="Arial" w:hAnsi="Arial"/>
          <w:sz w:val="20"/>
          <w:szCs w:val="20"/>
          <w:color w:val="auto"/>
        </w:rPr>
      </w:pPr>
    </w:p>
    <w:p>
      <w:pPr>
        <w:jc w:val="both"/>
        <w:ind w:firstLine="1735"/>
        <w:spacing w:after="0" w:line="291" w:lineRule="auto"/>
        <w:tabs>
          <w:tab w:leader="none" w:pos="25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Borrower, Agent and each Lender agree that each Loan (including those made on the Closing Date) shall be deemed to be made in, and the transactions contemplated hereunder and in any other Financing Document shall be deemed to have been performed in, the State of Maryland. Nothing in this Section 12.8(c) shall amend or modify Sections 12.8(a) or (b) in any respect.</w:t>
      </w:r>
    </w:p>
    <w:p>
      <w:pPr>
        <w:spacing w:after="0" w:line="141"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0"/>
          <w:szCs w:val="20"/>
          <w:color w:val="auto"/>
        </w:rPr>
        <w:t>Section 12.9</w:t>
      </w:r>
      <w:r>
        <w:rPr>
          <w:sz w:val="20"/>
          <w:szCs w:val="20"/>
          <w:color w:val="auto"/>
        </w:rPr>
        <w:tab/>
      </w:r>
      <w:r>
        <w:rPr>
          <w:rFonts w:ascii="Arial" w:cs="Arial" w:eastAsia="Arial" w:hAnsi="Arial"/>
          <w:sz w:val="20"/>
          <w:szCs w:val="20"/>
          <w:b w:val="1"/>
          <w:bCs w:val="1"/>
          <w:u w:val="single" w:color="auto"/>
          <w:color w:val="auto"/>
        </w:rPr>
        <w:t>WAIVER OF JURY TRIAL</w:t>
      </w:r>
      <w:r>
        <w:rPr>
          <w:rFonts w:ascii="Arial" w:cs="Arial" w:eastAsia="Arial" w:hAnsi="Arial"/>
          <w:sz w:val="21"/>
          <w:szCs w:val="2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1"/>
          <w:szCs w:val="21"/>
          <w:b w:val="1"/>
          <w:bCs w:val="1"/>
          <w:color w:val="auto"/>
        </w:rPr>
        <w:t>EACH BORROWER, AGENT AND THE LENDERS HEREBY</w:t>
      </w:r>
    </w:p>
    <w:p>
      <w:pPr>
        <w:spacing w:after="0" w:line="26"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b w:val="1"/>
          <w:bCs w:val="1"/>
          <w:color w:val="auto"/>
        </w:rPr>
        <w:t>IRREVOCABLY WAIVES ANY AND ALL RIGHT TO TRIAL BY JURY IN ANY LEGAL ACTION OR PROCEEDING ARISING OUT OF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12" w:name="page213"/>
    <w:bookmarkEnd w:id="212"/>
    <w:p>
      <w:pPr>
        <w:jc w:val="both"/>
        <w:spacing w:after="0" w:line="234" w:lineRule="auto"/>
        <w:rPr>
          <w:sz w:val="20"/>
          <w:szCs w:val="20"/>
          <w:color w:val="auto"/>
        </w:rPr>
      </w:pPr>
      <w:r>
        <w:rPr>
          <w:rFonts w:ascii="Arial" w:cs="Arial" w:eastAsia="Arial" w:hAnsi="Arial"/>
          <w:sz w:val="22"/>
          <w:szCs w:val="22"/>
          <w:b w:val="1"/>
          <w:bCs w:val="1"/>
          <w:color w:val="auto"/>
        </w:rPr>
        <w:t>RELATING TO THE FINANCING DOCUMENTS OR THE TRANSACTIONS CONTEMPLATED THEREBY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THE OTHER FINANCING DOCUMENTS,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9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color w:val="auto"/>
        </w:rPr>
        <w:t>Section 12.10</w:t>
      </w:r>
      <w:r>
        <w:rPr>
          <w:sz w:val="20"/>
          <w:szCs w:val="20"/>
          <w:color w:val="auto"/>
        </w:rPr>
        <w:tab/>
      </w:r>
      <w:r>
        <w:rPr>
          <w:rFonts w:ascii="Arial" w:cs="Arial" w:eastAsia="Arial" w:hAnsi="Arial"/>
          <w:sz w:val="18"/>
          <w:szCs w:val="18"/>
          <w:u w:val="single" w:color="auto"/>
          <w:color w:val="auto"/>
        </w:rPr>
        <w:t>Publication; Advertisement</w:t>
      </w:r>
      <w:r>
        <w:rPr>
          <w:rFonts w:ascii="Arial" w:cs="Arial" w:eastAsia="Arial" w:hAnsi="Arial"/>
          <w:sz w:val="18"/>
          <w:szCs w:val="18"/>
          <w:color w:val="auto"/>
        </w:rPr>
        <w:t>.</w:t>
      </w:r>
    </w:p>
    <w:p>
      <w:pPr>
        <w:spacing w:after="0" w:line="211" w:lineRule="exact"/>
        <w:rPr>
          <w:sz w:val="20"/>
          <w:szCs w:val="20"/>
          <w:color w:val="auto"/>
        </w:rPr>
      </w:pPr>
    </w:p>
    <w:p>
      <w:pPr>
        <w:jc w:val="both"/>
        <w:ind w:firstLine="1735"/>
        <w:spacing w:after="0" w:line="282" w:lineRule="auto"/>
        <w:tabs>
          <w:tab w:leader="none" w:pos="2595" w:val="left"/>
        </w:tabs>
        <w:numPr>
          <w:ilvl w:val="0"/>
          <w:numId w:val="193"/>
        </w:numPr>
        <w:rPr>
          <w:rFonts w:ascii="Arial" w:cs="Arial" w:eastAsia="Arial" w:hAnsi="Arial"/>
          <w:sz w:val="18"/>
          <w:szCs w:val="18"/>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No Credit Party will directly or indirectly publish, disclose or otherwise use in any advertising material, promotional material, press release or interview, any reference to the name, logo or any trademark of MCF or any of its Affiliates or any reference to this Agreement or the financing evidenced hereby, in any case except (i) as required by Law, subpoena or judicial or similar order, in which case the applicable Credit Party shall, to the extent legally permitted to do so, give Agent prior written notice of such publication or other disclosure, or (ii) with MCF’s prior written consent.</w:t>
      </w:r>
    </w:p>
    <w:p>
      <w:pPr>
        <w:spacing w:after="0" w:line="147" w:lineRule="exact"/>
        <w:rPr>
          <w:rFonts w:ascii="Arial" w:cs="Arial" w:eastAsia="Arial" w:hAnsi="Arial"/>
          <w:sz w:val="18"/>
          <w:szCs w:val="18"/>
          <w:color w:val="auto"/>
        </w:rPr>
      </w:pPr>
    </w:p>
    <w:p>
      <w:pPr>
        <w:jc w:val="both"/>
        <w:ind w:firstLine="1735"/>
        <w:spacing w:after="0" w:line="273" w:lineRule="auto"/>
        <w:tabs>
          <w:tab w:leader="none" w:pos="2606" w:val="left"/>
        </w:tabs>
        <w:numPr>
          <w:ilvl w:val="0"/>
          <w:numId w:val="193"/>
        </w:numPr>
        <w:rPr>
          <w:rFonts w:ascii="Arial" w:cs="Arial" w:eastAsia="Arial" w:hAnsi="Arial"/>
          <w:sz w:val="18"/>
          <w:szCs w:val="18"/>
          <w:color w:val="auto"/>
        </w:rPr>
      </w:pPr>
      <w:r>
        <w:rPr>
          <w:rFonts w:ascii="Arial" w:cs="Arial" w:eastAsia="Arial" w:hAnsi="Arial"/>
          <w:sz w:val="19"/>
          <w:szCs w:val="19"/>
          <w:u w:val="single" w:color="auto"/>
          <w:color w:val="auto"/>
        </w:rPr>
        <w:t>Advertisement</w:t>
      </w:r>
      <w:r>
        <w:rPr>
          <w:rFonts w:ascii="Arial" w:cs="Arial" w:eastAsia="Arial" w:hAnsi="Arial"/>
          <w:sz w:val="19"/>
          <w:szCs w:val="19"/>
          <w:color w:val="auto"/>
        </w:rPr>
        <w:t>. Each Lender and each Credit Party hereby authorizes MCF to publish the name of such Lender and Credit Party,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MCF elects to submit for publication. In addition, each Lender and each Credit Party agrees that MCF may provide lending industry trade organizations with information necessary and customary for inclusion in league table measurements after the Closing Date. With respect to any of the foregoing, MCF shall provide Borrowers with an opportunity to review and confer with MCF regarding the contents of any such tombstone, advertisement or information, as applicable, prior to its submission for publication and, following such review period, MCF may, from time to time, publish such information in any media form desired by MCF, until such time that Borrowers shall have requested MCF cease any such further publication.</w:t>
      </w:r>
    </w:p>
    <w:p>
      <w:pPr>
        <w:spacing w:after="0" w:line="161"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 xml:space="preserve">Section 12.11 </w:t>
      </w:r>
      <w:r>
        <w:rPr>
          <w:rFonts w:ascii="Arial" w:cs="Arial" w:eastAsia="Arial" w:hAnsi="Arial"/>
          <w:sz w:val="20"/>
          <w:szCs w:val="20"/>
          <w:u w:val="single" w:color="auto"/>
          <w:color w:val="auto"/>
        </w:rPr>
        <w:t>Counterparts; Integration</w:t>
      </w:r>
      <w:r>
        <w:rPr>
          <w:rFonts w:ascii="Arial" w:cs="Arial" w:eastAsia="Arial" w:hAnsi="Arial"/>
          <w:sz w:val="21"/>
          <w:szCs w:val="21"/>
          <w:color w:val="auto"/>
        </w:rPr>
        <w:t>. This Agreement and the other Financing Documents may be signed in any</w:t>
      </w:r>
      <w:r>
        <w:rPr>
          <w:rFonts w:ascii="Arial" w:cs="Arial" w:eastAsia="Arial" w:hAnsi="Arial"/>
          <w:sz w:val="20"/>
          <w:szCs w:val="20"/>
          <w:color w:val="auto"/>
        </w:rPr>
        <w:t xml:space="preserve"> </w:t>
      </w:r>
      <w:r>
        <w:rPr>
          <w:rFonts w:ascii="Arial" w:cs="Arial" w:eastAsia="Arial" w:hAnsi="Arial"/>
          <w:sz w:val="21"/>
          <w:szCs w:val="21"/>
          <w:color w:val="auto"/>
        </w:rPr>
        <w:t>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3" w:name="page214"/>
    <w:bookmarkEnd w:id="213"/>
    <w:p>
      <w:pPr>
        <w:jc w:val="both"/>
        <w:ind w:firstLine="864"/>
        <w:spacing w:after="0" w:line="252" w:lineRule="auto"/>
        <w:rPr>
          <w:sz w:val="20"/>
          <w:szCs w:val="20"/>
          <w:color w:val="auto"/>
        </w:rPr>
      </w:pPr>
      <w:r>
        <w:rPr>
          <w:rFonts w:ascii="Arial" w:cs="Arial" w:eastAsia="Arial" w:hAnsi="Arial"/>
          <w:sz w:val="20"/>
          <w:szCs w:val="20"/>
          <w:color w:val="auto"/>
        </w:rPr>
        <w:t xml:space="preserve">Section 12.12 </w:t>
      </w:r>
      <w:r>
        <w:rPr>
          <w:rFonts w:ascii="Arial" w:cs="Arial" w:eastAsia="Arial" w:hAnsi="Arial"/>
          <w:sz w:val="20"/>
          <w:szCs w:val="20"/>
          <w:u w:val="single" w:color="auto"/>
          <w:color w:val="auto"/>
        </w:rPr>
        <w:t>No Strict Construction</w:t>
      </w:r>
      <w:r>
        <w:rPr>
          <w:rFonts w:ascii="Arial" w:cs="Arial" w:eastAsia="Arial" w:hAnsi="Arial"/>
          <w:sz w:val="21"/>
          <w:szCs w:val="21"/>
          <w:color w:val="auto"/>
        </w:rPr>
        <w:t>. The parties hereto have participated jointly in the negotiation and drafting of</w:t>
      </w:r>
      <w:r>
        <w:rPr>
          <w:rFonts w:ascii="Arial" w:cs="Arial" w:eastAsia="Arial" w:hAnsi="Arial"/>
          <w:sz w:val="20"/>
          <w:szCs w:val="20"/>
          <w:color w:val="auto"/>
        </w:rPr>
        <w:t xml:space="preserve"> </w:t>
      </w:r>
      <w:r>
        <w:rPr>
          <w:rFonts w:ascii="Arial" w:cs="Arial" w:eastAsia="Arial" w:hAnsi="Arial"/>
          <w:sz w:val="21"/>
          <w:szCs w:val="21"/>
          <w:color w:val="auto"/>
        </w:rPr>
        <w:t>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0"/>
          <w:szCs w:val="20"/>
          <w:color w:val="auto"/>
        </w:rPr>
        <w:t xml:space="preserve">Section 12.13 </w:t>
      </w:r>
      <w:r>
        <w:rPr>
          <w:rFonts w:ascii="Arial" w:cs="Arial" w:eastAsia="Arial" w:hAnsi="Arial"/>
          <w:sz w:val="20"/>
          <w:szCs w:val="20"/>
          <w:u w:val="single" w:color="auto"/>
          <w:color w:val="auto"/>
        </w:rPr>
        <w:t>Lender Approvals</w:t>
      </w:r>
      <w:r>
        <w:rPr>
          <w:rFonts w:ascii="Arial" w:cs="Arial" w:eastAsia="Arial" w:hAnsi="Arial"/>
          <w:sz w:val="21"/>
          <w:szCs w:val="21"/>
          <w:color w:val="auto"/>
        </w:rPr>
        <w:t>. Unless expressly provided herein to the contrary, any approval, consent, waiver</w:t>
      </w:r>
      <w:r>
        <w:rPr>
          <w:rFonts w:ascii="Arial" w:cs="Arial" w:eastAsia="Arial" w:hAnsi="Arial"/>
          <w:sz w:val="20"/>
          <w:szCs w:val="20"/>
          <w:color w:val="auto"/>
        </w:rPr>
        <w:t xml:space="preserve"> </w:t>
      </w:r>
      <w:r>
        <w:rPr>
          <w:rFonts w:ascii="Arial" w:cs="Arial" w:eastAsia="Arial" w:hAnsi="Arial"/>
          <w:sz w:val="21"/>
          <w:szCs w:val="21"/>
          <w:color w:val="auto"/>
        </w:rPr>
        <w:t>or satisfaction of Agent or Lenders with respect to any matter that is the subject of this Agreement, the other Financing Documents may be granted or withheld by Agent and Lenders in their sole and absolute discretion and credit judgment.</w:t>
      </w:r>
    </w:p>
    <w:p>
      <w:pPr>
        <w:spacing w:after="0" w:line="17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color w:val="auto"/>
        </w:rPr>
        <w:t>Section 12.14</w:t>
      </w:r>
      <w:r>
        <w:rPr>
          <w:sz w:val="20"/>
          <w:szCs w:val="20"/>
          <w:color w:val="auto"/>
        </w:rPr>
        <w:tab/>
      </w:r>
      <w:r>
        <w:rPr>
          <w:rFonts w:ascii="Arial" w:cs="Arial" w:eastAsia="Arial" w:hAnsi="Arial"/>
          <w:sz w:val="18"/>
          <w:szCs w:val="18"/>
          <w:u w:val="single" w:color="auto"/>
          <w:color w:val="auto"/>
        </w:rPr>
        <w:t>Expenses; Indemnity</w:t>
      </w:r>
    </w:p>
    <w:p>
      <w:pPr>
        <w:spacing w:after="0" w:line="211" w:lineRule="exact"/>
        <w:rPr>
          <w:sz w:val="20"/>
          <w:szCs w:val="20"/>
          <w:color w:val="auto"/>
        </w:rPr>
      </w:pPr>
    </w:p>
    <w:p>
      <w:pPr>
        <w:jc w:val="both"/>
        <w:ind w:firstLine="1735"/>
        <w:spacing w:after="0" w:line="270" w:lineRule="auto"/>
        <w:tabs>
          <w:tab w:leader="none" w:pos="2595" w:val="left"/>
        </w:tabs>
        <w:numPr>
          <w:ilvl w:val="1"/>
          <w:numId w:val="194"/>
        </w:numPr>
        <w:rPr>
          <w:rFonts w:ascii="Arial" w:cs="Arial" w:eastAsia="Arial" w:hAnsi="Arial"/>
          <w:sz w:val="18"/>
          <w:szCs w:val="18"/>
          <w:color w:val="auto"/>
        </w:rPr>
      </w:pPr>
      <w:r>
        <w:rPr>
          <w:rFonts w:ascii="Arial" w:cs="Arial" w:eastAsia="Arial" w:hAnsi="Arial"/>
          <w:sz w:val="19"/>
          <w:szCs w:val="19"/>
          <w:color w:val="auto"/>
        </w:rPr>
        <w:t>Borrowers hereby agree to promptly pay (i) all reasonable costs and expenses of Agent (including, without limitation, the fees, costs and expenses of counsel to, and independent appraisers and consultants retained by Agent) in connection with the examination, review, due diligence investigation, documentation, negotiation, closing and syndication of the transactions contemplated by the Financing Documents, in connection with the performance by Agent of its rights and remedies under the Financing Documents and in connection with the continued administration of the Financing Documents including</w:t>
      </w:r>
    </w:p>
    <w:p>
      <w:pPr>
        <w:spacing w:after="0" w:line="4" w:lineRule="exact"/>
        <w:rPr>
          <w:rFonts w:ascii="Arial" w:cs="Arial" w:eastAsia="Arial" w:hAnsi="Arial"/>
          <w:sz w:val="18"/>
          <w:szCs w:val="18"/>
          <w:color w:val="auto"/>
        </w:rPr>
      </w:pPr>
    </w:p>
    <w:p>
      <w:pPr>
        <w:jc w:val="both"/>
        <w:ind w:firstLine="8"/>
        <w:spacing w:after="0" w:line="269" w:lineRule="auto"/>
        <w:tabs>
          <w:tab w:leader="none" w:pos="396"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any amendments, modifications, consents and waivers to and/or under any and all Financing Documents, and (B) any periodic public record searches conducted by or at the request of Agent (including, without limitation, title investigations, UCC searches, fixture filing searches, judgment, pending litigation and tax lien searches and searches of applicable corporate, limited liability, partnership and related records concerning the continued existence, organization and good standing of certain Persons); (ii) without limitation of the preceding clause (i), all costs and expenses of Agent in connection with the creation, perfection and maintenance of Liens pursuant to the Financing Documents; (iii) without limitation of the preceding clause (i), all costs and expenses of Agent in connection with (A) protecting, storing, insuring, handling, maintaining or selling any Collateral, (B) any litigation, dispute, suit or proceeding relating to any Financing Document, and (C) any workout, collection, bankruptcy, insolvency and other enforcement proceedings under any and all of the Financing Documents; (iv) without limitation of the preceding clause (i), all reasonable costs and expenses of Agent in connection with Agent’s reservation of funds in anticipation of the funding of the initial Loans to be made hereunder; and (v) all costs and expenses incurred by Lenders in connection with any litigation, dispute, suit or proceeding relating to any Financing Document and in connection with any workout, collection, bankruptcy, insolvency and other enforcement proceedings under any and all Financing Documents, whether or not Agent or Lenders are a party thereto. If Agent or any Lender uses in-house counsel for any of these purposes, Borrowers further agree that the Obligations include reasonable charges for such work commensurate with the fees that would otherwise be charged by outside legal counsel selected by Agent or such Lender for the work performed.</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1735"/>
        <w:spacing w:after="0" w:line="252" w:lineRule="auto"/>
        <w:tabs>
          <w:tab w:leader="none" w:pos="2606" w:val="left"/>
        </w:tabs>
        <w:numPr>
          <w:ilvl w:val="1"/>
          <w:numId w:val="195"/>
        </w:numPr>
        <w:rPr>
          <w:rFonts w:ascii="Arial" w:cs="Arial" w:eastAsia="Arial" w:hAnsi="Arial"/>
          <w:sz w:val="19"/>
          <w:szCs w:val="19"/>
          <w:color w:val="auto"/>
        </w:rPr>
      </w:pPr>
      <w:r>
        <w:rPr>
          <w:rFonts w:ascii="Arial" w:cs="Arial" w:eastAsia="Arial" w:hAnsi="Arial"/>
          <w:sz w:val="21"/>
          <w:szCs w:val="21"/>
          <w:color w:val="auto"/>
        </w:rPr>
        <w:t>Each Borrower hereby agrees to indemnify, pay and hold harmless Agent and Lenders and the officers, directors, employees, trustees, agents, investment advisors and investment managers, collateral managers, servicers, and counsel of Agent and Lenders (collectively called the “</w:t>
      </w:r>
      <w:r>
        <w:rPr>
          <w:rFonts w:ascii="Arial" w:cs="Arial" w:eastAsia="Arial" w:hAnsi="Arial"/>
          <w:sz w:val="21"/>
          <w:szCs w:val="21"/>
          <w:b w:val="1"/>
          <w:bCs w:val="1"/>
          <w:color w:val="auto"/>
        </w:rPr>
        <w:t>Indemnitees</w:t>
      </w:r>
      <w:r>
        <w:rPr>
          <w:rFonts w:ascii="Arial" w:cs="Arial" w:eastAsia="Arial" w:hAnsi="Arial"/>
          <w:sz w:val="21"/>
          <w:szCs w:val="21"/>
          <w:color w:val="auto"/>
        </w:rPr>
        <w:t>”) from and against any and all liabilities, obligations, losses, damages, penalties, actions, judgments, suits, claims, costs, expenses and disbursements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14" w:name="page215"/>
    <w:bookmarkEnd w:id="214"/>
    <w:p>
      <w:pPr>
        <w:jc w:val="both"/>
        <w:spacing w:after="0" w:line="269" w:lineRule="auto"/>
        <w:rPr>
          <w:sz w:val="20"/>
          <w:szCs w:val="20"/>
          <w:color w:val="auto"/>
        </w:rPr>
      </w:pPr>
      <w:r>
        <w:rPr>
          <w:rFonts w:ascii="Arial" w:cs="Arial" w:eastAsia="Arial" w:hAnsi="Arial"/>
          <w:sz w:val="19"/>
          <w:szCs w:val="19"/>
          <w:color w:val="auto"/>
        </w:rPr>
        <w:t>of any kind or nature whatsoever (including the fees and disbursements of counsel for such Indemnitee) in connection with any investigative, response, remedial, administrative or judicial matter or proceeding, whether or not such Indemnitee shall be designated a party thereto and including any such proceeding initiated by or on behalf of a Credit Party, and the reasonable expenses of investigation by engineers, environmental consultants and similar technical personnel and any commission, fee or compensation claimed by any broker (other than any broker retained by Agent or Lenders) asserting any right to payment for the transactions contemplated hereby, which may be imposed on, incurred by or asserted against such Indemnitee as a result of or in connection with the transactions contemplated hereby or by the other Financing Documents (including (i)(A) as a direct or indirect result of the presence on or under, or escape, seepage, leakage, spillage, discharge, emission or release from, any property now or previously owned, leased or operated by Borrower, any Subsidiary or any other Person of any Hazardous Materials,</w:t>
      </w:r>
    </w:p>
    <w:p>
      <w:pPr>
        <w:spacing w:after="0" w:line="1" w:lineRule="exact"/>
        <w:rPr>
          <w:sz w:val="20"/>
          <w:szCs w:val="20"/>
          <w:color w:val="auto"/>
        </w:rPr>
      </w:pPr>
    </w:p>
    <w:p>
      <w:pPr>
        <w:jc w:val="both"/>
        <w:ind w:firstLine="8"/>
        <w:spacing w:after="0" w:line="243" w:lineRule="auto"/>
        <w:tabs>
          <w:tab w:leader="none" w:pos="35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arising out of or relating to the offsite disposal of any materials generated or present on any such property, or (C) arising out of or resulting from the environmental condition of any such property or the applicability of any governmental requirements relating to Hazardous Materials, whether or not occasioned wholly or in part by any condition, accident or event caused by any act or omission of Borrower or any Subsidiary, and (ii) proposed and actual extensions of credit under this Agreement) and the use or intended use of the proceeds of the Loans, except that Borrower shall have no obligation hereunder to an Indemnitee with respect to any liability resulting from the gross negligence or willful misconduct of such Indemnitee, as determined by a final non-appealable judgment of a court of competent jurisdiction. To the extent that the undertaking set forth in the immediately preceding sentence may be unenforceable, Borrower shall contribute the maximum portion which it is permitted to pay and satisfy under applicable Law to the payment and satisfaction of all such indemnified liabilities incurred by the Indemnitees or any of them.</w:t>
      </w:r>
    </w:p>
    <w:p>
      <w:pPr>
        <w:spacing w:after="0" w:line="182" w:lineRule="exact"/>
        <w:rPr>
          <w:rFonts w:ascii="Arial" w:cs="Arial" w:eastAsia="Arial" w:hAnsi="Arial"/>
          <w:sz w:val="21"/>
          <w:szCs w:val="21"/>
          <w:color w:val="auto"/>
        </w:rPr>
      </w:pPr>
    </w:p>
    <w:p>
      <w:pPr>
        <w:jc w:val="both"/>
        <w:ind w:firstLine="1735"/>
        <w:spacing w:after="0" w:line="246" w:lineRule="auto"/>
        <w:tabs>
          <w:tab w:leader="none" w:pos="2595" w:val="left"/>
        </w:tabs>
        <w:numPr>
          <w:ilvl w:val="1"/>
          <w:numId w:val="196"/>
        </w:numPr>
        <w:rPr>
          <w:rFonts w:ascii="Arial" w:cs="Arial" w:eastAsia="Arial" w:hAnsi="Arial"/>
          <w:sz w:val="19"/>
          <w:szCs w:val="19"/>
          <w:color w:val="auto"/>
        </w:rPr>
      </w:pPr>
      <w:r>
        <w:rPr>
          <w:rFonts w:ascii="Arial" w:cs="Arial" w:eastAsia="Arial" w:hAnsi="Arial"/>
          <w:sz w:val="21"/>
          <w:szCs w:val="21"/>
          <w:color w:val="auto"/>
        </w:rPr>
        <w:t>Notwithstanding any contrary provision in this Agreement, the obligations of Borrowers under this Section 12.14 shall survive the payment in full of the Obligations and the termination of this Agreement. NO INDEMNITEE SHALL BE RESPONSIBLE OR LIABLE TO THE BORROWERS OR TO ANY OTHER PARTY TO ANY FINANCING DOCUMENT, ANY SUCCESSOR, ASSIGNEE OR THIRD PARTY BENEFICIARY OR ANY OTHER PERSON ASSERTING CLAIMS DERIVATIVELY THROUGH SUCH PARTY, FOR INDIRECT, PUNITIVE, EXEMPLARY OR CONSEQUENTIAL DAMAGES WHICH MAY BE ALLEGED AS A RESULT OF CREDIT HAVING BEEN EXTENDED, SUSPENDED OR TERMINATED UNDER THIS AGREEMENT OR ANY OTHER FINANCING DOCUMENT OR AS A RESULT OF ANY OTHER TRANSACTION CONTEMPLATED HEREUNDER OR THEREUNDER.</w:t>
      </w:r>
    </w:p>
    <w:p>
      <w:pPr>
        <w:spacing w:after="0" w:line="184"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color w:val="auto"/>
        </w:rPr>
        <w:t>Section 12.15</w:t>
      </w:r>
      <w:r>
        <w:rPr>
          <w:sz w:val="20"/>
          <w:szCs w:val="20"/>
          <w:color w:val="auto"/>
        </w:rPr>
        <w:tab/>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11"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 xml:space="preserve">Section 12.16 </w:t>
      </w:r>
      <w:r>
        <w:rPr>
          <w:rFonts w:ascii="Arial" w:cs="Arial" w:eastAsia="Arial" w:hAnsi="Arial"/>
          <w:sz w:val="20"/>
          <w:szCs w:val="20"/>
          <w:u w:val="single" w:color="auto"/>
          <w:color w:val="auto"/>
        </w:rPr>
        <w:t>Reinstatement</w:t>
      </w:r>
      <w:r>
        <w:rPr>
          <w:rFonts w:ascii="Arial" w:cs="Arial" w:eastAsia="Arial" w:hAnsi="Arial"/>
          <w:sz w:val="21"/>
          <w:szCs w:val="21"/>
          <w:color w:val="auto"/>
        </w:rPr>
        <w:t>. This Agreement shall remain in full force and effect and continue to be effective</w:t>
      </w:r>
      <w:r>
        <w:rPr>
          <w:rFonts w:ascii="Arial" w:cs="Arial" w:eastAsia="Arial" w:hAnsi="Arial"/>
          <w:sz w:val="20"/>
          <w:szCs w:val="20"/>
          <w:color w:val="auto"/>
        </w:rPr>
        <w:t xml:space="preserve"> </w:t>
      </w:r>
      <w:r>
        <w:rPr>
          <w:rFonts w:ascii="Arial" w:cs="Arial" w:eastAsia="Arial" w:hAnsi="Arial"/>
          <w:sz w:val="21"/>
          <w:szCs w:val="21"/>
          <w:color w:val="auto"/>
        </w:rPr>
        <w:t>should any petition or other proceeding be filed by or against any Credit Party for liquidation or reorganization, should any Credit Party become insolvent or make an assignment for the benefit of any creditor or creditors or should an interim receiver, receiver, receiver and manager or trustee be appointed for all or any significant part of any Credit Party’s assets, and shall continue to be effective or to be reinstated, as the case may be, if at any time payment and performance of the Obligations, or any part thereof, is, pursuant to applicable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5" w:name="page216"/>
    <w:bookmarkEnd w:id="215"/>
    <w:p>
      <w:pPr>
        <w:jc w:val="both"/>
        <w:spacing w:after="0" w:line="252" w:lineRule="auto"/>
        <w:rPr>
          <w:sz w:val="20"/>
          <w:szCs w:val="20"/>
          <w:color w:val="auto"/>
        </w:rPr>
      </w:pPr>
      <w:r>
        <w:rPr>
          <w:rFonts w:ascii="Arial" w:cs="Arial" w:eastAsia="Arial" w:hAnsi="Arial"/>
          <w:sz w:val="21"/>
          <w:szCs w:val="21"/>
          <w:color w:val="auto"/>
        </w:rPr>
        <w:t>rescinded or reduced in amount, or must otherwise be restored or returned by any obligee of the Obligations, whether as a fraudulent preference reviewable transaction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174"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0"/>
          <w:szCs w:val="20"/>
          <w:color w:val="auto"/>
        </w:rPr>
        <w:t xml:space="preserve">Section 12.17 </w:t>
      </w:r>
      <w:r>
        <w:rPr>
          <w:rFonts w:ascii="Arial" w:cs="Arial" w:eastAsia="Arial" w:hAnsi="Arial"/>
          <w:sz w:val="20"/>
          <w:szCs w:val="20"/>
          <w:u w:val="single" w:color="auto"/>
          <w:color w:val="auto"/>
        </w:rPr>
        <w:t>Successors and Assigns</w:t>
      </w:r>
      <w:r>
        <w:rPr>
          <w:rFonts w:ascii="Arial" w:cs="Arial" w:eastAsia="Arial" w:hAnsi="Arial"/>
          <w:sz w:val="21"/>
          <w:szCs w:val="21"/>
          <w:color w:val="auto"/>
        </w:rPr>
        <w:t>. This Agreement shall be binding upon and inure to the benefit of Borrowers</w:t>
      </w:r>
      <w:r>
        <w:rPr>
          <w:rFonts w:ascii="Arial" w:cs="Arial" w:eastAsia="Arial" w:hAnsi="Arial"/>
          <w:sz w:val="20"/>
          <w:szCs w:val="20"/>
          <w:color w:val="auto"/>
        </w:rPr>
        <w:t xml:space="preserve"> </w:t>
      </w:r>
      <w:r>
        <w:rPr>
          <w:rFonts w:ascii="Arial" w:cs="Arial" w:eastAsia="Arial" w:hAnsi="Arial"/>
          <w:sz w:val="21"/>
          <w:szCs w:val="21"/>
          <w:color w:val="auto"/>
        </w:rPr>
        <w:t>and Agent and each Lender and their respective successors and permitted assigns.</w:t>
      </w:r>
    </w:p>
    <w:p>
      <w:pPr>
        <w:spacing w:after="0" w:line="151"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0"/>
          <w:szCs w:val="20"/>
          <w:color w:val="auto"/>
        </w:rPr>
        <w:t xml:space="preserve">Section 12.18 </w:t>
      </w:r>
      <w:r>
        <w:rPr>
          <w:rFonts w:ascii="Arial" w:cs="Arial" w:eastAsia="Arial" w:hAnsi="Arial"/>
          <w:sz w:val="20"/>
          <w:szCs w:val="20"/>
          <w:u w:val="single" w:color="auto"/>
          <w:color w:val="auto"/>
        </w:rPr>
        <w:t>USA PATRIOT Act Notification</w:t>
      </w:r>
      <w:r>
        <w:rPr>
          <w:rFonts w:ascii="Arial" w:cs="Arial" w:eastAsia="Arial" w:hAnsi="Arial"/>
          <w:sz w:val="21"/>
          <w:szCs w:val="21"/>
          <w:color w:val="auto"/>
        </w:rPr>
        <w:t>. Agent (for itself and not on behalf of any Lender) and each Lender</w:t>
      </w:r>
      <w:r>
        <w:rPr>
          <w:rFonts w:ascii="Arial" w:cs="Arial" w:eastAsia="Arial" w:hAnsi="Arial"/>
          <w:sz w:val="20"/>
          <w:szCs w:val="20"/>
          <w:color w:val="auto"/>
        </w:rPr>
        <w:t xml:space="preserve"> </w:t>
      </w:r>
      <w:r>
        <w:rPr>
          <w:rFonts w:ascii="Arial" w:cs="Arial" w:eastAsia="Arial" w:hAnsi="Arial"/>
          <w:sz w:val="21"/>
          <w:szCs w:val="21"/>
          <w:color w:val="auto"/>
        </w:rPr>
        <w:t>hereby notifies Borrowers that pursuant to the requirements of the USA PATRIOT Act, it is required to obtain, verify and record certain information and documentation that identifies Borrowers, which information includes the name and address of Borrower and such other information that will allow Agent or such Lender, as applicable, to identify Borrowers in accordance with the USA PATRIOT Act.</w:t>
      </w:r>
    </w:p>
    <w:p>
      <w:pPr>
        <w:spacing w:after="0" w:line="178"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0"/>
          <w:szCs w:val="20"/>
          <w:color w:val="auto"/>
        </w:rPr>
        <w:t xml:space="preserve">Section 12.19 </w:t>
      </w:r>
      <w:r>
        <w:rPr>
          <w:rFonts w:ascii="Arial" w:cs="Arial" w:eastAsia="Arial" w:hAnsi="Arial"/>
          <w:sz w:val="20"/>
          <w:szCs w:val="20"/>
          <w:u w:val="single" w:color="auto"/>
          <w:color w:val="auto"/>
        </w:rPr>
        <w:t>Acknowledgement and Consent to Bail-In of EEA Financial Institutions</w:t>
      </w:r>
      <w:r>
        <w:rPr>
          <w:rFonts w:ascii="Arial" w:cs="Arial" w:eastAsia="Arial" w:hAnsi="Arial"/>
          <w:sz w:val="21"/>
          <w:szCs w:val="21"/>
          <w:color w:val="auto"/>
        </w:rPr>
        <w:t>. Notwithstanding anything to</w:t>
      </w:r>
      <w:r>
        <w:rPr>
          <w:rFonts w:ascii="Arial" w:cs="Arial" w:eastAsia="Arial" w:hAnsi="Arial"/>
          <w:sz w:val="20"/>
          <w:szCs w:val="20"/>
          <w:color w:val="auto"/>
        </w:rPr>
        <w:t xml:space="preserve"> </w:t>
      </w:r>
      <w:r>
        <w:rPr>
          <w:rFonts w:ascii="Arial" w:cs="Arial" w:eastAsia="Arial" w:hAnsi="Arial"/>
          <w:sz w:val="21"/>
          <w:szCs w:val="21"/>
          <w:color w:val="auto"/>
        </w:rPr>
        <w:t>the contrary in any Financing Document or in any other agreement, arrangement or understanding among any such parties, each party hereto acknowledges that any liability of any EEA Financial Institution arising under any Financing Document, to the extent such liability is unsecured, may be subject to the write-down and conversion powers of an EEA Resolution Authority and agrees and consents to, and acknowledges and agrees to be bound by:</w:t>
      </w:r>
    </w:p>
    <w:p>
      <w:pPr>
        <w:spacing w:after="0" w:line="183" w:lineRule="exact"/>
        <w:rPr>
          <w:sz w:val="20"/>
          <w:szCs w:val="20"/>
          <w:color w:val="auto"/>
        </w:rPr>
      </w:pPr>
    </w:p>
    <w:p>
      <w:pPr>
        <w:ind w:firstLine="1735"/>
        <w:spacing w:after="0" w:line="260" w:lineRule="auto"/>
        <w:tabs>
          <w:tab w:leader="none" w:pos="2595"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3320" w:hanging="831"/>
        <w:spacing w:after="0"/>
        <w:tabs>
          <w:tab w:leader="none" w:pos="3320" w:val="left"/>
        </w:tabs>
        <w:numPr>
          <w:ilvl w:val="1"/>
          <w:numId w:val="197"/>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880" w:firstLine="1609"/>
        <w:spacing w:after="0" w:line="246" w:lineRule="auto"/>
        <w:tabs>
          <w:tab w:leader="none" w:pos="3387" w:val="left"/>
        </w:tabs>
        <w:numPr>
          <w:ilvl w:val="1"/>
          <w:numId w:val="197"/>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Financing Document; or</w:t>
      </w:r>
    </w:p>
    <w:p>
      <w:pPr>
        <w:spacing w:after="0" w:line="191" w:lineRule="exact"/>
        <w:rPr>
          <w:rFonts w:ascii="Arial" w:cs="Arial" w:eastAsia="Arial" w:hAnsi="Arial"/>
          <w:sz w:val="20"/>
          <w:szCs w:val="20"/>
          <w:color w:val="auto"/>
        </w:rPr>
      </w:pPr>
    </w:p>
    <w:p>
      <w:pPr>
        <w:ind w:left="880" w:firstLine="1609"/>
        <w:spacing w:after="0" w:line="260" w:lineRule="auto"/>
        <w:tabs>
          <w:tab w:leader="none" w:pos="3442" w:val="left"/>
        </w:tabs>
        <w:numPr>
          <w:ilvl w:val="1"/>
          <w:numId w:val="197"/>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6" w:name="page217"/>
    <w:bookmarkEnd w:id="216"/>
    <w:p>
      <w:pPr>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intending to be legally bound, each of the parties have caused this Agreement to be executed under seal the day</w:t>
      </w:r>
      <w:r>
        <w:rPr>
          <w:rFonts w:ascii="Arial" w:cs="Arial" w:eastAsia="Arial" w:hAnsi="Arial"/>
          <w:sz w:val="20"/>
          <w:szCs w:val="20"/>
          <w:b w:val="1"/>
          <w:bCs w:val="1"/>
          <w:color w:val="auto"/>
        </w:rPr>
        <w:t xml:space="preserve"> </w:t>
      </w:r>
      <w:r>
        <w:rPr>
          <w:rFonts w:ascii="Arial" w:cs="Arial" w:eastAsia="Arial" w:hAnsi="Arial"/>
          <w:sz w:val="20"/>
          <w:szCs w:val="20"/>
          <w:color w:val="auto"/>
        </w:rPr>
        <w:t>and year first above mentioned.</w:t>
      </w:r>
    </w:p>
    <w:p>
      <w:pPr>
        <w:spacing w:after="0" w:line="177" w:lineRule="exact"/>
        <w:rPr>
          <w:sz w:val="20"/>
          <w:szCs w:val="20"/>
          <w:color w:val="auto"/>
        </w:rPr>
      </w:pPr>
    </w:p>
    <w:p>
      <w:pPr>
        <w:spacing w:after="0"/>
        <w:tabs>
          <w:tab w:leader="none" w:pos="5340" w:val="left"/>
        </w:tabs>
        <w:rPr>
          <w:sz w:val="20"/>
          <w:szCs w:val="20"/>
          <w:color w:val="auto"/>
        </w:rPr>
      </w:pPr>
      <w:r>
        <w:rPr>
          <w:rFonts w:ascii="Arial" w:cs="Arial" w:eastAsia="Arial" w:hAnsi="Arial"/>
          <w:sz w:val="20"/>
          <w:szCs w:val="20"/>
          <w:b w:val="1"/>
          <w:bCs w:val="1"/>
          <w:color w:val="auto"/>
        </w:rPr>
        <w:t>BORROWER REPRESENTATIVE:</w:t>
      </w:r>
      <w:r>
        <w:rPr>
          <w:sz w:val="20"/>
          <w:szCs w:val="20"/>
          <w:color w:val="auto"/>
        </w:rPr>
        <w:tab/>
      </w:r>
      <w:r>
        <w:rPr>
          <w:rFonts w:ascii="Arial" w:cs="Arial" w:eastAsia="Arial" w:hAnsi="Arial"/>
          <w:sz w:val="20"/>
          <w:szCs w:val="20"/>
          <w:b w:val="1"/>
          <w:bCs w:val="1"/>
          <w:color w:val="auto"/>
        </w:rPr>
        <w:t>APTEVO THERAPEUTICS INC.</w:t>
      </w:r>
    </w:p>
    <w:p>
      <w:pPr>
        <w:spacing w:after="0" w:line="200" w:lineRule="exact"/>
        <w:rPr>
          <w:sz w:val="20"/>
          <w:szCs w:val="20"/>
          <w:color w:val="auto"/>
        </w:rPr>
      </w:pPr>
    </w:p>
    <w:p>
      <w:pPr>
        <w:spacing w:after="0" w:line="26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10160</wp:posOffset>
            </wp:positionV>
            <wp:extent cx="31972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610235</wp:posOffset>
            </wp:positionV>
            <wp:extent cx="37287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455930</wp:posOffset>
            </wp:positionV>
            <wp:extent cx="37287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301625</wp:posOffset>
            </wp:positionV>
            <wp:extent cx="37287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10160</wp:posOffset>
            </wp:positionV>
            <wp:extent cx="31972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-143510</wp:posOffset>
            </wp:positionV>
            <wp:extent cx="37287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0"/>
          <w:szCs w:val="20"/>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31972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17" w:name="page218"/>
    <w:bookmarkEnd w:id="217"/>
    <w:p>
      <w:pPr>
        <w:spacing w:after="0"/>
        <w:tabs>
          <w:tab w:leader="none" w:pos="5220" w:val="left"/>
        </w:tabs>
        <w:rPr>
          <w:sz w:val="20"/>
          <w:szCs w:val="20"/>
          <w:color w:val="auto"/>
        </w:rPr>
      </w:pPr>
      <w:r>
        <w:rPr>
          <w:rFonts w:ascii="Arial" w:cs="Arial" w:eastAsia="Arial" w:hAnsi="Arial"/>
          <w:sz w:val="20"/>
          <w:szCs w:val="20"/>
          <w:b w:val="1"/>
          <w:bCs w:val="1"/>
          <w:color w:val="auto"/>
        </w:rPr>
        <w:t>BORROWERS</w:t>
      </w:r>
      <w:r>
        <w:rPr>
          <w:sz w:val="20"/>
          <w:szCs w:val="20"/>
          <w:color w:val="auto"/>
        </w:rPr>
        <w:tab/>
      </w:r>
      <w:r>
        <w:rPr>
          <w:rFonts w:ascii="Arial" w:cs="Arial" w:eastAsia="Arial" w:hAnsi="Arial"/>
          <w:sz w:val="20"/>
          <w:szCs w:val="20"/>
          <w:b w:val="1"/>
          <w:bCs w:val="1"/>
          <w:color w:val="auto"/>
        </w:rPr>
        <w:t>APTEVO THERAPEUTICS INC.</w:t>
      </w: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10160</wp:posOffset>
            </wp:positionV>
            <wp:extent cx="31032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5715</wp:posOffset>
            </wp:positionV>
            <wp:extent cx="31032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5715</wp:posOffset>
            </wp:positionV>
            <wp:extent cx="31032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ind w:right="399"/>
        <w:spacing w:after="0"/>
        <w:rPr>
          <w:sz w:val="20"/>
          <w:szCs w:val="20"/>
          <w:color w:val="auto"/>
        </w:rPr>
      </w:pPr>
      <w:r>
        <w:rPr>
          <w:rFonts w:ascii="Arial" w:cs="Arial" w:eastAsia="Arial" w:hAnsi="Arial"/>
          <w:sz w:val="20"/>
          <w:szCs w:val="20"/>
          <w:b w:val="1"/>
          <w:bCs w:val="1"/>
          <w:color w:val="auto"/>
        </w:rPr>
        <w:t>APTEVO RESEARCH AND DEVELOPMENT LLC</w:t>
      </w: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10160</wp:posOffset>
            </wp:positionV>
            <wp:extent cx="31032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5715</wp:posOffset>
            </wp:positionV>
            <wp:extent cx="31032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jc w:val="right"/>
        <w:ind w:right="447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5715</wp:posOffset>
            </wp:positionV>
            <wp:extent cx="31032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778" w:right="1440" w:bottom="1440" w:gutter="0" w:footer="0" w:header="0"/>
        </w:sectPr>
      </w:pPr>
    </w:p>
    <w:bookmarkStart w:id="218" w:name="page219"/>
    <w:bookmarkEnd w:id="218"/>
    <w:p>
      <w:pPr>
        <w:spacing w:after="0"/>
        <w:rPr>
          <w:sz w:val="20"/>
          <w:szCs w:val="20"/>
          <w:color w:val="auto"/>
        </w:rPr>
      </w:pPr>
      <w:r>
        <w:rPr>
          <w:rFonts w:ascii="Arial" w:cs="Arial" w:eastAsia="Arial" w:hAnsi="Arial"/>
          <w:sz w:val="20"/>
          <w:szCs w:val="20"/>
          <w:b w:val="1"/>
          <w:bCs w:val="1"/>
          <w:color w:val="auto"/>
        </w:rPr>
        <w:t>AGENT:</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MIDCAP FINANCIAL TRUST</w:t>
      </w:r>
    </w:p>
    <w:p>
      <w:pPr>
        <w:spacing w:after="0" w:line="213" w:lineRule="exact"/>
        <w:rPr>
          <w:sz w:val="20"/>
          <w:szCs w:val="20"/>
          <w:color w:val="auto"/>
        </w:rPr>
      </w:pPr>
    </w:p>
    <w:p>
      <w:pPr>
        <w:ind w:left="5940"/>
        <w:spacing w:after="0"/>
        <w:tabs>
          <w:tab w:leader="none" w:pos="6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Apollo Capital Management, L.P.,</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its investment manager</w:t>
      </w:r>
    </w:p>
    <w:p>
      <w:pPr>
        <w:spacing w:after="0" w:line="227" w:lineRule="exact"/>
        <w:rPr>
          <w:sz w:val="20"/>
          <w:szCs w:val="20"/>
          <w:color w:val="auto"/>
        </w:rPr>
      </w:pPr>
    </w:p>
    <w:p>
      <w:pPr>
        <w:ind w:left="5940"/>
        <w:spacing w:after="0"/>
        <w:tabs>
          <w:tab w:leader="none" w:pos="6420" w:val="left"/>
        </w:tabs>
        <w:rPr>
          <w:sz w:val="20"/>
          <w:szCs w:val="20"/>
          <w:color w:val="auto"/>
        </w:rPr>
      </w:pPr>
      <w:r>
        <w:rPr>
          <w:rFonts w:ascii="Arial" w:cs="Arial" w:eastAsia="Arial" w:hAnsi="Arial"/>
          <w:sz w:val="20"/>
          <w:szCs w:val="20"/>
          <w:color w:val="auto"/>
        </w:rPr>
        <w:t>By:</w:t>
        <w:tab/>
        <w:t>Apollo Capital Management GP, LLC,</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43"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By: __________________________</w:t>
      </w:r>
    </w:p>
    <w:p>
      <w:pPr>
        <w:spacing w:after="0" w:line="15"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Name: Maurice Amsellem</w:t>
      </w:r>
    </w:p>
    <w:p>
      <w:pPr>
        <w:ind w:left="64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594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c/o MidCap Financial Services, LLC, as servicer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7255 Woodmont Avenue, Suite 200</w:t>
      </w:r>
    </w:p>
    <w:p>
      <w:pPr>
        <w:ind w:left="5940"/>
        <w:spacing w:after="0"/>
        <w:rPr>
          <w:sz w:val="20"/>
          <w:szCs w:val="20"/>
          <w:color w:val="auto"/>
        </w:rPr>
      </w:pPr>
      <w:r>
        <w:rPr>
          <w:rFonts w:ascii="Arial" w:cs="Arial" w:eastAsia="Arial" w:hAnsi="Arial"/>
          <w:sz w:val="20"/>
          <w:szCs w:val="20"/>
          <w:color w:val="auto"/>
        </w:rPr>
        <w:t>Bethesda, Maryland 20814</w:t>
      </w:r>
    </w:p>
    <w:p>
      <w:pPr>
        <w:ind w:left="5940"/>
        <w:spacing w:after="0"/>
        <w:rPr>
          <w:sz w:val="20"/>
          <w:szCs w:val="20"/>
          <w:color w:val="auto"/>
        </w:rPr>
      </w:pPr>
      <w:r>
        <w:rPr>
          <w:rFonts w:ascii="Arial" w:cs="Arial" w:eastAsia="Arial" w:hAnsi="Arial"/>
          <w:sz w:val="20"/>
          <w:szCs w:val="20"/>
          <w:color w:val="auto"/>
        </w:rPr>
        <w:t>Attn: Account Manager for Aptevo transaction</w:t>
      </w:r>
    </w:p>
    <w:p>
      <w:pPr>
        <w:ind w:left="5940"/>
        <w:spacing w:after="0"/>
        <w:rPr>
          <w:sz w:val="20"/>
          <w:szCs w:val="20"/>
          <w:color w:val="auto"/>
        </w:rPr>
      </w:pPr>
      <w:r>
        <w:rPr>
          <w:rFonts w:ascii="Arial" w:cs="Arial" w:eastAsia="Arial" w:hAnsi="Arial"/>
          <w:sz w:val="20"/>
          <w:szCs w:val="20"/>
          <w:color w:val="auto"/>
        </w:rPr>
        <w:t>Facsimile: 301-941-1450</w:t>
      </w:r>
    </w:p>
    <w:p>
      <w:pPr>
        <w:ind w:left="59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notices@midcapfinancial.com</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c/o MidCap Financial Services, LLC, as servicer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7255 Woodmont Avenue, Suite 200</w:t>
      </w:r>
    </w:p>
    <w:p>
      <w:pPr>
        <w:ind w:left="5940"/>
        <w:spacing w:after="0"/>
        <w:rPr>
          <w:sz w:val="20"/>
          <w:szCs w:val="20"/>
          <w:color w:val="auto"/>
        </w:rPr>
      </w:pPr>
      <w:r>
        <w:rPr>
          <w:rFonts w:ascii="Arial" w:cs="Arial" w:eastAsia="Arial" w:hAnsi="Arial"/>
          <w:sz w:val="20"/>
          <w:szCs w:val="20"/>
          <w:color w:val="auto"/>
        </w:rPr>
        <w:t>Bethesda, Maryland 20814</w:t>
      </w:r>
    </w:p>
    <w:p>
      <w:pPr>
        <w:ind w:left="5940"/>
        <w:spacing w:after="0"/>
        <w:rPr>
          <w:sz w:val="20"/>
          <w:szCs w:val="20"/>
          <w:color w:val="auto"/>
        </w:rPr>
      </w:pPr>
      <w:r>
        <w:rPr>
          <w:rFonts w:ascii="Arial" w:cs="Arial" w:eastAsia="Arial" w:hAnsi="Arial"/>
          <w:sz w:val="20"/>
          <w:szCs w:val="20"/>
          <w:color w:val="auto"/>
        </w:rPr>
        <w:t>Attn: General Counsel</w:t>
      </w:r>
    </w:p>
    <w:p>
      <w:pPr>
        <w:ind w:left="5940"/>
        <w:spacing w:after="0"/>
        <w:rPr>
          <w:sz w:val="20"/>
          <w:szCs w:val="20"/>
          <w:color w:val="auto"/>
        </w:rPr>
      </w:pPr>
      <w:r>
        <w:rPr>
          <w:rFonts w:ascii="Arial" w:cs="Arial" w:eastAsia="Arial" w:hAnsi="Arial"/>
          <w:sz w:val="20"/>
          <w:szCs w:val="20"/>
          <w:color w:val="auto"/>
        </w:rPr>
        <w:t>Facsimile: 301-941-1450</w:t>
      </w:r>
    </w:p>
    <w:p>
      <w:pPr>
        <w:ind w:left="59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legalnotices@midcapfinancial.com</w:t>
      </w:r>
    </w:p>
    <w:p>
      <w:pPr>
        <w:spacing w:after="0" w:line="200" w:lineRule="exact"/>
        <w:rPr>
          <w:sz w:val="20"/>
          <w:szCs w:val="20"/>
          <w:color w:val="auto"/>
        </w:rPr>
      </w:pPr>
    </w:p>
    <w:p>
      <w:pPr>
        <w:spacing w:after="0" w:line="243" w:lineRule="exact"/>
        <w:rPr>
          <w:sz w:val="20"/>
          <w:szCs w:val="20"/>
          <w:color w:val="auto"/>
        </w:rPr>
      </w:pPr>
    </w:p>
    <w:p>
      <w:pPr>
        <w:ind w:left="5940"/>
        <w:spacing w:after="0"/>
        <w:rPr>
          <w:sz w:val="20"/>
          <w:szCs w:val="20"/>
          <w:color w:val="auto"/>
        </w:rPr>
      </w:pPr>
      <w:r>
        <w:rPr>
          <w:rFonts w:ascii="Arial" w:cs="Arial" w:eastAsia="Arial" w:hAnsi="Arial"/>
          <w:sz w:val="20"/>
          <w:szCs w:val="20"/>
          <w:u w:val="single" w:color="auto"/>
          <w:color w:val="auto"/>
        </w:rPr>
        <w:t>Payment Account Designation:</w:t>
      </w:r>
    </w:p>
    <w:p>
      <w:pPr>
        <w:spacing w:after="0" w:line="324"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SunTrust Bank, N.A.</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ABA #: 061000104</w:t>
      </w:r>
    </w:p>
    <w:p>
      <w:pPr>
        <w:ind w:left="5940"/>
        <w:spacing w:after="0"/>
        <w:rPr>
          <w:sz w:val="20"/>
          <w:szCs w:val="20"/>
          <w:color w:val="auto"/>
        </w:rPr>
      </w:pPr>
      <w:r>
        <w:rPr>
          <w:rFonts w:ascii="Arial" w:cs="Arial" w:eastAsia="Arial" w:hAnsi="Arial"/>
          <w:sz w:val="18"/>
          <w:szCs w:val="18"/>
          <w:color w:val="auto"/>
        </w:rPr>
        <w:t>Account Name: MidCap Financial Trust – Collections</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Account #: 1000113400435</w:t>
      </w:r>
    </w:p>
    <w:p>
      <w:pPr>
        <w:ind w:left="5940"/>
        <w:spacing w:after="0"/>
        <w:rPr>
          <w:sz w:val="20"/>
          <w:szCs w:val="20"/>
          <w:color w:val="auto"/>
        </w:rPr>
      </w:pPr>
      <w:r>
        <w:rPr>
          <w:rFonts w:ascii="Arial" w:cs="Arial" w:eastAsia="Arial" w:hAnsi="Arial"/>
          <w:sz w:val="20"/>
          <w:szCs w:val="20"/>
          <w:color w:val="auto"/>
        </w:rPr>
        <w:t>Attention: Aptevo Therapeutics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80"/>
          </w:cols>
          <w:pgMar w:left="320" w:top="778" w:right="1299" w:bottom="1440" w:gutter="0" w:footer="0" w:header="0"/>
        </w:sectPr>
      </w:pPr>
    </w:p>
    <w:bookmarkStart w:id="219" w:name="page220"/>
    <w:bookmarkEnd w:id="219"/>
    <w:p>
      <w:pPr>
        <w:spacing w:after="0"/>
        <w:tabs>
          <w:tab w:leader="none" w:pos="592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FINANCIAL TRUST</w:t>
      </w:r>
    </w:p>
    <w:p>
      <w:pPr>
        <w:spacing w:after="0" w:line="235" w:lineRule="exact"/>
        <w:rPr>
          <w:sz w:val="20"/>
          <w:szCs w:val="20"/>
          <w:color w:val="auto"/>
        </w:rPr>
      </w:pPr>
    </w:p>
    <w:p>
      <w:pPr>
        <w:ind w:left="5940"/>
        <w:spacing w:after="0"/>
        <w:tabs>
          <w:tab w:leader="none" w:pos="6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Apollo Capital Management, L.P.,</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By: Apollo Capital Management GP, LLC,</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43"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By: __________________________</w:t>
      </w:r>
    </w:p>
    <w:p>
      <w:pPr>
        <w:spacing w:after="0" w:line="15"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Name: Maurice Amsellem</w:t>
      </w:r>
    </w:p>
    <w:p>
      <w:pPr>
        <w:ind w:left="64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594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 MidCap Financial Services, LLC, as servicer</w:t>
      </w:r>
    </w:p>
    <w:p>
      <w:pPr>
        <w:spacing w:after="0" w:line="38"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7255 Woodmont Avenue, Suite 200</w:t>
      </w:r>
    </w:p>
    <w:p>
      <w:pPr>
        <w:ind w:left="5940"/>
        <w:spacing w:after="0"/>
        <w:rPr>
          <w:sz w:val="20"/>
          <w:szCs w:val="20"/>
          <w:color w:val="auto"/>
        </w:rPr>
      </w:pPr>
      <w:r>
        <w:rPr>
          <w:rFonts w:ascii="Arial" w:cs="Arial" w:eastAsia="Arial" w:hAnsi="Arial"/>
          <w:sz w:val="20"/>
          <w:szCs w:val="20"/>
          <w:color w:val="auto"/>
        </w:rPr>
        <w:t>Bethesda, Maryland 20814</w:t>
      </w:r>
    </w:p>
    <w:p>
      <w:pPr>
        <w:ind w:left="5940"/>
        <w:spacing w:after="0"/>
        <w:rPr>
          <w:sz w:val="20"/>
          <w:szCs w:val="20"/>
          <w:color w:val="auto"/>
        </w:rPr>
      </w:pPr>
      <w:r>
        <w:rPr>
          <w:rFonts w:ascii="Arial" w:cs="Arial" w:eastAsia="Arial" w:hAnsi="Arial"/>
          <w:sz w:val="19"/>
          <w:szCs w:val="19"/>
          <w:color w:val="auto"/>
        </w:rPr>
        <w:t>Attn: Account Manager for Aptevo transaction</w:t>
      </w:r>
    </w:p>
    <w:p>
      <w:pPr>
        <w:spacing w:after="0" w:line="11"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Facsimile: 301-941-1450</w:t>
      </w:r>
    </w:p>
    <w:p>
      <w:pPr>
        <w:ind w:left="59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notices@midcapfinancial.com</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 MidCap Financial Services, LLC, as servicer</w:t>
      </w:r>
    </w:p>
    <w:p>
      <w:pPr>
        <w:spacing w:after="0" w:line="38"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7255 Woodmont Avenue, Suite 200</w:t>
      </w:r>
    </w:p>
    <w:p>
      <w:pPr>
        <w:ind w:left="5940"/>
        <w:spacing w:after="0"/>
        <w:rPr>
          <w:sz w:val="20"/>
          <w:szCs w:val="20"/>
          <w:color w:val="auto"/>
        </w:rPr>
      </w:pPr>
      <w:r>
        <w:rPr>
          <w:rFonts w:ascii="Arial" w:cs="Arial" w:eastAsia="Arial" w:hAnsi="Arial"/>
          <w:sz w:val="20"/>
          <w:szCs w:val="20"/>
          <w:color w:val="auto"/>
        </w:rPr>
        <w:t>Bethesda, Maryland 20814</w:t>
      </w:r>
    </w:p>
    <w:p>
      <w:pPr>
        <w:ind w:left="5940"/>
        <w:spacing w:after="0"/>
        <w:rPr>
          <w:sz w:val="20"/>
          <w:szCs w:val="20"/>
          <w:color w:val="auto"/>
        </w:rPr>
      </w:pPr>
      <w:r>
        <w:rPr>
          <w:rFonts w:ascii="Arial" w:cs="Arial" w:eastAsia="Arial" w:hAnsi="Arial"/>
          <w:sz w:val="20"/>
          <w:szCs w:val="20"/>
          <w:color w:val="auto"/>
        </w:rPr>
        <w:t>Attn: General Counsel</w:t>
      </w:r>
    </w:p>
    <w:p>
      <w:pPr>
        <w:ind w:left="5940"/>
        <w:spacing w:after="0"/>
        <w:rPr>
          <w:sz w:val="20"/>
          <w:szCs w:val="20"/>
          <w:color w:val="auto"/>
        </w:rPr>
      </w:pPr>
      <w:r>
        <w:rPr>
          <w:rFonts w:ascii="Arial" w:cs="Arial" w:eastAsia="Arial" w:hAnsi="Arial"/>
          <w:sz w:val="20"/>
          <w:szCs w:val="20"/>
          <w:color w:val="auto"/>
        </w:rPr>
        <w:t>Facsimile: 301-941-1450</w:t>
      </w:r>
    </w:p>
    <w:p>
      <w:pPr>
        <w:ind w:left="59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legalnotices@midcapfinancial.com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220" w:name="page221"/>
    <w:bookmarkEnd w:id="220"/>
    <w:p>
      <w:pPr>
        <w:spacing w:after="0"/>
        <w:tabs>
          <w:tab w:leader="none" w:pos="534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FUNDING XIII TRUST</w:t>
      </w:r>
    </w:p>
    <w:p>
      <w:pPr>
        <w:spacing w:after="0" w:line="235" w:lineRule="exact"/>
        <w:rPr>
          <w:sz w:val="20"/>
          <w:szCs w:val="20"/>
          <w:color w:val="auto"/>
        </w:rPr>
      </w:pPr>
    </w:p>
    <w:p>
      <w:pPr>
        <w:ind w:left="5360"/>
        <w:spacing w:after="0"/>
        <w:tabs>
          <w:tab w:leader="none" w:pos="5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Apollo Capital Management, L.P.,</w:t>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5360"/>
        <w:spacing w:after="0"/>
        <w:tabs>
          <w:tab w:leader="none" w:pos="5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Apollo Capital Management GP, LLC,</w:t>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4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By: ________________________________</w:t>
      </w:r>
    </w:p>
    <w:p>
      <w:pPr>
        <w:spacing w:after="0" w:line="61"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Name: Maurice Amsellem</w:t>
      </w:r>
    </w:p>
    <w:p>
      <w:pPr>
        <w:ind w:left="58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221" w:name="page222"/>
    <w:bookmarkEnd w:id="221"/>
    <w:p>
      <w:pPr>
        <w:spacing w:after="0"/>
        <w:rPr>
          <w:sz w:val="20"/>
          <w:szCs w:val="20"/>
          <w:color w:val="auto"/>
        </w:rPr>
      </w:pPr>
      <w:r>
        <w:rPr>
          <w:rFonts w:ascii="Arial" w:cs="Arial" w:eastAsia="Arial" w:hAnsi="Arial"/>
          <w:sz w:val="20"/>
          <w:szCs w:val="20"/>
          <w:b w:val="1"/>
          <w:bCs w:val="1"/>
          <w:color w:val="auto"/>
        </w:rPr>
        <w:t>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FLEXPOINT MCLS HOLDINGS LLC</w:t>
      </w:r>
    </w:p>
    <w:p>
      <w:pPr>
        <w:spacing w:after="0" w:line="200" w:lineRule="exact"/>
        <w:rPr>
          <w:sz w:val="20"/>
          <w:szCs w:val="20"/>
          <w:color w:val="auto"/>
        </w:rPr>
      </w:pPr>
    </w:p>
    <w:p>
      <w:pPr>
        <w:sectPr>
          <w:pgSz w:w="11900" w:h="16838" w:orient="portrait"/>
          <w:cols w:equalWidth="0" w:num="2">
            <w:col w:w="4640" w:space="720"/>
            <w:col w:w="4779"/>
          </w:cols>
          <w:pgMar w:left="320" w:top="549" w:right="1440" w:bottom="1440" w:gutter="0" w:footer="0" w:header="0"/>
        </w:sectPr>
      </w:pP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By: ________________________________</w:t>
      </w:r>
    </w:p>
    <w:p>
      <w:pPr>
        <w:spacing w:after="0" w:line="61"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Name:</w:t>
      </w:r>
    </w:p>
    <w:p>
      <w:pPr>
        <w:ind w:left="58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139"/>
          </w:cols>
          <w:pgMar w:left="320" w:top="5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748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type w:val="continuous"/>
        </w:sectPr>
      </w:pPr>
    </w:p>
    <w:bookmarkStart w:id="222" w:name="page223"/>
    <w:bookmarkEnd w:id="222"/>
    <w:tbl>
      <w:tblPr>
        <w:tblLayout w:type="fixed"/>
        <w:tblInd w:w="0" w:type="dxa"/>
        <w:tblCellMar>
          <w:top w:w="0" w:type="dxa"/>
          <w:left w:w="0" w:type="dxa"/>
          <w:bottom w:w="0" w:type="dxa"/>
          <w:right w:w="0" w:type="dxa"/>
        </w:tblCellMar>
      </w:tblPr>
      <w:tr>
        <w:trPr>
          <w:trHeight w:val="256"/>
        </w:trPr>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40" w:type="dxa"/>
            <w:vAlign w:val="bottom"/>
          </w:tcPr>
          <w:p>
            <w:pPr>
              <w:ind w:left="2440"/>
              <w:spacing w:after="0"/>
              <w:rPr>
                <w:sz w:val="20"/>
                <w:szCs w:val="20"/>
                <w:color w:val="auto"/>
              </w:rPr>
            </w:pPr>
            <w:r>
              <w:rPr>
                <w:rFonts w:ascii="Arial" w:cs="Arial" w:eastAsia="Arial" w:hAnsi="Arial"/>
                <w:sz w:val="20"/>
                <w:szCs w:val="20"/>
                <w:b w:val="1"/>
                <w:bCs w:val="1"/>
                <w:color w:val="auto"/>
              </w:rPr>
              <w:t>ANNEXES, EXHIBITS AND SCHEDULES</w:t>
            </w:r>
          </w:p>
        </w:tc>
      </w:tr>
      <w:tr>
        <w:trPr>
          <w:trHeight w:val="401"/>
        </w:trPr>
        <w:tc>
          <w:tcPr>
            <w:tcW w:w="9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7"/>
              </w:rPr>
              <w:t>ANNEXES</w:t>
            </w:r>
          </w:p>
        </w:tc>
        <w:tc>
          <w:tcPr>
            <w:tcW w:w="360" w:type="dxa"/>
            <w:vAlign w:val="bottom"/>
            <w:gridSpan w:val="3"/>
          </w:tcPr>
          <w:p>
            <w:pPr>
              <w:spacing w:after="0"/>
              <w:rPr>
                <w:sz w:val="24"/>
                <w:szCs w:val="24"/>
                <w:color w:val="auto"/>
              </w:rPr>
            </w:pPr>
          </w:p>
        </w:tc>
        <w:tc>
          <w:tcPr>
            <w:tcW w:w="6340" w:type="dxa"/>
            <w:vAlign w:val="bottom"/>
          </w:tcPr>
          <w:p>
            <w:pPr>
              <w:spacing w:after="0"/>
              <w:rPr>
                <w:sz w:val="24"/>
                <w:szCs w:val="24"/>
                <w:color w:val="auto"/>
              </w:rPr>
            </w:pPr>
          </w:p>
        </w:tc>
      </w:tr>
      <w:tr>
        <w:trPr>
          <w:trHeight w:val="470"/>
        </w:trPr>
        <w:tc>
          <w:tcPr>
            <w:tcW w:w="1320" w:type="dxa"/>
            <w:vAlign w:val="bottom"/>
            <w:gridSpan w:val="4"/>
          </w:tcPr>
          <w:p>
            <w:pPr>
              <w:spacing w:after="0"/>
              <w:rPr>
                <w:sz w:val="20"/>
                <w:szCs w:val="20"/>
                <w:color w:val="auto"/>
              </w:rPr>
            </w:pPr>
            <w:r>
              <w:rPr>
                <w:rFonts w:ascii="Arial" w:cs="Arial" w:eastAsia="Arial" w:hAnsi="Arial"/>
                <w:sz w:val="20"/>
                <w:szCs w:val="20"/>
                <w:color w:val="auto"/>
              </w:rPr>
              <w:t>Annex A</w:t>
            </w:r>
          </w:p>
        </w:tc>
        <w:tc>
          <w:tcPr>
            <w:tcW w:w="6340" w:type="dxa"/>
            <w:vAlign w:val="bottom"/>
          </w:tcPr>
          <w:p>
            <w:pPr>
              <w:ind w:left="60"/>
              <w:spacing w:after="0"/>
              <w:rPr>
                <w:sz w:val="20"/>
                <w:szCs w:val="20"/>
                <w:color w:val="auto"/>
              </w:rPr>
            </w:pPr>
            <w:r>
              <w:rPr>
                <w:rFonts w:ascii="Arial" w:cs="Arial" w:eastAsia="Arial" w:hAnsi="Arial"/>
                <w:sz w:val="20"/>
                <w:szCs w:val="20"/>
                <w:color w:val="auto"/>
              </w:rPr>
              <w:t>Commitment Annex</w:t>
            </w:r>
          </w:p>
        </w:tc>
      </w:tr>
      <w:tr>
        <w:trPr>
          <w:trHeight w:val="644"/>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EXHIBITS</w:t>
            </w:r>
          </w:p>
        </w:tc>
        <w:tc>
          <w:tcPr>
            <w:tcW w:w="300" w:type="dxa"/>
            <w:vAlign w:val="bottom"/>
            <w:gridSpan w:val="2"/>
          </w:tcPr>
          <w:p>
            <w:pPr>
              <w:spacing w:after="0"/>
              <w:rPr>
                <w:sz w:val="24"/>
                <w:szCs w:val="24"/>
                <w:color w:val="auto"/>
              </w:rPr>
            </w:pPr>
          </w:p>
        </w:tc>
        <w:tc>
          <w:tcPr>
            <w:tcW w:w="6340" w:type="dxa"/>
            <w:vAlign w:val="bottom"/>
          </w:tcPr>
          <w:p>
            <w:pPr>
              <w:spacing w:after="0"/>
              <w:rPr>
                <w:sz w:val="24"/>
                <w:szCs w:val="24"/>
                <w:color w:val="auto"/>
              </w:rPr>
            </w:pPr>
          </w:p>
        </w:tc>
      </w:tr>
      <w:tr>
        <w:trPr>
          <w:trHeight w:val="449"/>
        </w:trPr>
        <w:tc>
          <w:tcPr>
            <w:tcW w:w="1320" w:type="dxa"/>
            <w:vAlign w:val="bottom"/>
            <w:gridSpan w:val="4"/>
          </w:tcPr>
          <w:p>
            <w:pPr>
              <w:spacing w:after="0"/>
              <w:rPr>
                <w:sz w:val="20"/>
                <w:szCs w:val="20"/>
                <w:color w:val="auto"/>
              </w:rPr>
            </w:pPr>
            <w:r>
              <w:rPr>
                <w:rFonts w:ascii="Arial" w:cs="Arial" w:eastAsia="Arial" w:hAnsi="Arial"/>
                <w:sz w:val="20"/>
                <w:szCs w:val="20"/>
                <w:color w:val="auto"/>
              </w:rPr>
              <w:t>Exhibit A</w:t>
            </w:r>
          </w:p>
        </w:tc>
        <w:tc>
          <w:tcPr>
            <w:tcW w:w="6340" w:type="dxa"/>
            <w:vAlign w:val="bottom"/>
          </w:tcPr>
          <w:p>
            <w:pPr>
              <w:ind w:left="100"/>
              <w:spacing w:after="0"/>
              <w:rPr>
                <w:sz w:val="20"/>
                <w:szCs w:val="20"/>
                <w:color w:val="auto"/>
              </w:rPr>
            </w:pPr>
            <w:r>
              <w:rPr>
                <w:rFonts w:ascii="Arial" w:cs="Arial" w:eastAsia="Arial" w:hAnsi="Arial"/>
                <w:sz w:val="20"/>
                <w:szCs w:val="20"/>
                <w:color w:val="auto"/>
              </w:rPr>
              <w:t>[Reserved]</w:t>
            </w:r>
          </w:p>
        </w:tc>
      </w:tr>
      <w:tr>
        <w:trPr>
          <w:trHeight w:val="229"/>
        </w:trPr>
        <w:tc>
          <w:tcPr>
            <w:tcW w:w="1320" w:type="dxa"/>
            <w:vAlign w:val="bottom"/>
            <w:gridSpan w:val="4"/>
          </w:tcPr>
          <w:p>
            <w:pPr>
              <w:spacing w:after="0"/>
              <w:rPr>
                <w:sz w:val="20"/>
                <w:szCs w:val="20"/>
                <w:color w:val="auto"/>
              </w:rPr>
            </w:pPr>
            <w:r>
              <w:rPr>
                <w:rFonts w:ascii="Arial" w:cs="Arial" w:eastAsia="Arial" w:hAnsi="Arial"/>
                <w:sz w:val="20"/>
                <w:szCs w:val="20"/>
                <w:color w:val="auto"/>
              </w:rPr>
              <w:t>Exhibit B</w:t>
            </w:r>
          </w:p>
        </w:tc>
        <w:tc>
          <w:tcPr>
            <w:tcW w:w="6340" w:type="dxa"/>
            <w:vAlign w:val="bottom"/>
          </w:tcPr>
          <w:p>
            <w:pPr>
              <w:ind w:left="100"/>
              <w:spacing w:after="0"/>
              <w:rPr>
                <w:sz w:val="20"/>
                <w:szCs w:val="20"/>
                <w:color w:val="auto"/>
              </w:rPr>
            </w:pPr>
            <w:r>
              <w:rPr>
                <w:rFonts w:ascii="Arial" w:cs="Arial" w:eastAsia="Arial" w:hAnsi="Arial"/>
                <w:sz w:val="20"/>
                <w:szCs w:val="20"/>
                <w:color w:val="auto"/>
              </w:rPr>
              <w:t>Form of Compliance Certificate</w:t>
            </w:r>
          </w:p>
        </w:tc>
      </w:tr>
      <w:tr>
        <w:trPr>
          <w:trHeight w:val="229"/>
        </w:trPr>
        <w:tc>
          <w:tcPr>
            <w:tcW w:w="1320" w:type="dxa"/>
            <w:vAlign w:val="bottom"/>
            <w:gridSpan w:val="4"/>
          </w:tcPr>
          <w:p>
            <w:pPr>
              <w:spacing w:after="0"/>
              <w:rPr>
                <w:sz w:val="20"/>
                <w:szCs w:val="20"/>
                <w:color w:val="auto"/>
              </w:rPr>
            </w:pPr>
            <w:r>
              <w:rPr>
                <w:rFonts w:ascii="Arial" w:cs="Arial" w:eastAsia="Arial" w:hAnsi="Arial"/>
                <w:sz w:val="20"/>
                <w:szCs w:val="20"/>
                <w:color w:val="auto"/>
              </w:rPr>
              <w:t>Exhibit C</w:t>
            </w:r>
          </w:p>
        </w:tc>
        <w:tc>
          <w:tcPr>
            <w:tcW w:w="6340" w:type="dxa"/>
            <w:vAlign w:val="bottom"/>
          </w:tcPr>
          <w:p>
            <w:pPr>
              <w:ind w:left="100"/>
              <w:spacing w:after="0"/>
              <w:rPr>
                <w:sz w:val="20"/>
                <w:szCs w:val="20"/>
                <w:color w:val="auto"/>
              </w:rPr>
            </w:pPr>
            <w:r>
              <w:rPr>
                <w:rFonts w:ascii="Arial" w:cs="Arial" w:eastAsia="Arial" w:hAnsi="Arial"/>
                <w:sz w:val="20"/>
                <w:szCs w:val="20"/>
                <w:color w:val="auto"/>
              </w:rPr>
              <w:t>[Reserved]</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Exhibit D</w:t>
            </w:r>
          </w:p>
        </w:tc>
        <w:tc>
          <w:tcPr>
            <w:tcW w:w="6340" w:type="dxa"/>
            <w:vAlign w:val="bottom"/>
          </w:tcPr>
          <w:p>
            <w:pPr>
              <w:ind w:left="120"/>
              <w:spacing w:after="0"/>
              <w:rPr>
                <w:sz w:val="20"/>
                <w:szCs w:val="20"/>
                <w:color w:val="auto"/>
              </w:rPr>
            </w:pPr>
            <w:r>
              <w:rPr>
                <w:rFonts w:ascii="Arial" w:cs="Arial" w:eastAsia="Arial" w:hAnsi="Arial"/>
                <w:sz w:val="20"/>
                <w:szCs w:val="20"/>
                <w:color w:val="auto"/>
              </w:rPr>
              <w:t>Form of Notice of Borrowing</w:t>
            </w:r>
          </w:p>
        </w:tc>
      </w:tr>
      <w:tr>
        <w:trPr>
          <w:trHeight w:val="229"/>
        </w:trPr>
        <w:tc>
          <w:tcPr>
            <w:tcW w:w="1320" w:type="dxa"/>
            <w:vAlign w:val="bottom"/>
            <w:gridSpan w:val="4"/>
          </w:tcPr>
          <w:p>
            <w:pPr>
              <w:spacing w:after="0"/>
              <w:rPr>
                <w:sz w:val="20"/>
                <w:szCs w:val="20"/>
                <w:color w:val="auto"/>
              </w:rPr>
            </w:pPr>
            <w:r>
              <w:rPr>
                <w:rFonts w:ascii="Arial" w:cs="Arial" w:eastAsia="Arial" w:hAnsi="Arial"/>
                <w:sz w:val="20"/>
                <w:szCs w:val="20"/>
                <w:color w:val="auto"/>
              </w:rPr>
              <w:t>Exhibit E-1</w:t>
            </w:r>
          </w:p>
        </w:tc>
        <w:tc>
          <w:tcPr>
            <w:tcW w:w="6340" w:type="dxa"/>
            <w:vAlign w:val="bottom"/>
          </w:tcPr>
          <w:p>
            <w:pPr>
              <w:ind w:left="260"/>
              <w:spacing w:after="0"/>
              <w:rPr>
                <w:sz w:val="20"/>
                <w:szCs w:val="20"/>
                <w:color w:val="auto"/>
              </w:rPr>
            </w:pPr>
            <w:r>
              <w:rPr>
                <w:rFonts w:ascii="Arial" w:cs="Arial" w:eastAsia="Arial" w:hAnsi="Arial"/>
                <w:sz w:val="20"/>
                <w:szCs w:val="20"/>
                <w:color w:val="auto"/>
              </w:rPr>
              <w:t>Form of U.S. Tax Compliance Certificate</w:t>
            </w:r>
          </w:p>
        </w:tc>
      </w:tr>
      <w:tr>
        <w:trPr>
          <w:trHeight w:val="229"/>
        </w:trPr>
        <w:tc>
          <w:tcPr>
            <w:tcW w:w="1320" w:type="dxa"/>
            <w:vAlign w:val="bottom"/>
            <w:gridSpan w:val="4"/>
          </w:tcPr>
          <w:p>
            <w:pPr>
              <w:spacing w:after="0"/>
              <w:rPr>
                <w:sz w:val="20"/>
                <w:szCs w:val="20"/>
                <w:color w:val="auto"/>
              </w:rPr>
            </w:pPr>
            <w:r>
              <w:rPr>
                <w:rFonts w:ascii="Arial" w:cs="Arial" w:eastAsia="Arial" w:hAnsi="Arial"/>
                <w:sz w:val="20"/>
                <w:szCs w:val="20"/>
                <w:color w:val="auto"/>
              </w:rPr>
              <w:t>Exhibit E-2</w:t>
            </w:r>
          </w:p>
        </w:tc>
        <w:tc>
          <w:tcPr>
            <w:tcW w:w="6340" w:type="dxa"/>
            <w:vAlign w:val="bottom"/>
          </w:tcPr>
          <w:p>
            <w:pPr>
              <w:ind w:left="260"/>
              <w:spacing w:after="0"/>
              <w:rPr>
                <w:sz w:val="20"/>
                <w:szCs w:val="20"/>
                <w:color w:val="auto"/>
              </w:rPr>
            </w:pPr>
            <w:r>
              <w:rPr>
                <w:rFonts w:ascii="Arial" w:cs="Arial" w:eastAsia="Arial" w:hAnsi="Arial"/>
                <w:sz w:val="20"/>
                <w:szCs w:val="20"/>
                <w:color w:val="auto"/>
              </w:rPr>
              <w:t>Form of U.S. Tax Compliance Certificate</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Exhibit E-3</w:t>
            </w:r>
          </w:p>
        </w:tc>
        <w:tc>
          <w:tcPr>
            <w:tcW w:w="6340" w:type="dxa"/>
            <w:vAlign w:val="bottom"/>
          </w:tcPr>
          <w:p>
            <w:pPr>
              <w:ind w:left="260"/>
              <w:spacing w:after="0"/>
              <w:rPr>
                <w:sz w:val="20"/>
                <w:szCs w:val="20"/>
                <w:color w:val="auto"/>
              </w:rPr>
            </w:pPr>
            <w:r>
              <w:rPr>
                <w:rFonts w:ascii="Arial" w:cs="Arial" w:eastAsia="Arial" w:hAnsi="Arial"/>
                <w:sz w:val="20"/>
                <w:szCs w:val="20"/>
                <w:color w:val="auto"/>
              </w:rPr>
              <w:t>Form of U.S. Tax Compliance Certificate</w:t>
            </w:r>
          </w:p>
        </w:tc>
      </w:tr>
      <w:tr>
        <w:trPr>
          <w:trHeight w:val="229"/>
        </w:trPr>
        <w:tc>
          <w:tcPr>
            <w:tcW w:w="1320" w:type="dxa"/>
            <w:vAlign w:val="bottom"/>
            <w:gridSpan w:val="4"/>
          </w:tcPr>
          <w:p>
            <w:pPr>
              <w:spacing w:after="0"/>
              <w:rPr>
                <w:sz w:val="20"/>
                <w:szCs w:val="20"/>
                <w:color w:val="auto"/>
              </w:rPr>
            </w:pPr>
            <w:r>
              <w:rPr>
                <w:rFonts w:ascii="Arial" w:cs="Arial" w:eastAsia="Arial" w:hAnsi="Arial"/>
                <w:sz w:val="20"/>
                <w:szCs w:val="20"/>
                <w:color w:val="auto"/>
              </w:rPr>
              <w:t>Exhibit E-4</w:t>
            </w:r>
          </w:p>
        </w:tc>
        <w:tc>
          <w:tcPr>
            <w:tcW w:w="6340" w:type="dxa"/>
            <w:vAlign w:val="bottom"/>
          </w:tcPr>
          <w:p>
            <w:pPr>
              <w:ind w:left="260"/>
              <w:spacing w:after="0"/>
              <w:rPr>
                <w:sz w:val="20"/>
                <w:szCs w:val="20"/>
                <w:color w:val="auto"/>
              </w:rPr>
            </w:pPr>
            <w:r>
              <w:rPr>
                <w:rFonts w:ascii="Arial" w:cs="Arial" w:eastAsia="Arial" w:hAnsi="Arial"/>
                <w:sz w:val="20"/>
                <w:szCs w:val="20"/>
                <w:color w:val="auto"/>
              </w:rPr>
              <w:t>Form of U.S. Tax Compliance Certificate</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Exhibit F</w:t>
            </w:r>
          </w:p>
        </w:tc>
        <w:tc>
          <w:tcPr>
            <w:tcW w:w="6340" w:type="dxa"/>
            <w:vAlign w:val="bottom"/>
          </w:tcPr>
          <w:p>
            <w:pPr>
              <w:ind w:left="80"/>
              <w:spacing w:after="0"/>
              <w:rPr>
                <w:sz w:val="20"/>
                <w:szCs w:val="20"/>
                <w:color w:val="auto"/>
              </w:rPr>
            </w:pPr>
            <w:r>
              <w:rPr>
                <w:rFonts w:ascii="Arial" w:cs="Arial" w:eastAsia="Arial" w:hAnsi="Arial"/>
                <w:sz w:val="20"/>
                <w:szCs w:val="20"/>
                <w:color w:val="auto"/>
              </w:rPr>
              <w:t>[Omitted]</w:t>
            </w:r>
          </w:p>
        </w:tc>
      </w:tr>
      <w:tr>
        <w:trPr>
          <w:trHeight w:val="250"/>
        </w:trPr>
        <w:tc>
          <w:tcPr>
            <w:tcW w:w="1320" w:type="dxa"/>
            <w:vAlign w:val="bottom"/>
            <w:gridSpan w:val="4"/>
          </w:tcPr>
          <w:p>
            <w:pPr>
              <w:spacing w:after="0"/>
              <w:rPr>
                <w:sz w:val="20"/>
                <w:szCs w:val="20"/>
                <w:color w:val="auto"/>
              </w:rPr>
            </w:pPr>
            <w:r>
              <w:rPr>
                <w:rFonts w:ascii="Arial" w:cs="Arial" w:eastAsia="Arial" w:hAnsi="Arial"/>
                <w:sz w:val="20"/>
                <w:szCs w:val="20"/>
                <w:color w:val="auto"/>
              </w:rPr>
              <w:t>Exhibit G</w:t>
            </w:r>
          </w:p>
        </w:tc>
        <w:tc>
          <w:tcPr>
            <w:tcW w:w="6340" w:type="dxa"/>
            <w:vAlign w:val="bottom"/>
          </w:tcPr>
          <w:p>
            <w:pPr>
              <w:ind w:left="120"/>
              <w:spacing w:after="0"/>
              <w:rPr>
                <w:sz w:val="20"/>
                <w:szCs w:val="20"/>
                <w:color w:val="auto"/>
              </w:rPr>
            </w:pPr>
            <w:r>
              <w:rPr>
                <w:rFonts w:ascii="Arial" w:cs="Arial" w:eastAsia="Arial" w:hAnsi="Arial"/>
                <w:sz w:val="20"/>
                <w:szCs w:val="20"/>
                <w:color w:val="auto"/>
              </w:rPr>
              <w:t>Form of Payment Notification</w:t>
            </w:r>
          </w:p>
        </w:tc>
      </w:tr>
      <w:tr>
        <w:trPr>
          <w:trHeight w:val="644"/>
        </w:trPr>
        <w:tc>
          <w:tcPr>
            <w:tcW w:w="1320" w:type="dxa"/>
            <w:vAlign w:val="bottom"/>
            <w:gridSpan w:val="4"/>
          </w:tcPr>
          <w:p>
            <w:pPr>
              <w:spacing w:after="0"/>
              <w:rPr>
                <w:sz w:val="20"/>
                <w:szCs w:val="20"/>
                <w:color w:val="auto"/>
              </w:rPr>
            </w:pPr>
            <w:r>
              <w:rPr>
                <w:rFonts w:ascii="Arial" w:cs="Arial" w:eastAsia="Arial" w:hAnsi="Arial"/>
                <w:sz w:val="20"/>
                <w:szCs w:val="20"/>
                <w:b w:val="1"/>
                <w:bCs w:val="1"/>
                <w:color w:val="auto"/>
              </w:rPr>
              <w:t>SCHEDULES</w:t>
            </w:r>
          </w:p>
        </w:tc>
        <w:tc>
          <w:tcPr>
            <w:tcW w:w="6340" w:type="dxa"/>
            <w:vAlign w:val="bottom"/>
          </w:tcPr>
          <w:p>
            <w:pPr>
              <w:spacing w:after="0"/>
              <w:rPr>
                <w:sz w:val="24"/>
                <w:szCs w:val="24"/>
                <w:color w:val="auto"/>
              </w:rPr>
            </w:pPr>
          </w:p>
        </w:tc>
      </w:tr>
      <w:tr>
        <w:trPr>
          <w:trHeight w:val="449"/>
        </w:trPr>
        <w:tc>
          <w:tcPr>
            <w:tcW w:w="120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Schedule 2.1</w:t>
            </w:r>
          </w:p>
        </w:tc>
        <w:tc>
          <w:tcPr>
            <w:tcW w:w="120" w:type="dxa"/>
            <w:vAlign w:val="bottom"/>
          </w:tcPr>
          <w:p>
            <w:pPr>
              <w:spacing w:after="0"/>
              <w:rPr>
                <w:sz w:val="24"/>
                <w:szCs w:val="24"/>
                <w:color w:val="auto"/>
              </w:rPr>
            </w:pPr>
          </w:p>
        </w:tc>
        <w:tc>
          <w:tcPr>
            <w:tcW w:w="6340" w:type="dxa"/>
            <w:vAlign w:val="bottom"/>
          </w:tcPr>
          <w:p>
            <w:pPr>
              <w:ind w:left="360"/>
              <w:spacing w:after="0"/>
              <w:rPr>
                <w:sz w:val="20"/>
                <w:szCs w:val="20"/>
                <w:color w:val="auto"/>
              </w:rPr>
            </w:pPr>
            <w:r>
              <w:rPr>
                <w:rFonts w:ascii="Arial" w:cs="Arial" w:eastAsia="Arial" w:hAnsi="Arial"/>
                <w:sz w:val="20"/>
                <w:szCs w:val="20"/>
                <w:color w:val="auto"/>
              </w:rPr>
              <w:t>Scheduled Principal Payments for Term Loan</w:t>
            </w:r>
          </w:p>
        </w:tc>
      </w:tr>
      <w:tr>
        <w:trPr>
          <w:trHeight w:val="229"/>
        </w:trPr>
        <w:tc>
          <w:tcPr>
            <w:tcW w:w="1320" w:type="dxa"/>
            <w:vAlign w:val="bottom"/>
            <w:gridSpan w:val="4"/>
          </w:tcPr>
          <w:p>
            <w:pPr>
              <w:spacing w:after="0"/>
              <w:rPr>
                <w:sz w:val="20"/>
                <w:szCs w:val="20"/>
                <w:color w:val="auto"/>
              </w:rPr>
            </w:pPr>
            <w:r>
              <w:rPr>
                <w:rFonts w:ascii="Arial" w:cs="Arial" w:eastAsia="Arial" w:hAnsi="Arial"/>
                <w:sz w:val="20"/>
                <w:szCs w:val="20"/>
                <w:color w:val="auto"/>
              </w:rPr>
              <w:t>Schedule 3.1</w:t>
            </w:r>
          </w:p>
        </w:tc>
        <w:tc>
          <w:tcPr>
            <w:tcW w:w="6340" w:type="dxa"/>
            <w:vAlign w:val="bottom"/>
          </w:tcPr>
          <w:p>
            <w:pPr>
              <w:ind w:left="360"/>
              <w:spacing w:after="0"/>
              <w:rPr>
                <w:sz w:val="20"/>
                <w:szCs w:val="20"/>
                <w:color w:val="auto"/>
              </w:rPr>
            </w:pPr>
            <w:r>
              <w:rPr>
                <w:rFonts w:ascii="Arial" w:cs="Arial" w:eastAsia="Arial" w:hAnsi="Arial"/>
                <w:sz w:val="20"/>
                <w:szCs w:val="20"/>
                <w:color w:val="auto"/>
                <w:w w:val="90"/>
              </w:rPr>
              <w:t>Existence, Organizational ID Numbers, Foreign Qualification, Prior Names</w:t>
            </w:r>
          </w:p>
        </w:tc>
      </w:tr>
      <w:tr>
        <w:trPr>
          <w:trHeight w:val="229"/>
        </w:trPr>
        <w:tc>
          <w:tcPr>
            <w:tcW w:w="1320" w:type="dxa"/>
            <w:vAlign w:val="bottom"/>
            <w:gridSpan w:val="4"/>
          </w:tcPr>
          <w:p>
            <w:pPr>
              <w:spacing w:after="0"/>
              <w:rPr>
                <w:sz w:val="20"/>
                <w:szCs w:val="20"/>
                <w:color w:val="auto"/>
              </w:rPr>
            </w:pPr>
            <w:r>
              <w:rPr>
                <w:rFonts w:ascii="Arial" w:cs="Arial" w:eastAsia="Arial" w:hAnsi="Arial"/>
                <w:sz w:val="20"/>
                <w:szCs w:val="20"/>
                <w:color w:val="auto"/>
              </w:rPr>
              <w:t>Schedule 3.4</w:t>
            </w:r>
          </w:p>
        </w:tc>
        <w:tc>
          <w:tcPr>
            <w:tcW w:w="6340" w:type="dxa"/>
            <w:vAlign w:val="bottom"/>
          </w:tcPr>
          <w:p>
            <w:pPr>
              <w:ind w:left="360"/>
              <w:spacing w:after="0"/>
              <w:rPr>
                <w:sz w:val="20"/>
                <w:szCs w:val="20"/>
                <w:color w:val="auto"/>
              </w:rPr>
            </w:pPr>
            <w:r>
              <w:rPr>
                <w:rFonts w:ascii="Arial" w:cs="Arial" w:eastAsia="Arial" w:hAnsi="Arial"/>
                <w:sz w:val="20"/>
                <w:szCs w:val="20"/>
                <w:color w:val="auto"/>
              </w:rPr>
              <w:t>[Omitted]</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Schedule 3.6</w:t>
            </w:r>
          </w:p>
        </w:tc>
        <w:tc>
          <w:tcPr>
            <w:tcW w:w="6340" w:type="dxa"/>
            <w:vAlign w:val="bottom"/>
          </w:tcPr>
          <w:p>
            <w:pPr>
              <w:ind w:left="360"/>
              <w:spacing w:after="0"/>
              <w:rPr>
                <w:sz w:val="20"/>
                <w:szCs w:val="20"/>
                <w:color w:val="auto"/>
              </w:rPr>
            </w:pPr>
            <w:r>
              <w:rPr>
                <w:rFonts w:ascii="Arial" w:cs="Arial" w:eastAsia="Arial" w:hAnsi="Arial"/>
                <w:sz w:val="20"/>
                <w:szCs w:val="20"/>
                <w:color w:val="auto"/>
              </w:rPr>
              <w:t>[Omitted]</w:t>
            </w:r>
          </w:p>
        </w:tc>
      </w:tr>
      <w:tr>
        <w:trPr>
          <w:trHeight w:val="229"/>
        </w:trPr>
        <w:tc>
          <w:tcPr>
            <w:tcW w:w="1320" w:type="dxa"/>
            <w:vAlign w:val="bottom"/>
            <w:gridSpan w:val="4"/>
          </w:tcPr>
          <w:p>
            <w:pPr>
              <w:spacing w:after="0"/>
              <w:rPr>
                <w:sz w:val="20"/>
                <w:szCs w:val="20"/>
                <w:color w:val="auto"/>
              </w:rPr>
            </w:pPr>
            <w:r>
              <w:rPr>
                <w:rFonts w:ascii="Arial" w:cs="Arial" w:eastAsia="Arial" w:hAnsi="Arial"/>
                <w:sz w:val="20"/>
                <w:szCs w:val="20"/>
                <w:color w:val="auto"/>
              </w:rPr>
              <w:t>Schedule 3.17</w:t>
            </w:r>
          </w:p>
        </w:tc>
        <w:tc>
          <w:tcPr>
            <w:tcW w:w="6340" w:type="dxa"/>
            <w:vAlign w:val="bottom"/>
          </w:tcPr>
          <w:p>
            <w:pPr>
              <w:ind w:left="460"/>
              <w:spacing w:after="0"/>
              <w:rPr>
                <w:sz w:val="20"/>
                <w:szCs w:val="20"/>
                <w:color w:val="auto"/>
              </w:rPr>
            </w:pPr>
            <w:r>
              <w:rPr>
                <w:rFonts w:ascii="Arial" w:cs="Arial" w:eastAsia="Arial" w:hAnsi="Arial"/>
                <w:sz w:val="20"/>
                <w:szCs w:val="20"/>
                <w:color w:val="auto"/>
              </w:rPr>
              <w:t>[Omitted]</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Schedule 3.18</w:t>
            </w:r>
          </w:p>
        </w:tc>
        <w:tc>
          <w:tcPr>
            <w:tcW w:w="6340" w:type="dxa"/>
            <w:vAlign w:val="bottom"/>
          </w:tcPr>
          <w:p>
            <w:pPr>
              <w:ind w:left="460"/>
              <w:spacing w:after="0"/>
              <w:rPr>
                <w:sz w:val="20"/>
                <w:szCs w:val="20"/>
                <w:color w:val="auto"/>
              </w:rPr>
            </w:pPr>
            <w:r>
              <w:rPr>
                <w:rFonts w:ascii="Arial" w:cs="Arial" w:eastAsia="Arial" w:hAnsi="Arial"/>
                <w:sz w:val="20"/>
                <w:szCs w:val="20"/>
                <w:color w:val="auto"/>
              </w:rPr>
              <w:t>[Omitted]</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Schedule 3.19</w:t>
            </w:r>
          </w:p>
        </w:tc>
        <w:tc>
          <w:tcPr>
            <w:tcW w:w="6340" w:type="dxa"/>
            <w:vAlign w:val="bottom"/>
          </w:tcPr>
          <w:p>
            <w:pPr>
              <w:ind w:left="460"/>
              <w:spacing w:after="0"/>
              <w:rPr>
                <w:sz w:val="20"/>
                <w:szCs w:val="20"/>
                <w:color w:val="auto"/>
              </w:rPr>
            </w:pPr>
            <w:r>
              <w:rPr>
                <w:rFonts w:ascii="Arial" w:cs="Arial" w:eastAsia="Arial" w:hAnsi="Arial"/>
                <w:sz w:val="20"/>
                <w:szCs w:val="20"/>
                <w:color w:val="auto"/>
              </w:rPr>
              <w:t>Intellectual Property</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Schedule 4.9</w:t>
            </w:r>
          </w:p>
        </w:tc>
        <w:tc>
          <w:tcPr>
            <w:tcW w:w="6340" w:type="dxa"/>
            <w:vAlign w:val="bottom"/>
          </w:tcPr>
          <w:p>
            <w:pPr>
              <w:ind w:left="360"/>
              <w:spacing w:after="0"/>
              <w:rPr>
                <w:sz w:val="20"/>
                <w:szCs w:val="20"/>
                <w:color w:val="auto"/>
              </w:rPr>
            </w:pPr>
            <w:r>
              <w:rPr>
                <w:rFonts w:ascii="Arial" w:cs="Arial" w:eastAsia="Arial" w:hAnsi="Arial"/>
                <w:sz w:val="20"/>
                <w:szCs w:val="20"/>
                <w:color w:val="auto"/>
              </w:rPr>
              <w:t>[Omitted]</w:t>
            </w:r>
          </w:p>
        </w:tc>
      </w:tr>
      <w:tr>
        <w:trPr>
          <w:trHeight w:val="229"/>
        </w:trPr>
        <w:tc>
          <w:tcPr>
            <w:tcW w:w="1320" w:type="dxa"/>
            <w:vAlign w:val="bottom"/>
            <w:gridSpan w:val="4"/>
          </w:tcPr>
          <w:p>
            <w:pPr>
              <w:spacing w:after="0"/>
              <w:rPr>
                <w:sz w:val="20"/>
                <w:szCs w:val="20"/>
                <w:color w:val="auto"/>
              </w:rPr>
            </w:pPr>
            <w:r>
              <w:rPr>
                <w:rFonts w:ascii="Arial" w:cs="Arial" w:eastAsia="Arial" w:hAnsi="Arial"/>
                <w:sz w:val="20"/>
                <w:szCs w:val="20"/>
                <w:color w:val="auto"/>
              </w:rPr>
              <w:t>Schedule 5.1</w:t>
            </w:r>
          </w:p>
        </w:tc>
        <w:tc>
          <w:tcPr>
            <w:tcW w:w="6340" w:type="dxa"/>
            <w:vAlign w:val="bottom"/>
          </w:tcPr>
          <w:p>
            <w:pPr>
              <w:ind w:left="360"/>
              <w:spacing w:after="0"/>
              <w:rPr>
                <w:sz w:val="20"/>
                <w:szCs w:val="20"/>
                <w:color w:val="auto"/>
              </w:rPr>
            </w:pPr>
            <w:r>
              <w:rPr>
                <w:rFonts w:ascii="Arial" w:cs="Arial" w:eastAsia="Arial" w:hAnsi="Arial"/>
                <w:sz w:val="20"/>
                <w:szCs w:val="20"/>
                <w:color w:val="auto"/>
              </w:rPr>
              <w:t>[Omitted]</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Schedule 5.2</w:t>
            </w:r>
          </w:p>
        </w:tc>
        <w:tc>
          <w:tcPr>
            <w:tcW w:w="6340" w:type="dxa"/>
            <w:vAlign w:val="bottom"/>
          </w:tcPr>
          <w:p>
            <w:pPr>
              <w:ind w:left="360"/>
              <w:spacing w:after="0"/>
              <w:rPr>
                <w:sz w:val="20"/>
                <w:szCs w:val="20"/>
                <w:color w:val="auto"/>
              </w:rPr>
            </w:pPr>
            <w:r>
              <w:rPr>
                <w:rFonts w:ascii="Arial" w:cs="Arial" w:eastAsia="Arial" w:hAnsi="Arial"/>
                <w:sz w:val="20"/>
                <w:szCs w:val="20"/>
                <w:color w:val="auto"/>
              </w:rPr>
              <w:t>[Omitted]</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Schedule 5.7</w:t>
            </w:r>
          </w:p>
        </w:tc>
        <w:tc>
          <w:tcPr>
            <w:tcW w:w="6340" w:type="dxa"/>
            <w:vAlign w:val="bottom"/>
          </w:tcPr>
          <w:p>
            <w:pPr>
              <w:ind w:left="360"/>
              <w:spacing w:after="0"/>
              <w:rPr>
                <w:sz w:val="20"/>
                <w:szCs w:val="20"/>
                <w:color w:val="auto"/>
              </w:rPr>
            </w:pPr>
            <w:r>
              <w:rPr>
                <w:rFonts w:ascii="Arial" w:cs="Arial" w:eastAsia="Arial" w:hAnsi="Arial"/>
                <w:sz w:val="20"/>
                <w:szCs w:val="20"/>
                <w:color w:val="auto"/>
              </w:rPr>
              <w:t>[Omitted]</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Schedule 5.8</w:t>
            </w:r>
          </w:p>
        </w:tc>
        <w:tc>
          <w:tcPr>
            <w:tcW w:w="6340" w:type="dxa"/>
            <w:vAlign w:val="bottom"/>
          </w:tcPr>
          <w:p>
            <w:pPr>
              <w:ind w:left="360"/>
              <w:spacing w:after="0"/>
              <w:rPr>
                <w:sz w:val="20"/>
                <w:szCs w:val="20"/>
                <w:color w:val="auto"/>
              </w:rPr>
            </w:pPr>
            <w:r>
              <w:rPr>
                <w:rFonts w:ascii="Arial" w:cs="Arial" w:eastAsia="Arial" w:hAnsi="Arial"/>
                <w:sz w:val="20"/>
                <w:szCs w:val="20"/>
                <w:color w:val="auto"/>
              </w:rPr>
              <w:t>[Omitted]</w:t>
            </w:r>
          </w:p>
        </w:tc>
      </w:tr>
      <w:tr>
        <w:trPr>
          <w:trHeight w:val="229"/>
        </w:trPr>
        <w:tc>
          <w:tcPr>
            <w:tcW w:w="1320" w:type="dxa"/>
            <w:vAlign w:val="bottom"/>
            <w:gridSpan w:val="4"/>
          </w:tcPr>
          <w:p>
            <w:pPr>
              <w:spacing w:after="0"/>
              <w:rPr>
                <w:sz w:val="20"/>
                <w:szCs w:val="20"/>
                <w:color w:val="auto"/>
              </w:rPr>
            </w:pPr>
            <w:r>
              <w:rPr>
                <w:rFonts w:ascii="Arial" w:cs="Arial" w:eastAsia="Arial" w:hAnsi="Arial"/>
                <w:sz w:val="20"/>
                <w:szCs w:val="20"/>
                <w:color w:val="auto"/>
              </w:rPr>
              <w:t>Schedule 5.11</w:t>
            </w:r>
          </w:p>
        </w:tc>
        <w:tc>
          <w:tcPr>
            <w:tcW w:w="6340" w:type="dxa"/>
            <w:vAlign w:val="bottom"/>
          </w:tcPr>
          <w:p>
            <w:pPr>
              <w:ind w:left="440"/>
              <w:spacing w:after="0"/>
              <w:rPr>
                <w:sz w:val="20"/>
                <w:szCs w:val="20"/>
                <w:color w:val="auto"/>
              </w:rPr>
            </w:pPr>
            <w:r>
              <w:rPr>
                <w:rFonts w:ascii="Arial" w:cs="Arial" w:eastAsia="Arial" w:hAnsi="Arial"/>
                <w:sz w:val="20"/>
                <w:szCs w:val="20"/>
                <w:color w:val="auto"/>
              </w:rPr>
              <w:t>[Omitted]</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Schedule 5.14</w:t>
            </w:r>
          </w:p>
        </w:tc>
        <w:tc>
          <w:tcPr>
            <w:tcW w:w="6340" w:type="dxa"/>
            <w:vAlign w:val="bottom"/>
          </w:tcPr>
          <w:p>
            <w:pPr>
              <w:ind w:left="460"/>
              <w:spacing w:after="0"/>
              <w:rPr>
                <w:sz w:val="20"/>
                <w:szCs w:val="20"/>
                <w:color w:val="auto"/>
              </w:rPr>
            </w:pPr>
            <w:r>
              <w:rPr>
                <w:rFonts w:ascii="Arial" w:cs="Arial" w:eastAsia="Arial" w:hAnsi="Arial"/>
                <w:sz w:val="20"/>
                <w:szCs w:val="20"/>
                <w:color w:val="auto"/>
              </w:rPr>
              <w:t>[Omitted]</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Schedule 7.4</w:t>
            </w:r>
          </w:p>
        </w:tc>
        <w:tc>
          <w:tcPr>
            <w:tcW w:w="6340" w:type="dxa"/>
            <w:vAlign w:val="bottom"/>
          </w:tcPr>
          <w:p>
            <w:pPr>
              <w:ind w:left="360"/>
              <w:spacing w:after="0"/>
              <w:rPr>
                <w:sz w:val="20"/>
                <w:szCs w:val="20"/>
                <w:color w:val="auto"/>
              </w:rPr>
            </w:pPr>
            <w:r>
              <w:rPr>
                <w:rFonts w:ascii="Arial" w:cs="Arial" w:eastAsia="Arial" w:hAnsi="Arial"/>
                <w:sz w:val="20"/>
                <w:szCs w:val="20"/>
                <w:color w:val="auto"/>
              </w:rPr>
              <w:t>Post-Closing Obligations</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w w:val="92"/>
              </w:rPr>
              <w:t>Schedule 8.2(a)</w:t>
            </w:r>
          </w:p>
        </w:tc>
        <w:tc>
          <w:tcPr>
            <w:tcW w:w="6340" w:type="dxa"/>
            <w:vAlign w:val="bottom"/>
          </w:tcPr>
          <w:p>
            <w:pPr>
              <w:ind w:left="580"/>
              <w:spacing w:after="0"/>
              <w:rPr>
                <w:sz w:val="20"/>
                <w:szCs w:val="20"/>
                <w:color w:val="auto"/>
              </w:rPr>
            </w:pPr>
            <w:r>
              <w:rPr>
                <w:rFonts w:ascii="Arial" w:cs="Arial" w:eastAsia="Arial" w:hAnsi="Arial"/>
                <w:sz w:val="20"/>
                <w:szCs w:val="20"/>
                <w:color w:val="auto"/>
              </w:rPr>
              <w:t>[Omitted]</w:t>
            </w:r>
          </w:p>
        </w:tc>
      </w:tr>
      <w:tr>
        <w:trPr>
          <w:trHeight w:val="229"/>
        </w:trPr>
        <w:tc>
          <w:tcPr>
            <w:tcW w:w="1320" w:type="dxa"/>
            <w:vAlign w:val="bottom"/>
            <w:gridSpan w:val="4"/>
          </w:tcPr>
          <w:p>
            <w:pPr>
              <w:spacing w:after="0"/>
              <w:rPr>
                <w:sz w:val="20"/>
                <w:szCs w:val="20"/>
                <w:color w:val="auto"/>
              </w:rPr>
            </w:pPr>
            <w:r>
              <w:rPr>
                <w:rFonts w:ascii="Arial" w:cs="Arial" w:eastAsia="Arial" w:hAnsi="Arial"/>
                <w:sz w:val="20"/>
                <w:szCs w:val="20"/>
                <w:color w:val="auto"/>
                <w:w w:val="92"/>
              </w:rPr>
              <w:t>Schedule 8.2(b)</w:t>
            </w:r>
          </w:p>
        </w:tc>
        <w:tc>
          <w:tcPr>
            <w:tcW w:w="6340" w:type="dxa"/>
            <w:vAlign w:val="bottom"/>
          </w:tcPr>
          <w:p>
            <w:pPr>
              <w:ind w:left="580"/>
              <w:spacing w:after="0"/>
              <w:rPr>
                <w:sz w:val="20"/>
                <w:szCs w:val="20"/>
                <w:color w:val="auto"/>
              </w:rPr>
            </w:pPr>
            <w:r>
              <w:rPr>
                <w:rFonts w:ascii="Arial" w:cs="Arial" w:eastAsia="Arial" w:hAnsi="Arial"/>
                <w:sz w:val="20"/>
                <w:szCs w:val="20"/>
                <w:color w:val="auto"/>
              </w:rPr>
              <w:t>[Omitted]</w:t>
            </w:r>
          </w:p>
        </w:tc>
      </w:tr>
      <w:tr>
        <w:trPr>
          <w:trHeight w:val="230"/>
        </w:trPr>
        <w:tc>
          <w:tcPr>
            <w:tcW w:w="1320" w:type="dxa"/>
            <w:vAlign w:val="bottom"/>
            <w:gridSpan w:val="4"/>
          </w:tcPr>
          <w:p>
            <w:pPr>
              <w:spacing w:after="0"/>
              <w:rPr>
                <w:sz w:val="20"/>
                <w:szCs w:val="20"/>
                <w:color w:val="auto"/>
              </w:rPr>
            </w:pPr>
            <w:r>
              <w:rPr>
                <w:rFonts w:ascii="Arial" w:cs="Arial" w:eastAsia="Arial" w:hAnsi="Arial"/>
                <w:sz w:val="20"/>
                <w:szCs w:val="20"/>
                <w:color w:val="auto"/>
              </w:rPr>
              <w:t>Schedule 9.1</w:t>
            </w:r>
          </w:p>
        </w:tc>
        <w:tc>
          <w:tcPr>
            <w:tcW w:w="6340" w:type="dxa"/>
            <w:vAlign w:val="bottom"/>
          </w:tcPr>
          <w:p>
            <w:pPr>
              <w:ind w:left="360"/>
              <w:spacing w:after="0"/>
              <w:rPr>
                <w:sz w:val="20"/>
                <w:szCs w:val="20"/>
                <w:color w:val="auto"/>
              </w:rPr>
            </w:pPr>
            <w:r>
              <w:rPr>
                <w:rFonts w:ascii="Arial" w:cs="Arial" w:eastAsia="Arial" w:hAnsi="Arial"/>
                <w:sz w:val="20"/>
                <w:szCs w:val="20"/>
                <w:color w:val="auto"/>
              </w:rPr>
              <w:t>Collateral</w:t>
            </w:r>
          </w:p>
        </w:tc>
      </w:tr>
      <w:tr>
        <w:trPr>
          <w:trHeight w:val="250"/>
        </w:trPr>
        <w:tc>
          <w:tcPr>
            <w:tcW w:w="1320" w:type="dxa"/>
            <w:vAlign w:val="bottom"/>
            <w:gridSpan w:val="4"/>
          </w:tcPr>
          <w:p>
            <w:pPr>
              <w:spacing w:after="0"/>
              <w:rPr>
                <w:sz w:val="20"/>
                <w:szCs w:val="20"/>
                <w:color w:val="auto"/>
              </w:rPr>
            </w:pPr>
            <w:r>
              <w:rPr>
                <w:rFonts w:ascii="Arial" w:cs="Arial" w:eastAsia="Arial" w:hAnsi="Arial"/>
                <w:sz w:val="20"/>
                <w:szCs w:val="20"/>
                <w:color w:val="auto"/>
              </w:rPr>
              <w:t>Schedule 9.2</w:t>
            </w:r>
          </w:p>
        </w:tc>
        <w:tc>
          <w:tcPr>
            <w:tcW w:w="6340" w:type="dxa"/>
            <w:vAlign w:val="bottom"/>
          </w:tcPr>
          <w:p>
            <w:pPr>
              <w:ind w:left="360"/>
              <w:spacing w:after="0"/>
              <w:rPr>
                <w:sz w:val="20"/>
                <w:szCs w:val="20"/>
                <w:color w:val="auto"/>
              </w:rPr>
            </w:pPr>
            <w:r>
              <w:rPr>
                <w:rFonts w:ascii="Arial" w:cs="Arial" w:eastAsia="Arial" w:hAnsi="Arial"/>
                <w:sz w:val="20"/>
                <w:szCs w:val="20"/>
                <w:color w:val="auto"/>
              </w:rPr>
              <w:t>[Omitted]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20"/>
          <w:szCs w:val="20"/>
          <w:b w:val="1"/>
          <w:bCs w:val="1"/>
          <w:color w:val="auto"/>
        </w:rPr>
        <w:t>Annex A to Credit Agreement (Commitment Annex)</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gridSpan w:val="2"/>
          </w:tcPr>
          <w:p>
            <w:pPr>
              <w:jc w:val="center"/>
              <w:ind w:right="40"/>
              <w:spacing w:after="0"/>
              <w:rPr>
                <w:sz w:val="20"/>
                <w:szCs w:val="20"/>
                <w:color w:val="auto"/>
              </w:rPr>
            </w:pPr>
            <w:r>
              <w:rPr>
                <w:rFonts w:ascii="Arial" w:cs="Arial" w:eastAsia="Arial" w:hAnsi="Arial"/>
                <w:sz w:val="20"/>
                <w:szCs w:val="20"/>
                <w:b w:val="1"/>
                <w:bCs w:val="1"/>
                <w:color w:val="auto"/>
                <w:w w:val="91"/>
              </w:rPr>
              <w:t>Term Loan</w:t>
            </w:r>
          </w:p>
        </w:tc>
        <w:tc>
          <w:tcPr>
            <w:tcW w:w="1520" w:type="dxa"/>
            <w:vAlign w:val="bottom"/>
          </w:tcPr>
          <w:p>
            <w:pPr>
              <w:jc w:val="center"/>
              <w:spacing w:after="0"/>
              <w:rPr>
                <w:sz w:val="20"/>
                <w:szCs w:val="20"/>
                <w:color w:val="auto"/>
              </w:rPr>
            </w:pPr>
            <w:r>
              <w:rPr>
                <w:rFonts w:ascii="Arial" w:cs="Arial" w:eastAsia="Arial" w:hAnsi="Arial"/>
                <w:sz w:val="20"/>
                <w:szCs w:val="20"/>
                <w:b w:val="1"/>
                <w:bCs w:val="1"/>
                <w:color w:val="auto"/>
                <w:w w:val="91"/>
              </w:rPr>
              <w:t>Term Loan</w:t>
            </w:r>
          </w:p>
        </w:tc>
      </w:tr>
      <w:tr>
        <w:trPr>
          <w:trHeight w:val="229"/>
        </w:trPr>
        <w:tc>
          <w:tcPr>
            <w:tcW w:w="3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gridSpan w:val="2"/>
          </w:tcPr>
          <w:p>
            <w:pPr>
              <w:jc w:val="center"/>
              <w:ind w:right="60"/>
              <w:spacing w:after="0"/>
              <w:rPr>
                <w:sz w:val="20"/>
                <w:szCs w:val="20"/>
                <w:color w:val="auto"/>
              </w:rPr>
            </w:pPr>
            <w:r>
              <w:rPr>
                <w:rFonts w:ascii="Arial" w:cs="Arial" w:eastAsia="Arial" w:hAnsi="Arial"/>
                <w:sz w:val="20"/>
                <w:szCs w:val="20"/>
                <w:b w:val="1"/>
                <w:bCs w:val="1"/>
                <w:color w:val="auto"/>
                <w:w w:val="91"/>
              </w:rPr>
              <w:t>Commitment</w:t>
            </w:r>
          </w:p>
        </w:tc>
        <w:tc>
          <w:tcPr>
            <w:tcW w:w="1520" w:type="dxa"/>
            <w:vAlign w:val="bottom"/>
          </w:tcPr>
          <w:p>
            <w:pPr>
              <w:jc w:val="center"/>
              <w:spacing w:after="0"/>
              <w:rPr>
                <w:sz w:val="20"/>
                <w:szCs w:val="20"/>
                <w:color w:val="auto"/>
              </w:rPr>
            </w:pPr>
            <w:r>
              <w:rPr>
                <w:rFonts w:ascii="Arial" w:cs="Arial" w:eastAsia="Arial" w:hAnsi="Arial"/>
                <w:sz w:val="20"/>
                <w:szCs w:val="20"/>
                <w:b w:val="1"/>
                <w:bCs w:val="1"/>
                <w:color w:val="auto"/>
                <w:w w:val="91"/>
              </w:rPr>
              <w:t>Commitment</w:t>
            </w:r>
          </w:p>
        </w:tc>
      </w:tr>
      <w:tr>
        <w:trPr>
          <w:trHeight w:val="252"/>
        </w:trPr>
        <w:tc>
          <w:tcPr>
            <w:tcW w:w="3440" w:type="dxa"/>
            <w:vAlign w:val="bottom"/>
            <w:gridSpan w:val="2"/>
          </w:tcPr>
          <w:p>
            <w:pPr>
              <w:jc w:val="center"/>
              <w:ind w:right="60"/>
              <w:spacing w:after="0"/>
              <w:rPr>
                <w:sz w:val="20"/>
                <w:szCs w:val="20"/>
                <w:color w:val="auto"/>
              </w:rPr>
            </w:pPr>
            <w:r>
              <w:rPr>
                <w:rFonts w:ascii="Arial" w:cs="Arial" w:eastAsia="Arial" w:hAnsi="Arial"/>
                <w:sz w:val="20"/>
                <w:szCs w:val="20"/>
                <w:b w:val="1"/>
                <w:bCs w:val="1"/>
                <w:color w:val="auto"/>
                <w:w w:val="92"/>
              </w:rPr>
              <w:t>Lender</w:t>
            </w:r>
          </w:p>
        </w:tc>
        <w:tc>
          <w:tcPr>
            <w:tcW w:w="1780" w:type="dxa"/>
            <w:vAlign w:val="bottom"/>
            <w:gridSpan w:val="2"/>
          </w:tcPr>
          <w:p>
            <w:pPr>
              <w:jc w:val="center"/>
              <w:ind w:right="60"/>
              <w:spacing w:after="0"/>
              <w:rPr>
                <w:sz w:val="20"/>
                <w:szCs w:val="20"/>
                <w:color w:val="auto"/>
              </w:rPr>
            </w:pPr>
            <w:r>
              <w:rPr>
                <w:rFonts w:ascii="Arial" w:cs="Arial" w:eastAsia="Arial" w:hAnsi="Arial"/>
                <w:sz w:val="20"/>
                <w:szCs w:val="20"/>
                <w:b w:val="1"/>
                <w:bCs w:val="1"/>
                <w:color w:val="auto"/>
                <w:w w:val="89"/>
              </w:rPr>
              <w:t>Amount</w:t>
            </w:r>
          </w:p>
        </w:tc>
        <w:tc>
          <w:tcPr>
            <w:tcW w:w="1520" w:type="dxa"/>
            <w:vAlign w:val="bottom"/>
          </w:tcPr>
          <w:p>
            <w:pPr>
              <w:jc w:val="center"/>
              <w:spacing w:after="0"/>
              <w:rPr>
                <w:sz w:val="20"/>
                <w:szCs w:val="20"/>
                <w:color w:val="auto"/>
              </w:rPr>
            </w:pPr>
            <w:r>
              <w:rPr>
                <w:rFonts w:ascii="Arial" w:cs="Arial" w:eastAsia="Arial" w:hAnsi="Arial"/>
                <w:sz w:val="20"/>
                <w:szCs w:val="20"/>
                <w:b w:val="1"/>
                <w:bCs w:val="1"/>
                <w:color w:val="auto"/>
                <w:w w:val="85"/>
              </w:rPr>
              <w:t>Percentage</w:t>
            </w:r>
          </w:p>
        </w:tc>
      </w:tr>
      <w:tr>
        <w:trPr>
          <w:trHeight w:val="206"/>
        </w:trPr>
        <w:tc>
          <w:tcPr>
            <w:tcW w:w="34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2"/>
              </w:rPr>
              <w:t>MidCap Financial Trust</w:t>
            </w:r>
          </w:p>
        </w:tc>
        <w:tc>
          <w:tcPr>
            <w:tcW w:w="40" w:type="dxa"/>
            <w:vAlign w:val="bottom"/>
          </w:tcPr>
          <w:p>
            <w:pPr>
              <w:spacing w:after="0"/>
              <w:rPr>
                <w:sz w:val="17"/>
                <w:szCs w:val="17"/>
                <w:color w:val="auto"/>
              </w:rPr>
            </w:pPr>
          </w:p>
        </w:tc>
        <w:tc>
          <w:tcPr>
            <w:tcW w:w="17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$7,500,000</w:t>
            </w:r>
          </w:p>
        </w:tc>
        <w:tc>
          <w:tcPr>
            <w:tcW w:w="40" w:type="dxa"/>
            <w:vAlign w:val="bottom"/>
          </w:tcPr>
          <w:p>
            <w:pPr>
              <w:spacing w:after="0"/>
              <w:rPr>
                <w:sz w:val="17"/>
                <w:szCs w:val="17"/>
                <w:color w:val="auto"/>
              </w:rPr>
            </w:pPr>
          </w:p>
        </w:tc>
        <w:tc>
          <w:tcPr>
            <w:tcW w:w="152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30%</w:t>
            </w:r>
          </w:p>
        </w:tc>
      </w:tr>
      <w:tr>
        <w:trPr>
          <w:trHeight w:val="229"/>
        </w:trPr>
        <w:tc>
          <w:tcPr>
            <w:tcW w:w="3440" w:type="dxa"/>
            <w:vAlign w:val="bottom"/>
            <w:gridSpan w:val="2"/>
          </w:tcPr>
          <w:p>
            <w:pPr>
              <w:jc w:val="center"/>
              <w:ind w:right="60"/>
              <w:spacing w:after="0"/>
              <w:rPr>
                <w:sz w:val="20"/>
                <w:szCs w:val="20"/>
                <w:color w:val="auto"/>
              </w:rPr>
            </w:pPr>
            <w:r>
              <w:rPr>
                <w:rFonts w:ascii="Arial" w:cs="Arial" w:eastAsia="Arial" w:hAnsi="Arial"/>
                <w:sz w:val="20"/>
                <w:szCs w:val="20"/>
                <w:color w:val="auto"/>
                <w:w w:val="95"/>
              </w:rPr>
              <w:t>MidCap Funding XIII Trust</w:t>
            </w:r>
          </w:p>
        </w:tc>
        <w:tc>
          <w:tcPr>
            <w:tcW w:w="1740" w:type="dxa"/>
            <w:vAlign w:val="bottom"/>
          </w:tcPr>
          <w:p>
            <w:pPr>
              <w:jc w:val="center"/>
              <w:spacing w:after="0"/>
              <w:rPr>
                <w:sz w:val="20"/>
                <w:szCs w:val="20"/>
                <w:color w:val="auto"/>
              </w:rPr>
            </w:pPr>
            <w:r>
              <w:rPr>
                <w:rFonts w:ascii="Arial" w:cs="Arial" w:eastAsia="Arial" w:hAnsi="Arial"/>
                <w:sz w:val="20"/>
                <w:szCs w:val="20"/>
                <w:color w:val="auto"/>
                <w:w w:val="89"/>
              </w:rPr>
              <w:t>$15,000,000</w:t>
            </w:r>
          </w:p>
        </w:tc>
        <w:tc>
          <w:tcPr>
            <w:tcW w:w="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auto"/>
                <w:w w:val="89"/>
              </w:rPr>
              <w:t>60%</w:t>
            </w:r>
          </w:p>
        </w:tc>
      </w:tr>
      <w:tr>
        <w:trPr>
          <w:trHeight w:val="250"/>
        </w:trPr>
        <w:tc>
          <w:tcPr>
            <w:tcW w:w="3440" w:type="dxa"/>
            <w:vAlign w:val="bottom"/>
            <w:gridSpan w:val="2"/>
          </w:tcPr>
          <w:p>
            <w:pPr>
              <w:jc w:val="center"/>
              <w:ind w:right="60"/>
              <w:spacing w:after="0"/>
              <w:rPr>
                <w:sz w:val="20"/>
                <w:szCs w:val="20"/>
                <w:color w:val="auto"/>
              </w:rPr>
            </w:pPr>
            <w:r>
              <w:rPr>
                <w:rFonts w:ascii="Arial" w:cs="Arial" w:eastAsia="Arial" w:hAnsi="Arial"/>
                <w:sz w:val="20"/>
                <w:szCs w:val="20"/>
                <w:color w:val="auto"/>
                <w:w w:val="94"/>
              </w:rPr>
              <w:t>Flexpoint MCLS Holdings LLC</w:t>
            </w:r>
          </w:p>
        </w:tc>
        <w:tc>
          <w:tcPr>
            <w:tcW w:w="1740" w:type="dxa"/>
            <w:vAlign w:val="bottom"/>
          </w:tcPr>
          <w:p>
            <w:pPr>
              <w:jc w:val="center"/>
              <w:spacing w:after="0"/>
              <w:rPr>
                <w:sz w:val="20"/>
                <w:szCs w:val="20"/>
                <w:color w:val="auto"/>
              </w:rPr>
            </w:pPr>
            <w:r>
              <w:rPr>
                <w:rFonts w:ascii="Arial" w:cs="Arial" w:eastAsia="Arial" w:hAnsi="Arial"/>
                <w:sz w:val="20"/>
                <w:szCs w:val="20"/>
                <w:color w:val="auto"/>
                <w:w w:val="87"/>
              </w:rPr>
              <w:t>$2,500,000</w:t>
            </w:r>
          </w:p>
        </w:tc>
        <w:tc>
          <w:tcPr>
            <w:tcW w:w="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auto"/>
                <w:w w:val="89"/>
              </w:rPr>
              <w:t>10%</w:t>
            </w:r>
          </w:p>
        </w:tc>
      </w:tr>
      <w:tr>
        <w:trPr>
          <w:trHeight w:val="459"/>
        </w:trPr>
        <w:tc>
          <w:tcPr>
            <w:tcW w:w="3440" w:type="dxa"/>
            <w:vAlign w:val="bottom"/>
            <w:gridSpan w:val="2"/>
          </w:tcPr>
          <w:p>
            <w:pPr>
              <w:jc w:val="center"/>
              <w:ind w:right="60"/>
              <w:spacing w:after="0"/>
              <w:rPr>
                <w:sz w:val="20"/>
                <w:szCs w:val="20"/>
                <w:color w:val="auto"/>
              </w:rPr>
            </w:pPr>
            <w:r>
              <w:rPr>
                <w:rFonts w:ascii="Arial" w:cs="Arial" w:eastAsia="Arial" w:hAnsi="Arial"/>
                <w:sz w:val="20"/>
                <w:szCs w:val="20"/>
                <w:color w:val="auto"/>
                <w:w w:val="95"/>
              </w:rPr>
              <w:t>TOTALS</w:t>
            </w:r>
          </w:p>
        </w:tc>
        <w:tc>
          <w:tcPr>
            <w:tcW w:w="1740" w:type="dxa"/>
            <w:vAlign w:val="bottom"/>
          </w:tcPr>
          <w:p>
            <w:pPr>
              <w:jc w:val="center"/>
              <w:spacing w:after="0"/>
              <w:rPr>
                <w:sz w:val="20"/>
                <w:szCs w:val="20"/>
                <w:color w:val="auto"/>
              </w:rPr>
            </w:pPr>
            <w:r>
              <w:rPr>
                <w:rFonts w:ascii="Arial" w:cs="Arial" w:eastAsia="Arial" w:hAnsi="Arial"/>
                <w:sz w:val="20"/>
                <w:szCs w:val="20"/>
                <w:color w:val="auto"/>
                <w:w w:val="89"/>
              </w:rPr>
              <w:t>$25,000,000.00</w:t>
            </w:r>
          </w:p>
        </w:tc>
        <w:tc>
          <w:tcPr>
            <w:tcW w:w="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auto"/>
                <w:w w:val="89"/>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t>Exhibit A to Credit Agreement (Reserved)</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25" w:name="page226"/>
    <w:bookmarkEnd w:id="225"/>
    <w:p>
      <w:pPr>
        <w:jc w:val="center"/>
        <w:spacing w:after="0"/>
        <w:rPr>
          <w:sz w:val="20"/>
          <w:szCs w:val="20"/>
          <w:color w:val="auto"/>
        </w:rPr>
      </w:pPr>
      <w:r>
        <w:rPr>
          <w:rFonts w:ascii="Arial" w:cs="Arial" w:eastAsia="Arial" w:hAnsi="Arial"/>
          <w:sz w:val="20"/>
          <w:szCs w:val="20"/>
          <w:b w:val="1"/>
          <w:bCs w:val="1"/>
          <w:color w:val="auto"/>
        </w:rPr>
        <w:t>Exhibit B to Credit Agreement (Form of Compliance Certificate)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CERTIFICATE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Compliance Certificate is given by _____________________, a Responsible Officer of </w:t>
      </w:r>
      <w:r>
        <w:rPr>
          <w:rFonts w:ascii="Arial" w:cs="Arial" w:eastAsia="Arial" w:hAnsi="Arial"/>
          <w:sz w:val="18"/>
          <w:szCs w:val="18"/>
          <w:b w:val="1"/>
          <w:bCs w:val="1"/>
          <w:color w:val="auto"/>
        </w:rPr>
        <w:t>Aptevo Therapeutics Inc.</w:t>
      </w:r>
      <w:r>
        <w:rPr>
          <w:rFonts w:ascii="Arial" w:cs="Arial" w:eastAsia="Arial" w:hAnsi="Arial"/>
          <w:sz w:val="18"/>
          <w:szCs w:val="18"/>
          <w:color w:val="auto"/>
        </w:rPr>
        <w:t xml:space="preserve"> (the “</w:t>
      </w:r>
      <w:r>
        <w:rPr>
          <w:rFonts w:ascii="Arial" w:cs="Arial" w:eastAsia="Arial" w:hAnsi="Arial"/>
          <w:sz w:val="18"/>
          <w:szCs w:val="18"/>
          <w:b w:val="1"/>
          <w:bCs w:val="1"/>
          <w:color w:val="auto"/>
        </w:rPr>
        <w:t>Borrower</w:t>
      </w:r>
    </w:p>
    <w:p>
      <w:pPr>
        <w:spacing w:after="0" w:line="4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Representative</w:t>
      </w:r>
      <w:r>
        <w:rPr>
          <w:rFonts w:ascii="Arial" w:cs="Arial" w:eastAsia="Arial" w:hAnsi="Arial"/>
          <w:sz w:val="18"/>
          <w:szCs w:val="18"/>
          <w:color w:val="auto"/>
        </w:rPr>
        <w:t>”), pursuant to that certain Credit and Security Agreement dated as of August 5, 2020 among Borrower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Aptevo Research and Development LLC, and any additional Borrower that may hereafter be added thereto (collectively, “</w:t>
      </w:r>
      <w:r>
        <w:rPr>
          <w:rFonts w:ascii="Arial" w:cs="Arial" w:eastAsia="Arial" w:hAnsi="Arial"/>
          <w:sz w:val="18"/>
          <w:szCs w:val="18"/>
          <w:b w:val="1"/>
          <w:bCs w:val="1"/>
          <w:color w:val="auto"/>
        </w:rPr>
        <w:t>Borrowers</w:t>
      </w:r>
      <w:r>
        <w:rPr>
          <w:rFonts w:ascii="Arial" w:cs="Arial" w:eastAsia="Arial" w:hAnsi="Arial"/>
          <w:sz w:val="18"/>
          <w:szCs w:val="18"/>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Capitalized terms used herein without definition shall have the meanings set forth in the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Responsible Officer hereby certifies to Agent and Lenders that:</w:t>
      </w:r>
    </w:p>
    <w:p>
      <w:pPr>
        <w:spacing w:after="0" w:line="216" w:lineRule="exact"/>
        <w:rPr>
          <w:sz w:val="20"/>
          <w:szCs w:val="20"/>
          <w:color w:val="auto"/>
        </w:rPr>
      </w:pPr>
    </w:p>
    <w:p>
      <w:pPr>
        <w:jc w:val="both"/>
        <w:ind w:firstLine="8"/>
        <w:spacing w:after="0" w:line="246" w:lineRule="auto"/>
        <w:tabs>
          <w:tab w:leader="none" w:pos="86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financial statements delivered with this certificate in accordance with Section 4.1 of the Credit Agreement fairly present in all material respects the results of operations and financial condition of Borrowers and their Consolidated Subsidiaries as of the dates and the accounting period covered by such financial statements, subject, in the case of interim financial statements, to year end reconciliation and the absence of footnotes;</w:t>
      </w:r>
    </w:p>
    <w:p>
      <w:pPr>
        <w:spacing w:after="0" w:line="191" w:lineRule="exact"/>
        <w:rPr>
          <w:rFonts w:ascii="Arial" w:cs="Arial" w:eastAsia="Arial" w:hAnsi="Arial"/>
          <w:sz w:val="20"/>
          <w:szCs w:val="20"/>
          <w:color w:val="auto"/>
        </w:rPr>
      </w:pPr>
    </w:p>
    <w:p>
      <w:pPr>
        <w:jc w:val="both"/>
        <w:ind w:firstLine="8"/>
        <w:spacing w:after="0" w:line="259" w:lineRule="auto"/>
        <w:tabs>
          <w:tab w:leader="none" w:pos="879"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I have reviewed the terms of the Credit Agreement and have made, or caused to be made under my supervision, a review in reasonable detail of the transactions and conditions of Borrowers and their Consolidated Subsidiaries during the accounting period covered by such financial statements, and such review has not disclosed the existence during or at the end of such accounting period, and I have no knowledge of the existence as of the date hereof, of any condition or event that constitutes a Default or an Event of Default, except as set forth in </w:t>
      </w:r>
      <w:r>
        <w:rPr>
          <w:rFonts w:ascii="Arial" w:cs="Arial" w:eastAsia="Arial" w:hAnsi="Arial"/>
          <w:sz w:val="19"/>
          <w:szCs w:val="19"/>
          <w:b w:val="1"/>
          <w:bCs w:val="1"/>
          <w:u w:val="single" w:color="auto"/>
          <w:color w:val="auto"/>
        </w:rPr>
        <w:t>Schedule 1</w:t>
      </w:r>
      <w:r>
        <w:rPr>
          <w:rFonts w:ascii="Arial" w:cs="Arial" w:eastAsia="Arial" w:hAnsi="Arial"/>
          <w:sz w:val="19"/>
          <w:szCs w:val="19"/>
          <w:color w:val="auto"/>
        </w:rPr>
        <w:t xml:space="preserve"> hereto, which includes a description of the nature and period of existence of such Default or an Event of Default and what action Borrowers have taken, are undertaking and propose to take with respect thereto;</w:t>
      </w:r>
    </w:p>
    <w:p>
      <w:pPr>
        <w:spacing w:after="0" w:line="172" w:lineRule="exact"/>
        <w:rPr>
          <w:rFonts w:ascii="Arial" w:cs="Arial" w:eastAsia="Arial" w:hAnsi="Arial"/>
          <w:sz w:val="19"/>
          <w:szCs w:val="19"/>
          <w:color w:val="auto"/>
        </w:rPr>
      </w:pPr>
    </w:p>
    <w:p>
      <w:pPr>
        <w:jc w:val="both"/>
        <w:ind w:firstLine="8"/>
        <w:spacing w:after="0" w:line="272" w:lineRule="auto"/>
        <w:tabs>
          <w:tab w:leader="none" w:pos="868"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except as noted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attached hereto, </w:t>
      </w:r>
      <w:r>
        <w:rPr>
          <w:rFonts w:ascii="Arial" w:cs="Arial" w:eastAsia="Arial" w:hAnsi="Arial"/>
          <w:sz w:val="19"/>
          <w:szCs w:val="19"/>
          <w:u w:val="single" w:color="auto"/>
          <w:color w:val="auto"/>
        </w:rPr>
        <w:t>Schedule 9.2</w:t>
      </w:r>
      <w:r>
        <w:rPr>
          <w:rFonts w:ascii="Arial" w:cs="Arial" w:eastAsia="Arial" w:hAnsi="Arial"/>
          <w:sz w:val="19"/>
          <w:szCs w:val="19"/>
          <w:color w:val="auto"/>
        </w:rPr>
        <w:t xml:space="preserve"> to the Credit Agreement contains a complete and accurate list of all business locations of Borrowers and Guarantors and all names under which Borrowers and Guarantors currently conduct business;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specifically notes any changes in the names under which any Borrower or Guarantors conduct business;</w:t>
      </w:r>
    </w:p>
    <w:p>
      <w:pPr>
        <w:spacing w:after="0" w:line="161" w:lineRule="exact"/>
        <w:rPr>
          <w:rFonts w:ascii="Arial" w:cs="Arial" w:eastAsia="Arial" w:hAnsi="Arial"/>
          <w:sz w:val="19"/>
          <w:szCs w:val="19"/>
          <w:color w:val="auto"/>
        </w:rPr>
      </w:pPr>
    </w:p>
    <w:p>
      <w:pPr>
        <w:jc w:val="both"/>
        <w:ind w:firstLine="8"/>
        <w:spacing w:after="0" w:line="248" w:lineRule="auto"/>
        <w:tabs>
          <w:tab w:leader="none" w:pos="879"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3</w:t>
      </w:r>
      <w:r>
        <w:rPr>
          <w:rFonts w:ascii="Arial" w:cs="Arial" w:eastAsia="Arial" w:hAnsi="Arial"/>
          <w:sz w:val="20"/>
          <w:szCs w:val="20"/>
          <w:color w:val="auto"/>
        </w:rPr>
        <w:t xml:space="preserve"> attached hereto, the undersigned has no knowledge of (i) any federal or state tax liens having been filed against any Borrower, Guarantor or any Collateral, or (ii) any failure of any Borrower or any Guarantors to make required payments of withholding or other tax obligations of any Borrower or any Guarantors during the accounting period to which the attached statements pertain or any subsequent period;</w:t>
      </w:r>
    </w:p>
    <w:p>
      <w:pPr>
        <w:spacing w:after="0" w:line="183" w:lineRule="exact"/>
        <w:rPr>
          <w:rFonts w:ascii="Arial" w:cs="Arial" w:eastAsia="Arial" w:hAnsi="Arial"/>
          <w:sz w:val="20"/>
          <w:szCs w:val="20"/>
          <w:color w:val="auto"/>
        </w:rPr>
      </w:pPr>
    </w:p>
    <w:p>
      <w:pPr>
        <w:ind w:firstLine="8"/>
        <w:spacing w:after="0" w:line="267" w:lineRule="auto"/>
        <w:tabs>
          <w:tab w:leader="none" w:pos="86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4</w:t>
      </w:r>
      <w:r>
        <w:rPr>
          <w:rFonts w:ascii="Arial" w:cs="Arial" w:eastAsia="Arial" w:hAnsi="Arial"/>
          <w:sz w:val="20"/>
          <w:szCs w:val="20"/>
          <w:color w:val="auto"/>
        </w:rPr>
        <w:t xml:space="preserve"> attached hereto,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to the Credit Agreement contains a complete and accurate statement of all deposit accounts or investment accounts maintained by Borrowers and Guarantors;</w:t>
      </w:r>
    </w:p>
    <w:p>
      <w:pPr>
        <w:spacing w:after="0" w:line="163" w:lineRule="exact"/>
        <w:rPr>
          <w:rFonts w:ascii="Arial" w:cs="Arial" w:eastAsia="Arial" w:hAnsi="Arial"/>
          <w:sz w:val="20"/>
          <w:szCs w:val="20"/>
          <w:color w:val="auto"/>
        </w:rPr>
      </w:pPr>
    </w:p>
    <w:p>
      <w:pPr>
        <w:jc w:val="both"/>
        <w:ind w:firstLine="8"/>
        <w:spacing w:after="0" w:line="253" w:lineRule="auto"/>
        <w:tabs>
          <w:tab w:leader="none" w:pos="846"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5</w:t>
      </w:r>
      <w:r>
        <w:rPr>
          <w:rFonts w:ascii="Arial" w:cs="Arial" w:eastAsia="Arial" w:hAnsi="Arial"/>
          <w:sz w:val="20"/>
          <w:szCs w:val="20"/>
          <w:color w:val="auto"/>
        </w:rPr>
        <w:t xml:space="preserve"> attached hereto and </w:t>
      </w:r>
      <w:r>
        <w:rPr>
          <w:rFonts w:ascii="Arial" w:cs="Arial" w:eastAsia="Arial" w:hAnsi="Arial"/>
          <w:sz w:val="20"/>
          <w:szCs w:val="20"/>
          <w:u w:val="single" w:color="auto"/>
          <w:color w:val="auto"/>
        </w:rPr>
        <w:t>Schedule 3.6</w:t>
      </w:r>
      <w:r>
        <w:rPr>
          <w:rFonts w:ascii="Arial" w:cs="Arial" w:eastAsia="Arial" w:hAnsi="Arial"/>
          <w:sz w:val="20"/>
          <w:szCs w:val="20"/>
          <w:color w:val="auto"/>
        </w:rPr>
        <w:t xml:space="preserve"> to the Credit Agreement, the undersigned has no knowledge of any current, pending or threatened: (i) litigation against the Borrowers or any Guarantors, (ii) material inquiries, investigations or proceedings concerning the business affairs,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6" w:name="page227"/>
    <w:bookmarkEnd w:id="226"/>
    <w:p>
      <w:pPr>
        <w:spacing w:after="0" w:line="260" w:lineRule="auto"/>
        <w:rPr>
          <w:sz w:val="20"/>
          <w:szCs w:val="20"/>
          <w:color w:val="auto"/>
        </w:rPr>
      </w:pPr>
      <w:r>
        <w:rPr>
          <w:rFonts w:ascii="Arial" w:cs="Arial" w:eastAsia="Arial" w:hAnsi="Arial"/>
          <w:sz w:val="20"/>
          <w:szCs w:val="20"/>
          <w:color w:val="auto"/>
        </w:rPr>
        <w:t>practices, licensing or reimbursement entitlements of Borrowers or any Guarantors, or (iii) material default by Borrowers or any Guarantors under any Material Contract to which it is a party;</w:t>
      </w:r>
    </w:p>
    <w:p>
      <w:pPr>
        <w:spacing w:after="0" w:line="171" w:lineRule="exact"/>
        <w:rPr>
          <w:sz w:val="20"/>
          <w:szCs w:val="20"/>
          <w:color w:val="auto"/>
        </w:rPr>
      </w:pPr>
    </w:p>
    <w:p>
      <w:pPr>
        <w:jc w:val="both"/>
        <w:ind w:firstLine="8"/>
        <w:spacing w:after="0" w:line="259" w:lineRule="auto"/>
        <w:tabs>
          <w:tab w:leader="none" w:pos="879"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except as noted on </w:t>
      </w:r>
      <w:r>
        <w:rPr>
          <w:rFonts w:ascii="Arial" w:cs="Arial" w:eastAsia="Arial" w:hAnsi="Arial"/>
          <w:sz w:val="19"/>
          <w:szCs w:val="19"/>
          <w:b w:val="1"/>
          <w:bCs w:val="1"/>
          <w:u w:val="single" w:color="auto"/>
          <w:color w:val="auto"/>
        </w:rPr>
        <w:t>Schedule 6</w:t>
      </w:r>
      <w:r>
        <w:rPr>
          <w:rFonts w:ascii="Arial" w:cs="Arial" w:eastAsia="Arial" w:hAnsi="Arial"/>
          <w:sz w:val="19"/>
          <w:szCs w:val="19"/>
          <w:color w:val="auto"/>
        </w:rPr>
        <w:t xml:space="preserve"> attached hereto, no Borrower or Guarantor has acquired, by purchase, by the approval or granting of any application for registration (whether or not such application was previously disclosed to Agent by Borrowers) or otherwise, any Intellectual Property that is registered with any United States or foreign Governmental Authority, or has filed with any such United States or foreign Governmental Authority, any new application for the registration of any Intellectual Property, or acquired rights under a license as a licensee with respect to any such registered Intellectual Property (or any such application for the registration of Intellectual Property) owned by another Person, that has not previously been reported to Agent on </w:t>
      </w:r>
      <w:r>
        <w:rPr>
          <w:rFonts w:ascii="Arial" w:cs="Arial" w:eastAsia="Arial" w:hAnsi="Arial"/>
          <w:sz w:val="19"/>
          <w:szCs w:val="19"/>
          <w:u w:val="single" w:color="auto"/>
          <w:color w:val="auto"/>
        </w:rPr>
        <w:t>Schedule 3.17</w:t>
      </w:r>
      <w:r>
        <w:rPr>
          <w:rFonts w:ascii="Arial" w:cs="Arial" w:eastAsia="Arial" w:hAnsi="Arial"/>
          <w:sz w:val="19"/>
          <w:szCs w:val="19"/>
          <w:color w:val="auto"/>
        </w:rPr>
        <w:t xml:space="preserve"> to the Credit Agreement or any </w:t>
      </w:r>
      <w:r>
        <w:rPr>
          <w:rFonts w:ascii="Arial" w:cs="Arial" w:eastAsia="Arial" w:hAnsi="Arial"/>
          <w:sz w:val="19"/>
          <w:szCs w:val="19"/>
          <w:b w:val="1"/>
          <w:bCs w:val="1"/>
          <w:u w:val="single" w:color="auto"/>
          <w:color w:val="auto"/>
        </w:rPr>
        <w:t>Schedule 6</w:t>
      </w:r>
      <w:r>
        <w:rPr>
          <w:rFonts w:ascii="Arial" w:cs="Arial" w:eastAsia="Arial" w:hAnsi="Arial"/>
          <w:sz w:val="19"/>
          <w:szCs w:val="19"/>
          <w:color w:val="auto"/>
        </w:rPr>
        <w:t xml:space="preserve"> to any previous Compliance Certificate delivered by Borrower to Agent;</w:t>
      </w:r>
    </w:p>
    <w:p>
      <w:pPr>
        <w:spacing w:after="0" w:line="172" w:lineRule="exact"/>
        <w:rPr>
          <w:rFonts w:ascii="Arial" w:cs="Arial" w:eastAsia="Arial" w:hAnsi="Arial"/>
          <w:sz w:val="19"/>
          <w:szCs w:val="19"/>
          <w:color w:val="auto"/>
        </w:rPr>
      </w:pPr>
    </w:p>
    <w:p>
      <w:pPr>
        <w:jc w:val="both"/>
        <w:ind w:firstLine="8"/>
        <w:spacing w:after="0" w:line="253" w:lineRule="auto"/>
        <w:tabs>
          <w:tab w:leader="none" w:pos="879"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7</w:t>
      </w:r>
      <w:r>
        <w:rPr>
          <w:rFonts w:ascii="Arial" w:cs="Arial" w:eastAsia="Arial" w:hAnsi="Arial"/>
          <w:sz w:val="20"/>
          <w:szCs w:val="20"/>
          <w:color w:val="auto"/>
        </w:rPr>
        <w:t xml:space="preserve"> attached hereto, no Borrower or Guarantor has acquired, by purchase or otherwise, any Chattel Paper, Letter of Credit Rights, Instruments, Documents or Investment Property that has not previously been reported to Agent on any </w:t>
      </w:r>
      <w:r>
        <w:rPr>
          <w:rFonts w:ascii="Arial" w:cs="Arial" w:eastAsia="Arial" w:hAnsi="Arial"/>
          <w:sz w:val="20"/>
          <w:szCs w:val="20"/>
          <w:b w:val="1"/>
          <w:bCs w:val="1"/>
          <w:u w:val="single" w:color="auto"/>
          <w:color w:val="auto"/>
        </w:rPr>
        <w:t>Schedule 7</w:t>
      </w:r>
      <w:r>
        <w:rPr>
          <w:rFonts w:ascii="Arial" w:cs="Arial" w:eastAsia="Arial" w:hAnsi="Arial"/>
          <w:sz w:val="20"/>
          <w:szCs w:val="20"/>
          <w:b w:val="1"/>
          <w:bCs w:val="1"/>
          <w:color w:val="auto"/>
        </w:rPr>
        <w:t xml:space="preserve"> </w:t>
      </w:r>
      <w:r>
        <w:rPr>
          <w:rFonts w:ascii="Arial" w:cs="Arial" w:eastAsia="Arial" w:hAnsi="Arial"/>
          <w:sz w:val="20"/>
          <w:szCs w:val="20"/>
          <w:color w:val="auto"/>
        </w:rPr>
        <w:t>to any previous Compliance Certificate delivered by Borrower Representative to Agent;</w:t>
      </w:r>
    </w:p>
    <w:p>
      <w:pPr>
        <w:spacing w:after="0" w:line="177" w:lineRule="exact"/>
        <w:rPr>
          <w:rFonts w:ascii="Arial" w:cs="Arial" w:eastAsia="Arial" w:hAnsi="Arial"/>
          <w:sz w:val="20"/>
          <w:szCs w:val="20"/>
          <w:color w:val="auto"/>
        </w:rPr>
      </w:pPr>
    </w:p>
    <w:p>
      <w:pPr>
        <w:jc w:val="both"/>
        <w:ind w:firstLine="8"/>
        <w:spacing w:after="0" w:line="253" w:lineRule="auto"/>
        <w:tabs>
          <w:tab w:leader="none" w:pos="835"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except as noted on </w:t>
      </w:r>
      <w:r>
        <w:rPr>
          <w:rFonts w:ascii="Arial" w:cs="Arial" w:eastAsia="Arial" w:hAnsi="Arial"/>
          <w:sz w:val="20"/>
          <w:szCs w:val="20"/>
          <w:b w:val="1"/>
          <w:bCs w:val="1"/>
          <w:u w:val="single" w:color="auto"/>
          <w:color w:val="auto"/>
        </w:rPr>
        <w:t>Schedule 8</w:t>
      </w:r>
      <w:r>
        <w:rPr>
          <w:rFonts w:ascii="Arial" w:cs="Arial" w:eastAsia="Arial" w:hAnsi="Arial"/>
          <w:sz w:val="20"/>
          <w:szCs w:val="20"/>
          <w:color w:val="auto"/>
        </w:rPr>
        <w:t xml:space="preserve"> attached hereto, no Borrower or Guarantor is aware of any commercial tort claim that has not previously been reported to Agent on any </w:t>
      </w:r>
      <w:r>
        <w:rPr>
          <w:rFonts w:ascii="Arial" w:cs="Arial" w:eastAsia="Arial" w:hAnsi="Arial"/>
          <w:sz w:val="20"/>
          <w:szCs w:val="20"/>
          <w:b w:val="1"/>
          <w:bCs w:val="1"/>
          <w:u w:val="single" w:color="auto"/>
          <w:color w:val="auto"/>
        </w:rPr>
        <w:t>Schedule 8</w:t>
      </w:r>
      <w:r>
        <w:rPr>
          <w:rFonts w:ascii="Arial" w:cs="Arial" w:eastAsia="Arial" w:hAnsi="Arial"/>
          <w:sz w:val="20"/>
          <w:szCs w:val="20"/>
          <w:color w:val="auto"/>
        </w:rPr>
        <w:t xml:space="preserve"> to any previous Compliance Certificate delivered by Borrower Representative to Agent; and</w:t>
      </w:r>
    </w:p>
    <w:p>
      <w:pPr>
        <w:spacing w:after="0" w:line="183" w:lineRule="exact"/>
        <w:rPr>
          <w:rFonts w:ascii="Arial" w:cs="Arial" w:eastAsia="Arial" w:hAnsi="Arial"/>
          <w:sz w:val="20"/>
          <w:szCs w:val="20"/>
          <w:color w:val="auto"/>
        </w:rPr>
      </w:pPr>
    </w:p>
    <w:p>
      <w:pPr>
        <w:ind w:left="840" w:hanging="832"/>
        <w:spacing w:after="0"/>
        <w:tabs>
          <w:tab w:leader="none" w:pos="8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aggregate amounts of all Royalties received by or on behalf of Borrower and its Subsidiaries during the calendar quarter</w:t>
      </w:r>
    </w:p>
    <w:p>
      <w:pPr>
        <w:spacing w:after="0" w:line="38" w:lineRule="exact"/>
        <w:rPr>
          <w:sz w:val="20"/>
          <w:szCs w:val="20"/>
          <w:color w:val="auto"/>
        </w:rPr>
      </w:pPr>
    </w:p>
    <w:p>
      <w:pPr>
        <w:spacing w:after="0"/>
        <w:tabs>
          <w:tab w:leader="none" w:pos="3800" w:val="left"/>
        </w:tabs>
        <w:rPr>
          <w:sz w:val="20"/>
          <w:szCs w:val="20"/>
          <w:color w:val="auto"/>
        </w:rPr>
      </w:pPr>
      <w:r>
        <w:rPr>
          <w:rFonts w:ascii="Arial" w:cs="Arial" w:eastAsia="Arial" w:hAnsi="Arial"/>
          <w:sz w:val="20"/>
          <w:szCs w:val="20"/>
          <w:color w:val="auto"/>
        </w:rPr>
        <w:t>ending on _____________, 202__ is $[</w:t>
      </w:r>
      <w:r>
        <w:rPr>
          <w:sz w:val="20"/>
          <w:szCs w:val="20"/>
          <w:color w:val="auto"/>
        </w:rPr>
        <w:tab/>
      </w:r>
      <w:r>
        <w:rPr>
          <w:rFonts w:ascii="Arial" w:cs="Arial" w:eastAsia="Arial" w:hAnsi="Arial"/>
          <w:sz w:val="16"/>
          <w:szCs w:val="16"/>
          <w:color w:val="auto"/>
        </w:rPr>
        <w:t>] as detailed in the attached report.]</w:t>
      </w:r>
      <w:r>
        <w:rPr>
          <w:rFonts w:ascii="Arial" w:cs="Arial" w:eastAsia="Arial" w:hAnsi="Arial"/>
          <w:sz w:val="13"/>
          <w:szCs w:val="13"/>
          <w:color w:val="auto"/>
        </w:rPr>
        <w:t>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certifications and computations are made as of ________________, 202__ (end of month) and as of _____________, 202__.</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Aptevo Therapeutics Inc.</w:t>
      </w:r>
    </w:p>
    <w:p>
      <w:pPr>
        <w:spacing w:after="0" w:line="200" w:lineRule="exact"/>
        <w:rPr>
          <w:sz w:val="20"/>
          <w:szCs w:val="20"/>
          <w:color w:val="auto"/>
        </w:rPr>
      </w:pPr>
    </w:p>
    <w:p>
      <w:pPr>
        <w:spacing w:after="0" w:line="265"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10160</wp:posOffset>
            </wp:positionV>
            <wp:extent cx="33000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5715</wp:posOffset>
            </wp:positionV>
            <wp:extent cx="33000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5715</wp:posOffset>
            </wp:positionV>
            <wp:extent cx="33000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0" w:right="260" w:hanging="132"/>
        <w:spacing w:after="0" w:line="277" w:lineRule="auto"/>
        <w:tabs>
          <w:tab w:leader="none" w:pos="140" w:val="left"/>
        </w:tabs>
        <w:numPr>
          <w:ilvl w:val="0"/>
          <w:numId w:val="200"/>
        </w:numPr>
        <w:rPr>
          <w:rFonts w:ascii="Arial" w:cs="Arial" w:eastAsia="Arial" w:hAnsi="Arial"/>
          <w:sz w:val="15"/>
          <w:szCs w:val="15"/>
          <w:color w:val="auto"/>
        </w:rPr>
      </w:pPr>
      <w:r>
        <w:rPr>
          <w:rFonts w:ascii="Arial" w:cs="Arial" w:eastAsia="Arial" w:hAnsi="Arial"/>
          <w:sz w:val="18"/>
          <w:szCs w:val="18"/>
          <w:color w:val="auto"/>
        </w:rPr>
        <w:t>To be included only with respect to quarterly compliance certificates; to include the dates of payment of such Royalties, the payor(s) of such Royalties and the net sales upon which such Royalties were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230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t>Exhibit C to Credit Agreement (Reserved)</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28" w:name="page229"/>
    <w:bookmarkEnd w:id="228"/>
    <w:p>
      <w:pPr>
        <w:jc w:val="center"/>
        <w:spacing w:after="0"/>
        <w:rPr>
          <w:sz w:val="20"/>
          <w:szCs w:val="20"/>
          <w:color w:val="auto"/>
        </w:rPr>
      </w:pPr>
      <w:r>
        <w:rPr>
          <w:rFonts w:ascii="Arial" w:cs="Arial" w:eastAsia="Arial" w:hAnsi="Arial"/>
          <w:sz w:val="20"/>
          <w:szCs w:val="20"/>
          <w:b w:val="1"/>
          <w:bCs w:val="1"/>
          <w:color w:val="auto"/>
        </w:rPr>
        <w:t>Exhibit D to Credit Agreement (Form of Notice of Borrowing)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BORROWING</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This Notice of Borrowing is given by _____________________, a Responsible Officer of </w:t>
      </w:r>
      <w:r>
        <w:rPr>
          <w:rFonts w:ascii="Arial" w:cs="Arial" w:eastAsia="Arial" w:hAnsi="Arial"/>
          <w:sz w:val="19"/>
          <w:szCs w:val="19"/>
          <w:b w:val="1"/>
          <w:bCs w:val="1"/>
          <w:color w:val="auto"/>
        </w:rPr>
        <w:t>Aptevo Therapeutics Inc.</w:t>
      </w:r>
      <w:r>
        <w:rPr>
          <w:rFonts w:ascii="Arial" w:cs="Arial" w:eastAsia="Arial" w:hAnsi="Arial"/>
          <w:sz w:val="19"/>
          <w:szCs w:val="19"/>
          <w:color w:val="auto"/>
        </w:rPr>
        <w:t xml:space="preserve"> (the “</w:t>
      </w:r>
      <w:r>
        <w:rPr>
          <w:rFonts w:ascii="Arial" w:cs="Arial" w:eastAsia="Arial" w:hAnsi="Arial"/>
          <w:sz w:val="19"/>
          <w:szCs w:val="19"/>
          <w:b w:val="1"/>
          <w:bCs w:val="1"/>
          <w:color w:val="auto"/>
        </w:rPr>
        <w:t>Borrower</w:t>
      </w:r>
    </w:p>
    <w:p>
      <w:pPr>
        <w:spacing w:after="0" w:line="3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Representative</w:t>
      </w:r>
      <w:r>
        <w:rPr>
          <w:rFonts w:ascii="Arial" w:cs="Arial" w:eastAsia="Arial" w:hAnsi="Arial"/>
          <w:sz w:val="18"/>
          <w:szCs w:val="18"/>
          <w:color w:val="auto"/>
        </w:rPr>
        <w:t>”), pursuant to that certain Credit and Security Agreement dated as of August 5, 2020 among Borrower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Aptevo Research and Development LLC, and any additional Borrower that may hereafter be added thereto (collectively, “</w:t>
      </w:r>
      <w:r>
        <w:rPr>
          <w:rFonts w:ascii="Arial" w:cs="Arial" w:eastAsia="Arial" w:hAnsi="Arial"/>
          <w:sz w:val="18"/>
          <w:szCs w:val="18"/>
          <w:b w:val="1"/>
          <w:bCs w:val="1"/>
          <w:color w:val="auto"/>
        </w:rPr>
        <w:t>Borrowers</w:t>
      </w:r>
      <w:r>
        <w:rPr>
          <w:rFonts w:ascii="Arial" w:cs="Arial" w:eastAsia="Arial" w:hAnsi="Arial"/>
          <w:sz w:val="18"/>
          <w:szCs w:val="18"/>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Capitalized terms used herein without definition shall have the meanings set forth in the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Responsible Officer hereby gives notice to Agent of Borrower Representative’s request to borrow $_______________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Term Loans on ________________, 202__.</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undersigned officer hereby certifies that, both before and after giving effect to the request above (a) each of the conditions precedent set forth in Section 7.2 have been satisfied, (b) all of the representations and warranties contained in the Credit Agreement and the other Financing Documents are true, correct and complete in all material respects as of the date hereof, except to the extent such representation or warranty relates to a specific date, in which case such representation or warranty is true, correct and complete as of such earlier date; </w:t>
      </w:r>
      <w:r>
        <w:rPr>
          <w:rFonts w:ascii="Arial" w:cs="Arial" w:eastAsia="Arial" w:hAnsi="Arial"/>
          <w:sz w:val="20"/>
          <w:szCs w:val="20"/>
          <w:i w:val="1"/>
          <w:iCs w:val="1"/>
          <w:color w:val="auto"/>
        </w:rPr>
        <w:t>provided, however</w:t>
      </w:r>
      <w:r>
        <w:rPr>
          <w:rFonts w:ascii="Arial" w:cs="Arial" w:eastAsia="Arial" w:hAnsi="Arial"/>
          <w:sz w:val="20"/>
          <w:szCs w:val="20"/>
          <w:color w:val="auto"/>
        </w:rPr>
        <w:t>, in each case, such materiality qualifier shall not be applicable to any representations and warranties that already are</w:t>
      </w:r>
      <w:r>
        <w:rPr>
          <w:rFonts w:ascii="Arial" w:cs="Arial" w:eastAsia="Arial" w:hAnsi="Arial"/>
          <w:sz w:val="20"/>
          <w:szCs w:val="20"/>
          <w:i w:val="1"/>
          <w:iCs w:val="1"/>
          <w:color w:val="auto"/>
        </w:rPr>
        <w:t xml:space="preserve"> </w:t>
      </w:r>
      <w:r>
        <w:rPr>
          <w:rFonts w:ascii="Arial" w:cs="Arial" w:eastAsia="Arial" w:hAnsi="Arial"/>
          <w:sz w:val="20"/>
          <w:szCs w:val="20"/>
          <w:color w:val="auto"/>
        </w:rPr>
        <w:t>qualified or modified by materiality in the text thereof, and (c) no Default or Event of Default has occurred and is continuing on the date 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officer has executed and delivered this Notice of Borrowing this ____ day of ___________,</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202__.</w:t>
      </w:r>
    </w:p>
    <w:p>
      <w:pPr>
        <w:spacing w:after="0" w:line="213" w:lineRule="exact"/>
        <w:rPr>
          <w:sz w:val="20"/>
          <w:szCs w:val="20"/>
          <w:color w:val="auto"/>
        </w:rPr>
      </w:pPr>
    </w:p>
    <w:p>
      <w:pPr>
        <w:jc w:val="center"/>
        <w:ind w:left="52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Aptevo Therapeutics Inc.</w:t>
      </w:r>
    </w:p>
    <w:p>
      <w:pPr>
        <w:spacing w:after="0" w:line="200" w:lineRule="exact"/>
        <w:rPr>
          <w:sz w:val="20"/>
          <w:szCs w:val="20"/>
          <w:color w:val="auto"/>
        </w:rPr>
      </w:pPr>
    </w:p>
    <w:p>
      <w:pPr>
        <w:spacing w:after="0" w:line="265"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10160</wp:posOffset>
            </wp:positionV>
            <wp:extent cx="33000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5715</wp:posOffset>
            </wp:positionV>
            <wp:extent cx="33000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5715</wp:posOffset>
            </wp:positionV>
            <wp:extent cx="33000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20"/>
          <w:szCs w:val="20"/>
          <w:b w:val="1"/>
          <w:bCs w:val="1"/>
          <w:color w:val="auto"/>
        </w:rPr>
        <w:t>Exhibit E-1 to Credit Agreement (Form of U.S. Tax Compliance Certificate)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This U.S. Tax Compliance Certificate is given pursuant to that certain Credit and Security Agreement dated as of August 5, 2020 among the Borrower Representative, Aptevo Research and Development LLC, and any additional Borrower that may hereafter be added thereto (collectively, “</w:t>
      </w:r>
      <w:r>
        <w:rPr>
          <w:rFonts w:ascii="Arial" w:cs="Arial" w:eastAsia="Arial" w:hAnsi="Arial"/>
          <w:sz w:val="20"/>
          <w:szCs w:val="20"/>
          <w:b w:val="1"/>
          <w:bCs w:val="1"/>
          <w:color w:val="auto"/>
        </w:rPr>
        <w:t>Borrowers</w:t>
      </w:r>
      <w:r>
        <w:rPr>
          <w:rFonts w:ascii="Arial" w:cs="Arial" w:eastAsia="Arial" w:hAnsi="Arial"/>
          <w:sz w:val="20"/>
          <w:szCs w:val="20"/>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“Credit Agreement”). Capitalized terms used herein without definition shall have the meanings set forth in the Credit Agreement.</w:t>
      </w:r>
    </w:p>
    <w:p>
      <w:pPr>
        <w:spacing w:after="0" w:line="19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Pursuant to the provisions of Section 2.8(c)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94"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The undersigned has furnished Agent and the Borrower Representative with a certificate of its non-U.S. Person status on IRS Form W-8BEN or IRS Form W-8BEN-E. By executing this certificate, the undersigned agrees that (1) if the information provided on this certificate changes, the undersigned shall promptly so inform the Borrower Representative and Agent, and (2) the undersigned shall have at all times furnished the Borrower Representative and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OF LENDER]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32232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2232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2232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Date: ________ __, 202[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20"/>
          <w:szCs w:val="20"/>
          <w:b w:val="1"/>
          <w:bCs w:val="1"/>
          <w:color w:val="auto"/>
        </w:rPr>
        <w:t>Exhibit E-2 to Credit Agreement (Form of U.S. Tax Compliance Certificate)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This U.S. Tax Compliance Certificate is given pursuant to that certain Credit and Security Agreement dated as of August 5, 2020 among the Borrower Representative, Aptevo Research and Development LLC, and any additional Borrower that may hereafter be added thereto (collectively, “</w:t>
      </w:r>
      <w:r>
        <w:rPr>
          <w:rFonts w:ascii="Arial" w:cs="Arial" w:eastAsia="Arial" w:hAnsi="Arial"/>
          <w:sz w:val="20"/>
          <w:szCs w:val="20"/>
          <w:b w:val="1"/>
          <w:bCs w:val="1"/>
          <w:color w:val="auto"/>
        </w:rPr>
        <w:t>Borrowers</w:t>
      </w:r>
      <w:r>
        <w:rPr>
          <w:rFonts w:ascii="Arial" w:cs="Arial" w:eastAsia="Arial" w:hAnsi="Arial"/>
          <w:sz w:val="20"/>
          <w:szCs w:val="20"/>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Capitalized terms used herein without definition shall have the meanings set forth in the Credit Agreement.</w:t>
      </w:r>
    </w:p>
    <w:p>
      <w:pPr>
        <w:spacing w:after="0" w:line="196"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Pursuant to the provisions of Section 2.8(c)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6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OF PARTICIPANT]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32232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2232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2232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Date: ________ __, 202[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20"/>
          <w:szCs w:val="20"/>
          <w:b w:val="1"/>
          <w:bCs w:val="1"/>
          <w:color w:val="auto"/>
        </w:rPr>
        <w:t>Exhibit E-3 to Credit Agreement (Form of U.S. Tax Compliance Certificate)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This U.S. Tax Compliance Certificate is given pursuant to that certain Credit and Security Agreement dated as of August 5, 2020 among the Borrower Representative, Aptevo Research and Development LLC, and any additional Borrower that may hereafter be added thereto (collectively, “</w:t>
      </w:r>
      <w:r>
        <w:rPr>
          <w:rFonts w:ascii="Arial" w:cs="Arial" w:eastAsia="Arial" w:hAnsi="Arial"/>
          <w:sz w:val="20"/>
          <w:szCs w:val="20"/>
          <w:b w:val="1"/>
          <w:bCs w:val="1"/>
          <w:color w:val="auto"/>
        </w:rPr>
        <w:t>Borrowers</w:t>
      </w:r>
      <w:r>
        <w:rPr>
          <w:rFonts w:ascii="Arial" w:cs="Arial" w:eastAsia="Arial" w:hAnsi="Arial"/>
          <w:sz w:val="20"/>
          <w:szCs w:val="20"/>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Capitalized terms used herein without definition shall have the meanings set forth in the Credit Agreement.</w:t>
      </w:r>
    </w:p>
    <w:p>
      <w:pPr>
        <w:spacing w:after="0" w:line="19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Pursuant to the provisions of Section 2.8(c)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OF PARTICIPANT]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32232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2232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2232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Date: ________ __, 202[ ]</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20"/>
          <w:szCs w:val="20"/>
          <w:b w:val="1"/>
          <w:bCs w:val="1"/>
          <w:color w:val="auto"/>
        </w:rPr>
        <w:t>Exhibit E-4 to Credit Agreement (Form of U.S. Tax Compliance Certificate)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This U.S. Tax Compliance Certificate is given pursuant to that certain Credit and Security Agreement dated as of August 5, 2020 among the Borrower Representative, Aptevo Research and Development LLC, and any additional Borrower that may hereafter be added thereto (collectively, “</w:t>
      </w:r>
      <w:r>
        <w:rPr>
          <w:rFonts w:ascii="Arial" w:cs="Arial" w:eastAsia="Arial" w:hAnsi="Arial"/>
          <w:sz w:val="20"/>
          <w:szCs w:val="20"/>
          <w:b w:val="1"/>
          <w:bCs w:val="1"/>
          <w:color w:val="auto"/>
        </w:rPr>
        <w:t>Borrowers</w:t>
      </w:r>
      <w:r>
        <w:rPr>
          <w:rFonts w:ascii="Arial" w:cs="Arial" w:eastAsia="Arial" w:hAnsi="Arial"/>
          <w:sz w:val="20"/>
          <w:szCs w:val="20"/>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Capitalized terms used herein without definition shall have the meanings set forth in the Credit Agreement.</w:t>
      </w:r>
    </w:p>
    <w:p>
      <w:pPr>
        <w:spacing w:after="0" w:line="19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Pursuant to the provisions of Section 2.8(c)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Financing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8"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The undersigned has furnished Agent and the Borrower Representative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Representative and Agent, and (2) the undersigned shall have at all times furnished the Borrower Representative and Agent with a properly completed and currently effective certificate in either the calendar year in which each payment is to be made to the undersigned, or in either of the two calendar years preceding such payments.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20"/>
          <w:szCs w:val="20"/>
          <w:color w:val="auto"/>
        </w:rPr>
        <w:t>[NAME OF LENDER]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32232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2232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32232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Date: ________ __, 202[ ]</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Exhibit F to Credit Agreement (Form of Closing Checklist)</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34" w:name="page235"/>
    <w:bookmarkEnd w:id="234"/>
    <w:p>
      <w:pPr>
        <w:jc w:val="center"/>
        <w:spacing w:after="0"/>
        <w:rPr>
          <w:sz w:val="20"/>
          <w:szCs w:val="20"/>
          <w:color w:val="auto"/>
        </w:rPr>
      </w:pPr>
      <w:r>
        <w:rPr>
          <w:rFonts w:ascii="Arial" w:cs="Arial" w:eastAsia="Arial" w:hAnsi="Arial"/>
          <w:sz w:val="20"/>
          <w:szCs w:val="20"/>
          <w:b w:val="1"/>
          <w:bCs w:val="1"/>
          <w:color w:val="auto"/>
        </w:rPr>
        <w:t>Exhibit G to Credit Agreement (Form of Payment Notification)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PAYMENT NOTIFICATION</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This Payment Notification is given by ____________________, a Responsible Officer of Aptevo Therapeutics Inc. (the “</w:t>
      </w:r>
      <w:r>
        <w:rPr>
          <w:rFonts w:ascii="Arial" w:cs="Arial" w:eastAsia="Arial" w:hAnsi="Arial"/>
          <w:sz w:val="19"/>
          <w:szCs w:val="19"/>
          <w:b w:val="1"/>
          <w:bCs w:val="1"/>
          <w:color w:val="auto"/>
        </w:rPr>
        <w:t>Borrower</w:t>
      </w:r>
    </w:p>
    <w:p>
      <w:pPr>
        <w:spacing w:after="0" w:line="3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Representative</w:t>
      </w:r>
      <w:r>
        <w:rPr>
          <w:rFonts w:ascii="Arial" w:cs="Arial" w:eastAsia="Arial" w:hAnsi="Arial"/>
          <w:sz w:val="20"/>
          <w:szCs w:val="20"/>
          <w:color w:val="auto"/>
        </w:rPr>
        <w:t>”), pursuant to that certain Credit and Security Agreement dated as August 5, 2020 among Borrower Representative, Aptevo</w:t>
      </w:r>
      <w:r>
        <w:rPr>
          <w:rFonts w:ascii="Arial" w:cs="Arial" w:eastAsia="Arial" w:hAnsi="Arial"/>
          <w:sz w:val="20"/>
          <w:szCs w:val="20"/>
          <w:b w:val="1"/>
          <w:bCs w:val="1"/>
          <w:color w:val="auto"/>
        </w:rPr>
        <w:t xml:space="preserve"> </w:t>
      </w:r>
      <w:r>
        <w:rPr>
          <w:rFonts w:ascii="Arial" w:cs="Arial" w:eastAsia="Arial" w:hAnsi="Arial"/>
          <w:sz w:val="20"/>
          <w:szCs w:val="20"/>
          <w:color w:val="auto"/>
        </w:rPr>
        <w:t>Research and Development LLC, and the other Borrowers signatory thereto and any additional Borrower that may hereafter be added thereto (collectively, “</w:t>
      </w:r>
      <w:r>
        <w:rPr>
          <w:rFonts w:ascii="Arial" w:cs="Arial" w:eastAsia="Arial" w:hAnsi="Arial"/>
          <w:sz w:val="20"/>
          <w:szCs w:val="20"/>
          <w:b w:val="1"/>
          <w:bCs w:val="1"/>
          <w:color w:val="auto"/>
        </w:rPr>
        <w:t>Borrowers</w:t>
      </w:r>
      <w:r>
        <w:rPr>
          <w:rFonts w:ascii="Arial" w:cs="Arial" w:eastAsia="Arial" w:hAnsi="Arial"/>
          <w:sz w:val="20"/>
          <w:szCs w:val="20"/>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Capitalized terms used herein without definition shall have the meanings set forth in the Credit Agreement.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Please be advised that funds in the amount of $_____________ will be wire transferred to Agent on _________, 202_.  Such funds shall</w:t>
      </w:r>
    </w:p>
    <w:p>
      <w:pPr>
        <w:spacing w:after="0" w:line="23"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constitute [an optional] [a mandatory] prepayment of the Term Loans, with such prepayments to be applied in the manner specified in Section 2.1(a)(iii). [Such mandatory prepayment is being made pursuant to Section _____________ of the Credit Agreement.] Fax to MCF Operations 301-941-1450 no later than noon Eastern time.</w:t>
      </w:r>
    </w:p>
    <w:p>
      <w:pPr>
        <w:spacing w:after="0" w:line="1"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Note:</w:t>
      </w:r>
      <w:r>
        <w:rPr>
          <w:sz w:val="20"/>
          <w:szCs w:val="20"/>
          <w:color w:val="auto"/>
        </w:rPr>
        <w:tab/>
      </w:r>
      <w:r>
        <w:rPr>
          <w:rFonts w:ascii="Arial" w:cs="Arial" w:eastAsia="Arial" w:hAnsi="Arial"/>
          <w:sz w:val="20"/>
          <w:szCs w:val="20"/>
          <w:color w:val="auto"/>
        </w:rPr>
        <w:t>Funds must be received in the Payment Account by no later than noon Eastern time for same day application</w:t>
      </w: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officer has executed and delivered this Payment Notification this ____ day of ___________,</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202__.</w:t>
      </w:r>
    </w:p>
    <w:p>
      <w:pPr>
        <w:spacing w:after="0" w:line="213" w:lineRule="exact"/>
        <w:rPr>
          <w:sz w:val="20"/>
          <w:szCs w:val="20"/>
          <w:color w:val="auto"/>
        </w:rPr>
      </w:pPr>
    </w:p>
    <w:p>
      <w:pPr>
        <w:jc w:val="center"/>
        <w:ind w:left="52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20"/>
          <w:szCs w:val="20"/>
          <w:b w:val="1"/>
          <w:bCs w:val="1"/>
          <w:color w:val="auto"/>
        </w:rPr>
        <w:t>Aptevo Therapeutics Inc.</w:t>
      </w:r>
    </w:p>
    <w:p>
      <w:pPr>
        <w:spacing w:after="0" w:line="200" w:lineRule="exact"/>
        <w:rPr>
          <w:sz w:val="20"/>
          <w:szCs w:val="20"/>
          <w:color w:val="auto"/>
        </w:rPr>
      </w:pPr>
    </w:p>
    <w:p>
      <w:pPr>
        <w:spacing w:after="0" w:line="265"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10160</wp:posOffset>
            </wp:positionV>
            <wp:extent cx="33000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5715</wp:posOffset>
            </wp:positionV>
            <wp:extent cx="33000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5715</wp:posOffset>
            </wp:positionV>
            <wp:extent cx="33000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20"/>
          <w:szCs w:val="20"/>
          <w:b w:val="1"/>
          <w:bCs w:val="1"/>
          <w:color w:val="auto"/>
        </w:rPr>
        <w:t>Schedule 2.1 - Amortization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Borrower shall pay to Agent as a principal payment on the Term Loans the following amounts on the following dates:</w:t>
      </w:r>
    </w:p>
    <w:p>
      <w:pPr>
        <w:spacing w:after="0" w:line="226" w:lineRule="exact"/>
        <w:rPr>
          <w:sz w:val="20"/>
          <w:szCs w:val="20"/>
          <w:color w:val="auto"/>
        </w:rPr>
      </w:pPr>
    </w:p>
    <w:tbl>
      <w:tblPr>
        <w:tblLayout w:type="fixed"/>
        <w:tblInd w:w="1150" w:type="dxa"/>
        <w:tblCellMar>
          <w:top w:w="0" w:type="dxa"/>
          <w:left w:w="0" w:type="dxa"/>
          <w:bottom w:w="0" w:type="dxa"/>
          <w:right w:w="0" w:type="dxa"/>
        </w:tblCellMar>
      </w:tblPr>
      <w:tr>
        <w:trPr>
          <w:trHeight w:val="243"/>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March 01, 2022</w:t>
            </w:r>
          </w:p>
        </w:tc>
        <w:tc>
          <w:tcPr>
            <w:tcW w:w="3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120" w:type="dxa"/>
            <w:vAlign w:val="bottom"/>
            <w:tcBorders>
              <w:top w:val="single" w:sz="8" w:color="auto"/>
              <w:bottom w:val="single" w:sz="8" w:color="auto"/>
              <w:right w:val="single" w:sz="8" w:color="auto"/>
            </w:tcBorders>
          </w:tcPr>
          <w:p>
            <w:pPr>
              <w:jc w:val="right"/>
              <w:ind w:right="2661"/>
              <w:spacing w:after="0"/>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March 31, 2022</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701"/>
              <w:spacing w:after="0" w:line="223" w:lineRule="exact"/>
              <w:rPr>
                <w:sz w:val="20"/>
                <w:szCs w:val="20"/>
                <w:color w:val="auto"/>
              </w:rPr>
            </w:pPr>
            <w:r>
              <w:rPr>
                <w:rFonts w:ascii="Arial" w:cs="Arial" w:eastAsia="Arial" w:hAnsi="Arial"/>
                <w:sz w:val="20"/>
                <w:szCs w:val="20"/>
                <w:color w:val="auto"/>
              </w:rPr>
              <w:t>10,000,000.00</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April 01, 2022</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May 01, 2022</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June 01, 2022</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July 01, 2022</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August 01, 2022</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September 01, 2022</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October 01, 2022</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November 01, 2022</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December 01, 2022</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January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February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March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April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May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June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July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August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September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October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November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December 01, 2023</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January 01, 2024</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February 01, 2024</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March 01, 2024</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April 01, 2024</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May 01, 2024</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June 01, 2024</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July 01, 2024</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r>
        <w:trPr>
          <w:trHeight w:val="223"/>
        </w:trPr>
        <w:tc>
          <w:tcPr>
            <w:tcW w:w="45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August 01, 2024</w:t>
            </w:r>
          </w:p>
        </w:tc>
        <w:tc>
          <w:tcPr>
            <w:tcW w:w="3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right"/>
              <w:ind w:right="2661"/>
              <w:spacing w:after="0" w:line="223" w:lineRule="exact"/>
              <w:rPr>
                <w:sz w:val="20"/>
                <w:szCs w:val="20"/>
                <w:color w:val="auto"/>
              </w:rPr>
            </w:pPr>
            <w:r>
              <w:rPr>
                <w:rFonts w:ascii="Arial" w:cs="Arial" w:eastAsia="Arial" w:hAnsi="Arial"/>
                <w:sz w:val="20"/>
                <w:szCs w:val="20"/>
                <w:color w:val="auto"/>
              </w:rPr>
              <w:t>166,666.67</w:t>
            </w:r>
          </w:p>
        </w:tc>
      </w:tr>
    </w:tbl>
    <w:p>
      <w:pPr>
        <w:spacing w:after="0" w:line="200" w:lineRule="exact"/>
        <w:rPr>
          <w:sz w:val="20"/>
          <w:szCs w:val="20"/>
          <w:color w:val="auto"/>
        </w:rPr>
      </w:pPr>
    </w:p>
    <w:p>
      <w:pPr>
        <w:spacing w:after="0" w:line="24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Notwithstanding the foregoing, the entire remaining outstanding principal balance under each of the Term Loans shall mature and be due and payable upon the Termination Date.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6" w:name="page237"/>
    <w:bookmarkEnd w:id="236"/>
    <w:p>
      <w:pPr>
        <w:jc w:val="center"/>
        <w:ind w:right="20"/>
        <w:spacing w:after="0"/>
        <w:rPr>
          <w:sz w:val="20"/>
          <w:szCs w:val="20"/>
          <w:color w:val="auto"/>
        </w:rPr>
      </w:pPr>
      <w:r>
        <w:rPr>
          <w:rFonts w:ascii="Arial" w:cs="Arial" w:eastAsia="Arial" w:hAnsi="Arial"/>
          <w:sz w:val="20"/>
          <w:szCs w:val="20"/>
          <w:b w:val="1"/>
          <w:bCs w:val="1"/>
          <w:color w:val="auto"/>
        </w:rPr>
        <w:t>Schedule 3.1 – Existence, Organizational ID Numbers, Foreign Qualification, Prior Names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500" w:type="dxa"/>
            <w:vAlign w:val="bottom"/>
            <w:tcBorders>
              <w:top w:val="single" w:sz="8" w:color="auto"/>
              <w:left w:val="single" w:sz="8" w:color="auto"/>
              <w:right w:val="single" w:sz="8" w:color="auto"/>
            </w:tcBorders>
            <w:shd w:val="clear" w:color="auto" w:fill="B8CCE4"/>
          </w:tcPr>
          <w:p>
            <w:pPr>
              <w:ind w:left="840"/>
              <w:spacing w:after="0" w:line="220" w:lineRule="exact"/>
              <w:rPr>
                <w:sz w:val="20"/>
                <w:szCs w:val="20"/>
                <w:color w:val="auto"/>
              </w:rPr>
            </w:pPr>
            <w:r>
              <w:rPr>
                <w:rFonts w:ascii="Arial" w:cs="Arial" w:eastAsia="Arial" w:hAnsi="Arial"/>
                <w:sz w:val="20"/>
                <w:szCs w:val="20"/>
                <w:b w:val="1"/>
                <w:bCs w:val="1"/>
                <w:color w:val="auto"/>
              </w:rPr>
              <w:t>Borrower</w:t>
            </w:r>
          </w:p>
        </w:tc>
        <w:tc>
          <w:tcPr>
            <w:tcW w:w="2080" w:type="dxa"/>
            <w:vAlign w:val="bottom"/>
            <w:tcBorders>
              <w:top w:val="single" w:sz="8" w:color="auto"/>
              <w:right w:val="single" w:sz="8" w:color="auto"/>
            </w:tcBorders>
            <w:shd w:val="clear" w:color="auto" w:fill="B8CCE4"/>
          </w:tcPr>
          <w:p>
            <w:pPr>
              <w:ind w:left="480"/>
              <w:spacing w:after="0" w:line="220" w:lineRule="exact"/>
              <w:rPr>
                <w:sz w:val="20"/>
                <w:szCs w:val="20"/>
                <w:color w:val="auto"/>
              </w:rPr>
            </w:pPr>
            <w:r>
              <w:rPr>
                <w:rFonts w:ascii="Arial" w:cs="Arial" w:eastAsia="Arial" w:hAnsi="Arial"/>
                <w:sz w:val="20"/>
                <w:szCs w:val="20"/>
                <w:b w:val="1"/>
                <w:bCs w:val="1"/>
                <w:color w:val="auto"/>
              </w:rPr>
              <w:t>Prior Names</w:t>
            </w:r>
          </w:p>
        </w:tc>
        <w:tc>
          <w:tcPr>
            <w:tcW w:w="2320" w:type="dxa"/>
            <w:vAlign w:val="bottom"/>
            <w:tcBorders>
              <w:top w:val="single" w:sz="8" w:color="auto"/>
              <w:right w:val="single" w:sz="8" w:color="auto"/>
            </w:tcBorders>
            <w:shd w:val="clear" w:color="auto" w:fill="B8CCE4"/>
          </w:tcPr>
          <w:p>
            <w:pPr>
              <w:jc w:val="center"/>
              <w:spacing w:after="0" w:line="220" w:lineRule="exact"/>
              <w:rPr>
                <w:sz w:val="20"/>
                <w:szCs w:val="20"/>
                <w:color w:val="auto"/>
              </w:rPr>
            </w:pPr>
            <w:r>
              <w:rPr>
                <w:rFonts w:ascii="Arial" w:cs="Arial" w:eastAsia="Arial" w:hAnsi="Arial"/>
                <w:sz w:val="20"/>
                <w:szCs w:val="20"/>
                <w:b w:val="1"/>
                <w:bCs w:val="1"/>
                <w:color w:val="auto"/>
                <w:w w:val="94"/>
              </w:rPr>
              <w:t>Type of Entity /   State of</w:t>
            </w:r>
          </w:p>
        </w:tc>
        <w:tc>
          <w:tcPr>
            <w:tcW w:w="1200" w:type="dxa"/>
            <w:vAlign w:val="bottom"/>
            <w:tcBorders>
              <w:top w:val="single" w:sz="8" w:color="auto"/>
              <w:right w:val="single" w:sz="8" w:color="auto"/>
            </w:tcBorders>
            <w:shd w:val="clear" w:color="auto" w:fill="B8CCE4"/>
          </w:tcPr>
          <w:p>
            <w:pPr>
              <w:jc w:val="center"/>
              <w:spacing w:after="0" w:line="220" w:lineRule="exact"/>
              <w:rPr>
                <w:sz w:val="20"/>
                <w:szCs w:val="20"/>
                <w:color w:val="auto"/>
              </w:rPr>
            </w:pPr>
            <w:r>
              <w:rPr>
                <w:rFonts w:ascii="Arial" w:cs="Arial" w:eastAsia="Arial" w:hAnsi="Arial"/>
                <w:sz w:val="20"/>
                <w:szCs w:val="20"/>
                <w:b w:val="1"/>
                <w:bCs w:val="1"/>
                <w:color w:val="auto"/>
                <w:w w:val="83"/>
              </w:rPr>
              <w:t>States</w:t>
            </w:r>
          </w:p>
        </w:tc>
        <w:tc>
          <w:tcPr>
            <w:tcW w:w="1600" w:type="dxa"/>
            <w:vAlign w:val="bottom"/>
            <w:tcBorders>
              <w:top w:val="single" w:sz="8" w:color="auto"/>
              <w:right w:val="single" w:sz="8" w:color="auto"/>
            </w:tcBorders>
            <w:shd w:val="clear" w:color="auto" w:fill="B8CCE4"/>
          </w:tcPr>
          <w:p>
            <w:pPr>
              <w:jc w:val="center"/>
              <w:spacing w:after="0" w:line="220" w:lineRule="exact"/>
              <w:rPr>
                <w:sz w:val="20"/>
                <w:szCs w:val="20"/>
                <w:color w:val="auto"/>
              </w:rPr>
            </w:pPr>
            <w:r>
              <w:rPr>
                <w:rFonts w:ascii="Arial" w:cs="Arial" w:eastAsia="Arial" w:hAnsi="Arial"/>
                <w:sz w:val="20"/>
                <w:szCs w:val="20"/>
                <w:b w:val="1"/>
                <w:bCs w:val="1"/>
                <w:color w:val="auto"/>
                <w:w w:val="94"/>
              </w:rPr>
              <w:t>State Org. ID</w:t>
            </w:r>
          </w:p>
        </w:tc>
        <w:tc>
          <w:tcPr>
            <w:tcW w:w="720" w:type="dxa"/>
            <w:vAlign w:val="bottom"/>
            <w:tcBorders>
              <w:top w:val="single" w:sz="8" w:color="auto"/>
              <w:right w:val="single" w:sz="8" w:color="auto"/>
            </w:tcBorders>
            <w:shd w:val="clear" w:color="auto" w:fill="B8CCE4"/>
          </w:tcPr>
          <w:p>
            <w:pPr>
              <w:jc w:val="center"/>
              <w:spacing w:after="0" w:line="220" w:lineRule="exact"/>
              <w:rPr>
                <w:sz w:val="20"/>
                <w:szCs w:val="20"/>
                <w:color w:val="auto"/>
              </w:rPr>
            </w:pPr>
            <w:r>
              <w:rPr>
                <w:rFonts w:ascii="Arial" w:cs="Arial" w:eastAsia="Arial" w:hAnsi="Arial"/>
                <w:sz w:val="20"/>
                <w:szCs w:val="20"/>
                <w:b w:val="1"/>
                <w:bCs w:val="1"/>
                <w:color w:val="auto"/>
                <w:w w:val="89"/>
              </w:rPr>
              <w:t>Federal</w:t>
            </w:r>
          </w:p>
        </w:tc>
        <w:tc>
          <w:tcPr>
            <w:tcW w:w="840" w:type="dxa"/>
            <w:vAlign w:val="bottom"/>
            <w:tcBorders>
              <w:top w:val="single" w:sz="8" w:color="auto"/>
              <w:right w:val="single" w:sz="8" w:color="auto"/>
            </w:tcBorders>
            <w:shd w:val="clear" w:color="auto" w:fill="B8CCE4"/>
          </w:tcPr>
          <w:p>
            <w:pPr>
              <w:jc w:val="center"/>
              <w:spacing w:after="0" w:line="220" w:lineRule="exact"/>
              <w:rPr>
                <w:sz w:val="20"/>
                <w:szCs w:val="20"/>
                <w:color w:val="auto"/>
              </w:rPr>
            </w:pPr>
            <w:r>
              <w:rPr>
                <w:rFonts w:ascii="Arial" w:cs="Arial" w:eastAsia="Arial" w:hAnsi="Arial"/>
                <w:sz w:val="20"/>
                <w:szCs w:val="20"/>
                <w:b w:val="1"/>
                <w:bCs w:val="1"/>
                <w:color w:val="auto"/>
                <w:w w:val="88"/>
              </w:rPr>
              <w:t>Location</w:t>
            </w:r>
          </w:p>
        </w:tc>
      </w:tr>
      <w:tr>
        <w:trPr>
          <w:trHeight w:val="229"/>
        </w:trPr>
        <w:tc>
          <w:tcPr>
            <w:tcW w:w="2500" w:type="dxa"/>
            <w:vAlign w:val="bottom"/>
            <w:tcBorders>
              <w:left w:val="single" w:sz="8" w:color="auto"/>
              <w:right w:val="single" w:sz="8" w:color="auto"/>
            </w:tcBorders>
            <w:shd w:val="clear" w:color="auto" w:fill="B8CCE4"/>
          </w:tcPr>
          <w:p>
            <w:pPr>
              <w:spacing w:after="0"/>
              <w:rPr>
                <w:sz w:val="19"/>
                <w:szCs w:val="19"/>
                <w:color w:val="auto"/>
              </w:rPr>
            </w:pPr>
          </w:p>
        </w:tc>
        <w:tc>
          <w:tcPr>
            <w:tcW w:w="2080" w:type="dxa"/>
            <w:vAlign w:val="bottom"/>
            <w:tcBorders>
              <w:right w:val="single" w:sz="8" w:color="auto"/>
            </w:tcBorders>
            <w:shd w:val="clear" w:color="auto" w:fill="B8CCE4"/>
          </w:tcPr>
          <w:p>
            <w:pPr>
              <w:spacing w:after="0"/>
              <w:rPr>
                <w:sz w:val="19"/>
                <w:szCs w:val="19"/>
                <w:color w:val="auto"/>
              </w:rPr>
            </w:pPr>
          </w:p>
        </w:tc>
        <w:tc>
          <w:tcPr>
            <w:tcW w:w="232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20"/>
                <w:szCs w:val="20"/>
                <w:b w:val="1"/>
                <w:bCs w:val="1"/>
                <w:color w:val="auto"/>
                <w:w w:val="91"/>
              </w:rPr>
              <w:t>Formation</w:t>
            </w:r>
          </w:p>
        </w:tc>
        <w:tc>
          <w:tcPr>
            <w:tcW w:w="120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20"/>
                <w:szCs w:val="20"/>
                <w:b w:val="1"/>
                <w:bCs w:val="1"/>
                <w:color w:val="auto"/>
                <w:w w:val="91"/>
              </w:rPr>
              <w:t>Qualified</w:t>
            </w:r>
          </w:p>
        </w:tc>
        <w:tc>
          <w:tcPr>
            <w:tcW w:w="160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20"/>
                <w:szCs w:val="20"/>
                <w:b w:val="1"/>
                <w:bCs w:val="1"/>
                <w:color w:val="auto"/>
                <w:w w:val="92"/>
              </w:rPr>
              <w:t>Number</w:t>
            </w:r>
          </w:p>
        </w:tc>
        <w:tc>
          <w:tcPr>
            <w:tcW w:w="72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20"/>
                <w:szCs w:val="20"/>
                <w:b w:val="1"/>
                <w:bCs w:val="1"/>
                <w:color w:val="auto"/>
                <w:w w:val="96"/>
              </w:rPr>
              <w:t>Tax ID</w:t>
            </w:r>
          </w:p>
        </w:tc>
        <w:tc>
          <w:tcPr>
            <w:tcW w:w="84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20"/>
                <w:szCs w:val="20"/>
                <w:b w:val="1"/>
                <w:bCs w:val="1"/>
                <w:color w:val="auto"/>
                <w:w w:val="95"/>
              </w:rPr>
              <w:t>of</w:t>
            </w:r>
          </w:p>
        </w:tc>
      </w:tr>
      <w:tr>
        <w:trPr>
          <w:trHeight w:val="229"/>
        </w:trPr>
        <w:tc>
          <w:tcPr>
            <w:tcW w:w="2500" w:type="dxa"/>
            <w:vAlign w:val="bottom"/>
            <w:tcBorders>
              <w:left w:val="single" w:sz="8" w:color="auto"/>
              <w:right w:val="single" w:sz="8" w:color="auto"/>
            </w:tcBorders>
            <w:shd w:val="clear" w:color="auto" w:fill="B8CCE4"/>
          </w:tcPr>
          <w:p>
            <w:pPr>
              <w:spacing w:after="0"/>
              <w:rPr>
                <w:sz w:val="19"/>
                <w:szCs w:val="19"/>
                <w:color w:val="auto"/>
              </w:rPr>
            </w:pPr>
          </w:p>
        </w:tc>
        <w:tc>
          <w:tcPr>
            <w:tcW w:w="2080" w:type="dxa"/>
            <w:vAlign w:val="bottom"/>
            <w:tcBorders>
              <w:right w:val="single" w:sz="8" w:color="auto"/>
            </w:tcBorders>
            <w:shd w:val="clear" w:color="auto" w:fill="B8CCE4"/>
          </w:tcPr>
          <w:p>
            <w:pPr>
              <w:spacing w:after="0"/>
              <w:rPr>
                <w:sz w:val="19"/>
                <w:szCs w:val="19"/>
                <w:color w:val="auto"/>
              </w:rPr>
            </w:pPr>
          </w:p>
        </w:tc>
        <w:tc>
          <w:tcPr>
            <w:tcW w:w="2320" w:type="dxa"/>
            <w:vAlign w:val="bottom"/>
            <w:tcBorders>
              <w:right w:val="single" w:sz="8" w:color="auto"/>
            </w:tcBorders>
            <w:shd w:val="clear" w:color="auto" w:fill="B8CCE4"/>
          </w:tcPr>
          <w:p>
            <w:pPr>
              <w:spacing w:after="0"/>
              <w:rPr>
                <w:sz w:val="19"/>
                <w:szCs w:val="19"/>
                <w:color w:val="auto"/>
              </w:rPr>
            </w:pPr>
          </w:p>
        </w:tc>
        <w:tc>
          <w:tcPr>
            <w:tcW w:w="1200" w:type="dxa"/>
            <w:vAlign w:val="bottom"/>
            <w:tcBorders>
              <w:right w:val="single" w:sz="8" w:color="auto"/>
            </w:tcBorders>
            <w:shd w:val="clear" w:color="auto" w:fill="B8CCE4"/>
          </w:tcPr>
          <w:p>
            <w:pPr>
              <w:spacing w:after="0"/>
              <w:rPr>
                <w:sz w:val="19"/>
                <w:szCs w:val="19"/>
                <w:color w:val="auto"/>
              </w:rPr>
            </w:pPr>
          </w:p>
        </w:tc>
        <w:tc>
          <w:tcPr>
            <w:tcW w:w="1600" w:type="dxa"/>
            <w:vAlign w:val="bottom"/>
            <w:tcBorders>
              <w:right w:val="single" w:sz="8" w:color="auto"/>
            </w:tcBorders>
            <w:shd w:val="clear" w:color="auto" w:fill="B8CCE4"/>
          </w:tcPr>
          <w:p>
            <w:pPr>
              <w:spacing w:after="0"/>
              <w:rPr>
                <w:sz w:val="19"/>
                <w:szCs w:val="19"/>
                <w:color w:val="auto"/>
              </w:rPr>
            </w:pPr>
          </w:p>
        </w:tc>
        <w:tc>
          <w:tcPr>
            <w:tcW w:w="72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20"/>
                <w:szCs w:val="20"/>
                <w:b w:val="1"/>
                <w:bCs w:val="1"/>
                <w:color w:val="auto"/>
                <w:w w:val="92"/>
              </w:rPr>
              <w:t>Number</w:t>
            </w:r>
          </w:p>
        </w:tc>
        <w:tc>
          <w:tcPr>
            <w:tcW w:w="84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20"/>
                <w:szCs w:val="20"/>
                <w:b w:val="1"/>
                <w:bCs w:val="1"/>
                <w:color w:val="auto"/>
                <w:w w:val="92"/>
              </w:rPr>
              <w:t>Borrower</w:t>
            </w:r>
          </w:p>
        </w:tc>
      </w:tr>
      <w:tr>
        <w:trPr>
          <w:trHeight w:val="252"/>
        </w:trPr>
        <w:tc>
          <w:tcPr>
            <w:tcW w:w="2500" w:type="dxa"/>
            <w:vAlign w:val="bottom"/>
            <w:tcBorders>
              <w:left w:val="single" w:sz="8" w:color="auto"/>
              <w:bottom w:val="single" w:sz="8" w:color="auto"/>
              <w:right w:val="single" w:sz="8" w:color="auto"/>
            </w:tcBorders>
            <w:shd w:val="clear" w:color="auto" w:fill="B8CCE4"/>
          </w:tcPr>
          <w:p>
            <w:pPr>
              <w:spacing w:after="0"/>
              <w:rPr>
                <w:sz w:val="21"/>
                <w:szCs w:val="21"/>
                <w:color w:val="auto"/>
              </w:rPr>
            </w:pPr>
          </w:p>
        </w:tc>
        <w:tc>
          <w:tcPr>
            <w:tcW w:w="2080" w:type="dxa"/>
            <w:vAlign w:val="bottom"/>
            <w:tcBorders>
              <w:bottom w:val="single" w:sz="8" w:color="auto"/>
              <w:right w:val="single" w:sz="8" w:color="auto"/>
            </w:tcBorders>
            <w:shd w:val="clear" w:color="auto" w:fill="B8CCE4"/>
          </w:tcPr>
          <w:p>
            <w:pPr>
              <w:spacing w:after="0"/>
              <w:rPr>
                <w:sz w:val="21"/>
                <w:szCs w:val="21"/>
                <w:color w:val="auto"/>
              </w:rPr>
            </w:pPr>
          </w:p>
        </w:tc>
        <w:tc>
          <w:tcPr>
            <w:tcW w:w="2320" w:type="dxa"/>
            <w:vAlign w:val="bottom"/>
            <w:tcBorders>
              <w:bottom w:val="single" w:sz="8" w:color="auto"/>
              <w:right w:val="single" w:sz="8" w:color="auto"/>
            </w:tcBorders>
            <w:shd w:val="clear" w:color="auto" w:fill="B8CCE4"/>
          </w:tcPr>
          <w:p>
            <w:pPr>
              <w:spacing w:after="0"/>
              <w:rPr>
                <w:sz w:val="21"/>
                <w:szCs w:val="21"/>
                <w:color w:val="auto"/>
              </w:rPr>
            </w:pPr>
          </w:p>
        </w:tc>
        <w:tc>
          <w:tcPr>
            <w:tcW w:w="1200" w:type="dxa"/>
            <w:vAlign w:val="bottom"/>
            <w:tcBorders>
              <w:bottom w:val="single" w:sz="8" w:color="auto"/>
              <w:right w:val="single" w:sz="8" w:color="auto"/>
            </w:tcBorders>
            <w:shd w:val="clear" w:color="auto" w:fill="B8CCE4"/>
          </w:tcPr>
          <w:p>
            <w:pPr>
              <w:spacing w:after="0"/>
              <w:rPr>
                <w:sz w:val="21"/>
                <w:szCs w:val="21"/>
                <w:color w:val="auto"/>
              </w:rPr>
            </w:pPr>
          </w:p>
        </w:tc>
        <w:tc>
          <w:tcPr>
            <w:tcW w:w="1600" w:type="dxa"/>
            <w:vAlign w:val="bottom"/>
            <w:tcBorders>
              <w:bottom w:val="single" w:sz="8" w:color="auto"/>
              <w:right w:val="single" w:sz="8" w:color="auto"/>
            </w:tcBorders>
            <w:shd w:val="clear" w:color="auto" w:fill="B8CCE4"/>
          </w:tcPr>
          <w:p>
            <w:pPr>
              <w:spacing w:after="0"/>
              <w:rPr>
                <w:sz w:val="21"/>
                <w:szCs w:val="21"/>
                <w:color w:val="auto"/>
              </w:rPr>
            </w:pPr>
          </w:p>
        </w:tc>
        <w:tc>
          <w:tcPr>
            <w:tcW w:w="720" w:type="dxa"/>
            <w:vAlign w:val="bottom"/>
            <w:tcBorders>
              <w:bottom w:val="single" w:sz="8" w:color="auto"/>
              <w:right w:val="single" w:sz="8" w:color="auto"/>
            </w:tcBorders>
            <w:shd w:val="clear" w:color="auto" w:fill="B8CCE4"/>
          </w:tcPr>
          <w:p>
            <w:pPr>
              <w:spacing w:after="0"/>
              <w:rPr>
                <w:sz w:val="21"/>
                <w:szCs w:val="21"/>
                <w:color w:val="auto"/>
              </w:rPr>
            </w:pPr>
          </w:p>
        </w:tc>
        <w:tc>
          <w:tcPr>
            <w:tcW w:w="840" w:type="dxa"/>
            <w:vAlign w:val="bottom"/>
            <w:tcBorders>
              <w:bottom w:val="single" w:sz="8" w:color="auto"/>
              <w:right w:val="single" w:sz="8" w:color="auto"/>
            </w:tcBorders>
            <w:shd w:val="clear" w:color="auto" w:fill="B8CCE4"/>
          </w:tcPr>
          <w:p>
            <w:pPr>
              <w:jc w:val="center"/>
              <w:spacing w:after="0"/>
              <w:rPr>
                <w:sz w:val="20"/>
                <w:szCs w:val="20"/>
                <w:color w:val="auto"/>
              </w:rPr>
            </w:pPr>
            <w:r>
              <w:rPr>
                <w:rFonts w:ascii="Arial" w:cs="Arial" w:eastAsia="Arial" w:hAnsi="Arial"/>
                <w:sz w:val="20"/>
                <w:szCs w:val="20"/>
                <w:b w:val="1"/>
                <w:bCs w:val="1"/>
                <w:color w:val="auto"/>
                <w:w w:val="86"/>
              </w:rPr>
              <w:t>(address)</w:t>
            </w:r>
          </w:p>
        </w:tc>
      </w:tr>
      <w:tr>
        <w:trPr>
          <w:trHeight w:val="223"/>
        </w:trPr>
        <w:tc>
          <w:tcPr>
            <w:tcW w:w="2500" w:type="dxa"/>
            <w:vAlign w:val="bottom"/>
            <w:tcBorders>
              <w:left w:val="single" w:sz="8" w:color="auto"/>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6"/>
          <w:szCs w:val="16"/>
          <w:b w:val="1"/>
          <w:bCs w:val="1"/>
          <w:color w:val="auto"/>
        </w:rPr>
        <w:t>Schedule 3.4 – Capitalization</w:t>
      </w:r>
    </w:p>
    <w:p>
      <w:pPr>
        <w:sectPr>
          <w:pgSz w:w="11900" w:h="16838" w:orient="portrait"/>
          <w:cols w:equalWidth="0" w:num="1">
            <w:col w:w="9019"/>
          </w:cols>
          <w:pgMar w:left="1440" w:top="7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type w:val="continuous"/>
        </w:sectPr>
      </w:pPr>
    </w:p>
    <w:bookmarkStart w:id="238" w:name="page239"/>
    <w:bookmarkEnd w:id="238"/>
    <w:p>
      <w:pPr>
        <w:jc w:val="center"/>
        <w:ind w:right="19"/>
        <w:spacing w:after="0"/>
        <w:rPr>
          <w:sz w:val="20"/>
          <w:szCs w:val="20"/>
          <w:color w:val="auto"/>
        </w:rPr>
      </w:pPr>
      <w:r>
        <w:rPr>
          <w:rFonts w:ascii="Arial" w:cs="Arial" w:eastAsia="Arial" w:hAnsi="Arial"/>
          <w:sz w:val="16"/>
          <w:szCs w:val="16"/>
          <w:b w:val="1"/>
          <w:bCs w:val="1"/>
          <w:color w:val="auto"/>
        </w:rPr>
        <w:t>Schedule 3.6 – Litigation</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Schedule 3.17 – Material Contracts</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40" w:name="page241"/>
    <w:bookmarkEnd w:id="240"/>
    <w:p>
      <w:pPr>
        <w:jc w:val="center"/>
        <w:ind w:right="19"/>
        <w:spacing w:after="0"/>
        <w:rPr>
          <w:sz w:val="20"/>
          <w:szCs w:val="20"/>
          <w:color w:val="auto"/>
        </w:rPr>
      </w:pPr>
      <w:r>
        <w:rPr>
          <w:rFonts w:ascii="Arial" w:cs="Arial" w:eastAsia="Arial" w:hAnsi="Arial"/>
          <w:sz w:val="16"/>
          <w:szCs w:val="16"/>
          <w:b w:val="1"/>
          <w:bCs w:val="1"/>
          <w:color w:val="auto"/>
        </w:rPr>
        <w:t>Schedule 3.18 – Environmental Compliance</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41" w:name="page242"/>
    <w:bookmarkEnd w:id="241"/>
    <w:p>
      <w:pPr>
        <w:jc w:val="center"/>
        <w:ind w:right="20"/>
        <w:spacing w:after="0"/>
        <w:rPr>
          <w:sz w:val="20"/>
          <w:szCs w:val="20"/>
          <w:color w:val="auto"/>
        </w:rPr>
      </w:pPr>
      <w:r>
        <w:rPr>
          <w:rFonts w:ascii="Arial" w:cs="Arial" w:eastAsia="Arial" w:hAnsi="Arial"/>
          <w:sz w:val="20"/>
          <w:szCs w:val="20"/>
          <w:b w:val="1"/>
          <w:bCs w:val="1"/>
          <w:color w:val="auto"/>
        </w:rPr>
        <w:t>Schedule 3.19 – Intellectual Property</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INTANGIBLE ASSETS SCHEDULE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477"/>
        </w:trPr>
        <w:tc>
          <w:tcPr>
            <w:tcW w:w="9880" w:type="dxa"/>
            <w:vAlign w:val="bottom"/>
            <w:tcBorders>
              <w:top w:val="single" w:sz="8" w:color="auto"/>
              <w:left w:val="single" w:sz="8" w:color="auto"/>
              <w:right w:val="single" w:sz="8" w:color="auto"/>
            </w:tcBorders>
            <w:gridSpan w:val="4"/>
            <w:shd w:val="clear" w:color="auto" w:fill="8DB3E2"/>
          </w:tcPr>
          <w:p>
            <w:pPr>
              <w:ind w:left="1680"/>
              <w:spacing w:after="0"/>
              <w:rPr>
                <w:sz w:val="20"/>
                <w:szCs w:val="20"/>
                <w:color w:val="auto"/>
              </w:rPr>
            </w:pPr>
            <w:r>
              <w:rPr>
                <w:rFonts w:ascii="Arial" w:cs="Arial" w:eastAsia="Arial" w:hAnsi="Arial"/>
                <w:sz w:val="20"/>
                <w:szCs w:val="20"/>
                <w:b w:val="1"/>
                <w:bCs w:val="1"/>
                <w:color w:val="auto"/>
              </w:rPr>
              <w:t>INTELLECTUAL PROPERTY (REGISTRATIONS AND APPLICATIONS)</w:t>
            </w:r>
          </w:p>
        </w:tc>
        <w:tc>
          <w:tcPr>
            <w:tcW w:w="1380" w:type="dxa"/>
            <w:vAlign w:val="bottom"/>
            <w:tcBorders>
              <w:top w:val="single" w:sz="8" w:color="auto"/>
              <w:right w:val="single" w:sz="8" w:color="auto"/>
            </w:tcBorders>
            <w:shd w:val="clear" w:color="auto" w:fill="8DB3E2"/>
          </w:tcPr>
          <w:p>
            <w:pPr>
              <w:spacing w:after="0"/>
              <w:rPr>
                <w:sz w:val="24"/>
                <w:szCs w:val="24"/>
                <w:color w:val="auto"/>
              </w:rPr>
            </w:pPr>
          </w:p>
        </w:tc>
      </w:tr>
      <w:tr>
        <w:trPr>
          <w:trHeight w:val="225"/>
        </w:trPr>
        <w:tc>
          <w:tcPr>
            <w:tcW w:w="1980" w:type="dxa"/>
            <w:vAlign w:val="bottom"/>
            <w:tcBorders>
              <w:left w:val="single" w:sz="8" w:color="auto"/>
              <w:bottom w:val="single" w:sz="8" w:color="auto"/>
              <w:right w:val="single" w:sz="8" w:color="8DB3E2"/>
            </w:tcBorders>
            <w:shd w:val="clear" w:color="auto" w:fill="8DB3E2"/>
          </w:tcPr>
          <w:p>
            <w:pPr>
              <w:spacing w:after="0"/>
              <w:rPr>
                <w:sz w:val="19"/>
                <w:szCs w:val="19"/>
                <w:color w:val="auto"/>
              </w:rPr>
            </w:pPr>
          </w:p>
        </w:tc>
        <w:tc>
          <w:tcPr>
            <w:tcW w:w="2560" w:type="dxa"/>
            <w:vAlign w:val="bottom"/>
            <w:tcBorders>
              <w:bottom w:val="single" w:sz="8" w:color="auto"/>
              <w:right w:val="single" w:sz="8" w:color="8DB3E2"/>
            </w:tcBorders>
            <w:shd w:val="clear" w:color="auto" w:fill="8DB3E2"/>
          </w:tcPr>
          <w:p>
            <w:pPr>
              <w:spacing w:after="0"/>
              <w:rPr>
                <w:sz w:val="19"/>
                <w:szCs w:val="19"/>
                <w:color w:val="auto"/>
              </w:rPr>
            </w:pPr>
          </w:p>
        </w:tc>
        <w:tc>
          <w:tcPr>
            <w:tcW w:w="1960" w:type="dxa"/>
            <w:vAlign w:val="bottom"/>
            <w:tcBorders>
              <w:bottom w:val="single" w:sz="8" w:color="auto"/>
              <w:right w:val="single" w:sz="8" w:color="8DB3E2"/>
            </w:tcBorders>
            <w:shd w:val="clear" w:color="auto" w:fill="8DB3E2"/>
          </w:tcPr>
          <w:p>
            <w:pPr>
              <w:spacing w:after="0"/>
              <w:rPr>
                <w:sz w:val="19"/>
                <w:szCs w:val="19"/>
                <w:color w:val="auto"/>
              </w:rPr>
            </w:pPr>
          </w:p>
        </w:tc>
        <w:tc>
          <w:tcPr>
            <w:tcW w:w="3380" w:type="dxa"/>
            <w:vAlign w:val="bottom"/>
            <w:tcBorders>
              <w:bottom w:val="single" w:sz="8" w:color="auto"/>
              <w:right w:val="single" w:sz="8" w:color="auto"/>
            </w:tcBorders>
            <w:shd w:val="clear" w:color="auto" w:fill="8DB3E2"/>
          </w:tcPr>
          <w:p>
            <w:pPr>
              <w:spacing w:after="0"/>
              <w:rPr>
                <w:sz w:val="19"/>
                <w:szCs w:val="19"/>
                <w:color w:val="auto"/>
              </w:rPr>
            </w:pPr>
          </w:p>
        </w:tc>
        <w:tc>
          <w:tcPr>
            <w:tcW w:w="1380" w:type="dxa"/>
            <w:vAlign w:val="bottom"/>
            <w:tcBorders>
              <w:bottom w:val="single" w:sz="8" w:color="auto"/>
              <w:right w:val="single" w:sz="8" w:color="auto"/>
            </w:tcBorders>
            <w:shd w:val="clear" w:color="auto" w:fill="8DB3E2"/>
          </w:tcPr>
          <w:p>
            <w:pPr>
              <w:spacing w:after="0"/>
              <w:rPr>
                <w:sz w:val="19"/>
                <w:szCs w:val="19"/>
                <w:color w:val="auto"/>
              </w:rPr>
            </w:pPr>
          </w:p>
        </w:tc>
      </w:tr>
      <w:tr>
        <w:trPr>
          <w:trHeight w:val="200"/>
        </w:trPr>
        <w:tc>
          <w:tcPr>
            <w:tcW w:w="1980" w:type="dxa"/>
            <w:vAlign w:val="bottom"/>
            <w:tcBorders>
              <w:left w:val="single" w:sz="8" w:color="auto"/>
              <w:right w:val="single" w:sz="8" w:color="auto"/>
            </w:tcBorders>
            <w:shd w:val="clear" w:color="auto" w:fill="C2D69B"/>
          </w:tcPr>
          <w:p>
            <w:pPr>
              <w:jc w:val="center"/>
              <w:spacing w:after="0" w:line="200" w:lineRule="exact"/>
              <w:rPr>
                <w:sz w:val="20"/>
                <w:szCs w:val="20"/>
                <w:color w:val="auto"/>
              </w:rPr>
            </w:pPr>
            <w:r>
              <w:rPr>
                <w:rFonts w:ascii="Arial" w:cs="Arial" w:eastAsia="Arial" w:hAnsi="Arial"/>
                <w:sz w:val="20"/>
                <w:szCs w:val="20"/>
                <w:b w:val="1"/>
                <w:bCs w:val="1"/>
                <w:color w:val="auto"/>
                <w:w w:val="89"/>
              </w:rPr>
              <w:t>Borrower that is</w:t>
            </w:r>
          </w:p>
        </w:tc>
        <w:tc>
          <w:tcPr>
            <w:tcW w:w="2560" w:type="dxa"/>
            <w:vAlign w:val="bottom"/>
            <w:tcBorders>
              <w:right w:val="single" w:sz="8" w:color="auto"/>
            </w:tcBorders>
            <w:shd w:val="clear" w:color="auto" w:fill="C2D69B"/>
          </w:tcPr>
          <w:p>
            <w:pPr>
              <w:ind w:left="320"/>
              <w:spacing w:after="0" w:line="200" w:lineRule="exact"/>
              <w:rPr>
                <w:sz w:val="20"/>
                <w:szCs w:val="20"/>
                <w:color w:val="auto"/>
              </w:rPr>
            </w:pPr>
            <w:r>
              <w:rPr>
                <w:rFonts w:ascii="Arial" w:cs="Arial" w:eastAsia="Arial" w:hAnsi="Arial"/>
                <w:sz w:val="20"/>
                <w:szCs w:val="20"/>
                <w:b w:val="1"/>
                <w:bCs w:val="1"/>
                <w:color w:val="auto"/>
              </w:rPr>
              <w:t>Name / Identifier of IP</w:t>
            </w:r>
          </w:p>
        </w:tc>
        <w:tc>
          <w:tcPr>
            <w:tcW w:w="1960" w:type="dxa"/>
            <w:vAlign w:val="bottom"/>
            <w:tcBorders>
              <w:right w:val="single" w:sz="8" w:color="auto"/>
            </w:tcBorders>
            <w:shd w:val="clear" w:color="auto" w:fill="C2D69B"/>
          </w:tcPr>
          <w:p>
            <w:pPr>
              <w:jc w:val="center"/>
              <w:spacing w:after="0" w:line="200" w:lineRule="exact"/>
              <w:rPr>
                <w:sz w:val="20"/>
                <w:szCs w:val="20"/>
                <w:color w:val="auto"/>
              </w:rPr>
            </w:pPr>
            <w:r>
              <w:rPr>
                <w:rFonts w:ascii="Arial" w:cs="Arial" w:eastAsia="Arial" w:hAnsi="Arial"/>
                <w:sz w:val="20"/>
                <w:szCs w:val="20"/>
                <w:b w:val="1"/>
                <w:bCs w:val="1"/>
                <w:color w:val="auto"/>
                <w:w w:val="89"/>
              </w:rPr>
              <w:t>Type of IP (e.g.,</w:t>
            </w:r>
          </w:p>
        </w:tc>
        <w:tc>
          <w:tcPr>
            <w:tcW w:w="3380" w:type="dxa"/>
            <w:vAlign w:val="bottom"/>
            <w:tcBorders>
              <w:right w:val="single" w:sz="8" w:color="auto"/>
            </w:tcBorders>
            <w:shd w:val="clear" w:color="auto" w:fill="C2D69B"/>
          </w:tcPr>
          <w:p>
            <w:pPr>
              <w:jc w:val="center"/>
              <w:spacing w:after="0" w:line="200" w:lineRule="exact"/>
              <w:rPr>
                <w:sz w:val="20"/>
                <w:szCs w:val="20"/>
                <w:color w:val="auto"/>
              </w:rPr>
            </w:pPr>
            <w:r>
              <w:rPr>
                <w:rFonts w:ascii="Arial" w:cs="Arial" w:eastAsia="Arial" w:hAnsi="Arial"/>
                <w:sz w:val="20"/>
                <w:szCs w:val="20"/>
                <w:b w:val="1"/>
                <w:bCs w:val="1"/>
                <w:color w:val="auto"/>
                <w:w w:val="90"/>
              </w:rPr>
              <w:t>Registration/Publication or Application</w:t>
            </w:r>
          </w:p>
        </w:tc>
        <w:tc>
          <w:tcPr>
            <w:tcW w:w="1380" w:type="dxa"/>
            <w:vAlign w:val="bottom"/>
            <w:tcBorders>
              <w:right w:val="single" w:sz="8" w:color="auto"/>
            </w:tcBorders>
            <w:shd w:val="clear" w:color="auto" w:fill="C2D69B"/>
          </w:tcPr>
          <w:p>
            <w:pPr>
              <w:jc w:val="center"/>
              <w:spacing w:after="0" w:line="200" w:lineRule="exact"/>
              <w:rPr>
                <w:sz w:val="20"/>
                <w:szCs w:val="20"/>
                <w:color w:val="auto"/>
              </w:rPr>
            </w:pPr>
            <w:r>
              <w:rPr>
                <w:rFonts w:ascii="Arial" w:cs="Arial" w:eastAsia="Arial" w:hAnsi="Arial"/>
                <w:sz w:val="20"/>
                <w:szCs w:val="20"/>
                <w:b w:val="1"/>
                <w:bCs w:val="1"/>
                <w:color w:val="auto"/>
                <w:w w:val="89"/>
              </w:rPr>
              <w:t>Filing</w:t>
            </w:r>
          </w:p>
        </w:tc>
      </w:tr>
      <w:tr>
        <w:trPr>
          <w:trHeight w:val="229"/>
        </w:trPr>
        <w:tc>
          <w:tcPr>
            <w:tcW w:w="1980" w:type="dxa"/>
            <w:vAlign w:val="bottom"/>
            <w:tcBorders>
              <w:left w:val="single" w:sz="8" w:color="auto"/>
              <w:right w:val="single" w:sz="8" w:color="auto"/>
            </w:tcBorders>
            <w:shd w:val="clear" w:color="auto" w:fill="C2D69B"/>
          </w:tcPr>
          <w:p>
            <w:pPr>
              <w:jc w:val="center"/>
              <w:spacing w:after="0"/>
              <w:rPr>
                <w:sz w:val="20"/>
                <w:szCs w:val="20"/>
                <w:color w:val="auto"/>
              </w:rPr>
            </w:pPr>
            <w:r>
              <w:rPr>
                <w:rFonts w:ascii="Arial" w:cs="Arial" w:eastAsia="Arial" w:hAnsi="Arial"/>
                <w:sz w:val="20"/>
                <w:szCs w:val="20"/>
                <w:b w:val="1"/>
                <w:bCs w:val="1"/>
                <w:color w:val="auto"/>
                <w:w w:val="93"/>
              </w:rPr>
              <w:t>Owner of IP</w:t>
            </w:r>
          </w:p>
        </w:tc>
        <w:tc>
          <w:tcPr>
            <w:tcW w:w="2560" w:type="dxa"/>
            <w:vAlign w:val="bottom"/>
            <w:tcBorders>
              <w:right w:val="single" w:sz="8" w:color="auto"/>
            </w:tcBorders>
            <w:shd w:val="clear" w:color="auto" w:fill="C2D69B"/>
          </w:tcPr>
          <w:p>
            <w:pPr>
              <w:spacing w:after="0"/>
              <w:rPr>
                <w:sz w:val="19"/>
                <w:szCs w:val="19"/>
                <w:color w:val="auto"/>
              </w:rPr>
            </w:pPr>
          </w:p>
        </w:tc>
        <w:tc>
          <w:tcPr>
            <w:tcW w:w="1960" w:type="dxa"/>
            <w:vAlign w:val="bottom"/>
            <w:tcBorders>
              <w:right w:val="single" w:sz="8" w:color="auto"/>
            </w:tcBorders>
            <w:shd w:val="clear" w:color="auto" w:fill="C2D69B"/>
          </w:tcPr>
          <w:p>
            <w:pPr>
              <w:jc w:val="center"/>
              <w:spacing w:after="0"/>
              <w:rPr>
                <w:sz w:val="20"/>
                <w:szCs w:val="20"/>
                <w:color w:val="auto"/>
              </w:rPr>
            </w:pPr>
            <w:r>
              <w:rPr>
                <w:rFonts w:ascii="Arial" w:cs="Arial" w:eastAsia="Arial" w:hAnsi="Arial"/>
                <w:sz w:val="20"/>
                <w:szCs w:val="20"/>
                <w:b w:val="1"/>
                <w:bCs w:val="1"/>
                <w:color w:val="auto"/>
                <w:w w:val="93"/>
              </w:rPr>
              <w:t>patent, TM, ©, mask</w:t>
            </w:r>
          </w:p>
        </w:tc>
        <w:tc>
          <w:tcPr>
            <w:tcW w:w="3380" w:type="dxa"/>
            <w:vAlign w:val="bottom"/>
            <w:tcBorders>
              <w:right w:val="single" w:sz="8" w:color="auto"/>
            </w:tcBorders>
            <w:shd w:val="clear" w:color="auto" w:fill="C2D69B"/>
          </w:tcPr>
          <w:p>
            <w:pPr>
              <w:jc w:val="center"/>
              <w:spacing w:after="0"/>
              <w:rPr>
                <w:sz w:val="20"/>
                <w:szCs w:val="20"/>
                <w:color w:val="auto"/>
              </w:rPr>
            </w:pPr>
            <w:r>
              <w:rPr>
                <w:rFonts w:ascii="Arial" w:cs="Arial" w:eastAsia="Arial" w:hAnsi="Arial"/>
                <w:sz w:val="20"/>
                <w:szCs w:val="20"/>
                <w:b w:val="1"/>
                <w:bCs w:val="1"/>
                <w:color w:val="auto"/>
                <w:w w:val="92"/>
              </w:rPr>
              <w:t>Number</w:t>
            </w:r>
          </w:p>
        </w:tc>
        <w:tc>
          <w:tcPr>
            <w:tcW w:w="1380" w:type="dxa"/>
            <w:vAlign w:val="bottom"/>
            <w:tcBorders>
              <w:right w:val="single" w:sz="8" w:color="auto"/>
            </w:tcBorders>
            <w:shd w:val="clear" w:color="auto" w:fill="C2D69B"/>
          </w:tcPr>
          <w:p>
            <w:pPr>
              <w:jc w:val="center"/>
              <w:spacing w:after="0"/>
              <w:rPr>
                <w:sz w:val="20"/>
                <w:szCs w:val="20"/>
                <w:color w:val="auto"/>
              </w:rPr>
            </w:pPr>
            <w:r>
              <w:rPr>
                <w:rFonts w:ascii="Arial" w:cs="Arial" w:eastAsia="Arial" w:hAnsi="Arial"/>
                <w:sz w:val="20"/>
                <w:szCs w:val="20"/>
                <w:b w:val="1"/>
                <w:bCs w:val="1"/>
                <w:color w:val="auto"/>
                <w:w w:val="92"/>
              </w:rPr>
              <w:t>Date/Expiration</w:t>
            </w:r>
          </w:p>
        </w:tc>
      </w:tr>
      <w:tr>
        <w:trPr>
          <w:trHeight w:val="252"/>
        </w:trPr>
        <w:tc>
          <w:tcPr>
            <w:tcW w:w="1980" w:type="dxa"/>
            <w:vAlign w:val="bottom"/>
            <w:tcBorders>
              <w:left w:val="single" w:sz="8" w:color="auto"/>
              <w:bottom w:val="single" w:sz="8" w:color="auto"/>
              <w:right w:val="single" w:sz="8" w:color="auto"/>
            </w:tcBorders>
            <w:shd w:val="clear" w:color="auto" w:fill="C2D69B"/>
          </w:tcPr>
          <w:p>
            <w:pPr>
              <w:spacing w:after="0"/>
              <w:rPr>
                <w:sz w:val="21"/>
                <w:szCs w:val="21"/>
                <w:color w:val="auto"/>
              </w:rPr>
            </w:pPr>
          </w:p>
        </w:tc>
        <w:tc>
          <w:tcPr>
            <w:tcW w:w="2560" w:type="dxa"/>
            <w:vAlign w:val="bottom"/>
            <w:tcBorders>
              <w:bottom w:val="single" w:sz="8" w:color="auto"/>
              <w:right w:val="single" w:sz="8" w:color="auto"/>
            </w:tcBorders>
            <w:shd w:val="clear" w:color="auto" w:fill="C2D69B"/>
          </w:tcPr>
          <w:p>
            <w:pPr>
              <w:spacing w:after="0"/>
              <w:rPr>
                <w:sz w:val="21"/>
                <w:szCs w:val="21"/>
                <w:color w:val="auto"/>
              </w:rPr>
            </w:pPr>
          </w:p>
        </w:tc>
        <w:tc>
          <w:tcPr>
            <w:tcW w:w="1960" w:type="dxa"/>
            <w:vAlign w:val="bottom"/>
            <w:tcBorders>
              <w:bottom w:val="single" w:sz="8" w:color="auto"/>
              <w:right w:val="single" w:sz="8" w:color="auto"/>
            </w:tcBorders>
            <w:shd w:val="clear" w:color="auto" w:fill="C2D69B"/>
          </w:tcPr>
          <w:p>
            <w:pPr>
              <w:jc w:val="center"/>
              <w:spacing w:after="0"/>
              <w:rPr>
                <w:sz w:val="20"/>
                <w:szCs w:val="20"/>
                <w:color w:val="auto"/>
              </w:rPr>
            </w:pPr>
            <w:r>
              <w:rPr>
                <w:rFonts w:ascii="Arial" w:cs="Arial" w:eastAsia="Arial" w:hAnsi="Arial"/>
                <w:sz w:val="20"/>
                <w:szCs w:val="20"/>
                <w:b w:val="1"/>
                <w:bCs w:val="1"/>
                <w:color w:val="auto"/>
                <w:w w:val="97"/>
              </w:rPr>
              <w:t>work)</w:t>
            </w:r>
          </w:p>
        </w:tc>
        <w:tc>
          <w:tcPr>
            <w:tcW w:w="3380" w:type="dxa"/>
            <w:vAlign w:val="bottom"/>
            <w:tcBorders>
              <w:bottom w:val="single" w:sz="8" w:color="auto"/>
              <w:right w:val="single" w:sz="8" w:color="auto"/>
            </w:tcBorders>
            <w:shd w:val="clear" w:color="auto" w:fill="C2D69B"/>
          </w:tcPr>
          <w:p>
            <w:pPr>
              <w:spacing w:after="0"/>
              <w:rPr>
                <w:sz w:val="21"/>
                <w:szCs w:val="21"/>
                <w:color w:val="auto"/>
              </w:rPr>
            </w:pPr>
          </w:p>
        </w:tc>
        <w:tc>
          <w:tcPr>
            <w:tcW w:w="1380" w:type="dxa"/>
            <w:vAlign w:val="bottom"/>
            <w:tcBorders>
              <w:bottom w:val="single" w:sz="8" w:color="auto"/>
              <w:right w:val="single" w:sz="8" w:color="auto"/>
            </w:tcBorders>
            <w:shd w:val="clear" w:color="auto" w:fill="C2D69B"/>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23"/>
        </w:trPr>
        <w:tc>
          <w:tcPr>
            <w:tcW w:w="1980" w:type="dxa"/>
            <w:vAlign w:val="bottom"/>
            <w:tcBorders>
              <w:left w:val="single" w:sz="8" w:color="auto"/>
              <w:bottom w:val="single" w:sz="8" w:color="auto"/>
              <w:right w:val="single" w:sz="8" w:color="auto"/>
            </w:tcBorders>
            <w:shd w:val="clear" w:color="auto" w:fill="C2D69B"/>
          </w:tcPr>
          <w:p>
            <w:pPr>
              <w:spacing w:after="0"/>
              <w:rPr>
                <w:sz w:val="19"/>
                <w:szCs w:val="19"/>
                <w:color w:val="auto"/>
              </w:rPr>
            </w:pPr>
          </w:p>
        </w:tc>
        <w:tc>
          <w:tcPr>
            <w:tcW w:w="2560" w:type="dxa"/>
            <w:vAlign w:val="bottom"/>
            <w:tcBorders>
              <w:bottom w:val="single" w:sz="8" w:color="auto"/>
              <w:right w:val="single" w:sz="8" w:color="auto"/>
            </w:tcBorders>
            <w:shd w:val="clear" w:color="auto" w:fill="C2D69B"/>
          </w:tcPr>
          <w:p>
            <w:pPr>
              <w:spacing w:after="0"/>
              <w:rPr>
                <w:sz w:val="19"/>
                <w:szCs w:val="19"/>
                <w:color w:val="auto"/>
              </w:rPr>
            </w:pPr>
          </w:p>
        </w:tc>
        <w:tc>
          <w:tcPr>
            <w:tcW w:w="1960" w:type="dxa"/>
            <w:vAlign w:val="bottom"/>
            <w:tcBorders>
              <w:bottom w:val="single" w:sz="8" w:color="auto"/>
              <w:right w:val="single" w:sz="8" w:color="auto"/>
            </w:tcBorders>
            <w:shd w:val="clear" w:color="auto" w:fill="C2D69B"/>
          </w:tcPr>
          <w:p>
            <w:pPr>
              <w:spacing w:after="0"/>
              <w:rPr>
                <w:sz w:val="19"/>
                <w:szCs w:val="19"/>
                <w:color w:val="auto"/>
              </w:rPr>
            </w:pPr>
          </w:p>
        </w:tc>
        <w:tc>
          <w:tcPr>
            <w:tcW w:w="3380" w:type="dxa"/>
            <w:vAlign w:val="bottom"/>
            <w:tcBorders>
              <w:bottom w:val="single" w:sz="8" w:color="auto"/>
              <w:right w:val="single" w:sz="8" w:color="auto"/>
            </w:tcBorders>
            <w:shd w:val="clear" w:color="auto" w:fill="C2D69B"/>
          </w:tcPr>
          <w:p>
            <w:pPr>
              <w:spacing w:after="0"/>
              <w:rPr>
                <w:sz w:val="19"/>
                <w:szCs w:val="19"/>
                <w:color w:val="auto"/>
              </w:rPr>
            </w:pPr>
          </w:p>
        </w:tc>
        <w:tc>
          <w:tcPr>
            <w:tcW w:w="1380" w:type="dxa"/>
            <w:vAlign w:val="bottom"/>
            <w:tcBorders>
              <w:bottom w:val="single" w:sz="8" w:color="auto"/>
              <w:right w:val="single" w:sz="8" w:color="auto"/>
            </w:tcBorders>
            <w:shd w:val="clear" w:color="auto" w:fill="C2D69B"/>
          </w:tcPr>
          <w:p>
            <w:pPr>
              <w:spacing w:after="0"/>
              <w:rPr>
                <w:sz w:val="19"/>
                <w:szCs w:val="19"/>
                <w:color w:val="auto"/>
              </w:rPr>
            </w:pPr>
          </w:p>
        </w:tc>
      </w:tr>
      <w:tr>
        <w:trPr>
          <w:trHeight w:val="223"/>
        </w:trPr>
        <w:tc>
          <w:tcPr>
            <w:tcW w:w="1980" w:type="dxa"/>
            <w:vAlign w:val="bottom"/>
            <w:tcBorders>
              <w:left w:val="single" w:sz="8" w:color="auto"/>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1980" w:type="dxa"/>
            <w:vAlign w:val="bottom"/>
            <w:tcBorders>
              <w:left w:val="single" w:sz="8" w:color="auto"/>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1980" w:type="dxa"/>
            <w:vAlign w:val="bottom"/>
            <w:tcBorders>
              <w:left w:val="single" w:sz="8" w:color="auto"/>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1980" w:type="dxa"/>
            <w:vAlign w:val="bottom"/>
            <w:tcBorders>
              <w:left w:val="single" w:sz="8" w:color="auto"/>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1980" w:type="dxa"/>
            <w:vAlign w:val="bottom"/>
            <w:tcBorders>
              <w:left w:val="single" w:sz="8" w:color="auto"/>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242" w:name="page243"/>
    <w:bookmarkEnd w:id="242"/>
    <w:p>
      <w:pPr>
        <w:jc w:val="center"/>
        <w:ind w:right="20"/>
        <w:spacing w:after="0"/>
        <w:rPr>
          <w:sz w:val="20"/>
          <w:szCs w:val="20"/>
          <w:color w:val="auto"/>
        </w:rPr>
      </w:pPr>
      <w:r>
        <w:rPr>
          <w:rFonts w:ascii="Arial" w:cs="Arial" w:eastAsia="Arial" w:hAnsi="Arial"/>
          <w:sz w:val="20"/>
          <w:szCs w:val="20"/>
          <w:b w:val="1"/>
          <w:bCs w:val="1"/>
          <w:u w:val="single" w:color="auto"/>
          <w:color w:val="auto"/>
        </w:rPr>
        <w:t>INTANGIBLE ASSETS SCHEDULE (</w:t>
      </w:r>
      <w:r>
        <w:rPr>
          <w:rFonts w:ascii="Arial" w:cs="Arial" w:eastAsia="Arial" w:hAnsi="Arial"/>
          <w:sz w:val="20"/>
          <w:szCs w:val="20"/>
          <w:b w:val="1"/>
          <w:bCs w:val="1"/>
          <w:i w:val="1"/>
          <w:iCs w:val="1"/>
          <w:u w:val="single" w:color="auto"/>
          <w:color w:val="auto"/>
        </w:rPr>
        <w:t>CONTINUED</w:t>
      </w:r>
      <w:r>
        <w:rPr>
          <w:rFonts w:ascii="Arial" w:cs="Arial" w:eastAsia="Arial" w:hAnsi="Arial"/>
          <w:sz w:val="20"/>
          <w:szCs w:val="20"/>
          <w:b w:val="1"/>
          <w:bCs w:val="1"/>
          <w:u w:val="single" w:color="auto"/>
          <w:color w:val="auto"/>
        </w:rPr>
        <w:t>)</w:t>
      </w:r>
    </w:p>
    <w:p>
      <w:pPr>
        <w:spacing w:after="0" w:line="200" w:lineRule="exact"/>
        <w:rPr>
          <w:sz w:val="20"/>
          <w:szCs w:val="20"/>
          <w:color w:val="auto"/>
        </w:rPr>
      </w:pPr>
    </w:p>
    <w:p>
      <w:pPr>
        <w:spacing w:after="0" w:line="245" w:lineRule="exact"/>
        <w:rPr>
          <w:sz w:val="20"/>
          <w:szCs w:val="20"/>
          <w:color w:val="auto"/>
        </w:rPr>
      </w:pPr>
    </w:p>
    <w:p>
      <w:pPr>
        <w:ind w:left="3760"/>
        <w:spacing w:after="0"/>
        <w:rPr>
          <w:sz w:val="20"/>
          <w:szCs w:val="20"/>
          <w:color w:val="auto"/>
        </w:rPr>
      </w:pPr>
      <w:r>
        <w:rPr>
          <w:rFonts w:ascii="Arial" w:cs="Arial" w:eastAsia="Arial" w:hAnsi="Arial"/>
          <w:sz w:val="20"/>
          <w:szCs w:val="20"/>
          <w:b w:val="1"/>
          <w:bCs w:val="1"/>
          <w:u w:val="single" w:color="auto"/>
          <w:color w:val="auto"/>
        </w:rPr>
        <w:t>LICENSE AND SIMILAR AGREEMENTS</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INBOUND LICENSE # 1 [COMPLETE FOR EACH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44145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0575" cy="44145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2600" w:type="dxa"/>
            <w:vAlign w:val="bottom"/>
            <w:tcBorders>
              <w:top w:val="single" w:sz="8" w:color="auto"/>
            </w:tcBorders>
          </w:tcPr>
          <w:p>
            <w:pPr>
              <w:ind w:left="20"/>
              <w:spacing w:after="0" w:line="200" w:lineRule="exact"/>
              <w:rPr>
                <w:sz w:val="20"/>
                <w:szCs w:val="20"/>
                <w:color w:val="auto"/>
              </w:rPr>
            </w:pPr>
            <w:r>
              <w:rPr>
                <w:rFonts w:ascii="Arial" w:cs="Arial" w:eastAsia="Arial" w:hAnsi="Arial"/>
                <w:sz w:val="20"/>
                <w:szCs w:val="20"/>
                <w:b w:val="1"/>
                <w:bCs w:val="1"/>
                <w:color w:val="auto"/>
              </w:rPr>
              <w:t>Name and Date of License</w:t>
            </w:r>
          </w:p>
        </w:tc>
        <w:tc>
          <w:tcPr>
            <w:tcW w:w="8660" w:type="dxa"/>
            <w:vAlign w:val="bottom"/>
            <w:tcBorders>
              <w:top w:val="single" w:sz="8" w:color="auto"/>
            </w:tcBorders>
          </w:tcPr>
          <w:p>
            <w:pPr>
              <w:spacing w:after="0"/>
              <w:rPr>
                <w:sz w:val="17"/>
                <w:szCs w:val="17"/>
                <w:color w:val="auto"/>
              </w:rPr>
            </w:pPr>
          </w:p>
        </w:tc>
      </w:tr>
      <w:tr>
        <w:trPr>
          <w:trHeight w:val="25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Agreement:</w:t>
            </w:r>
          </w:p>
        </w:tc>
        <w:tc>
          <w:tcPr>
            <w:tcW w:w="8660" w:type="dxa"/>
            <w:vAlign w:val="bottom"/>
            <w:tcBorders>
              <w:bottom w:val="single" w:sz="8" w:color="auto"/>
            </w:tcBorders>
          </w:tcPr>
          <w:p>
            <w:pPr>
              <w:spacing w:after="0"/>
              <w:rPr>
                <w:sz w:val="21"/>
                <w:szCs w:val="21"/>
                <w:color w:val="auto"/>
              </w:rPr>
            </w:pPr>
          </w:p>
        </w:tc>
      </w:tr>
      <w:tr>
        <w:trPr>
          <w:trHeight w:val="223"/>
        </w:trPr>
        <w:tc>
          <w:tcPr>
            <w:tcW w:w="260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b w:val="1"/>
                <w:bCs w:val="1"/>
                <w:color w:val="auto"/>
              </w:rPr>
              <w:t>Borrower that is Licensee:</w:t>
            </w:r>
          </w:p>
        </w:tc>
        <w:tc>
          <w:tcPr>
            <w:tcW w:w="8660" w:type="dxa"/>
            <w:vAlign w:val="bottom"/>
            <w:tcBorders>
              <w:bottom w:val="single" w:sz="8" w:color="auto"/>
            </w:tcBorders>
          </w:tcPr>
          <w:p>
            <w:pPr>
              <w:spacing w:after="0"/>
              <w:rPr>
                <w:sz w:val="19"/>
                <w:szCs w:val="19"/>
                <w:color w:val="auto"/>
              </w:rPr>
            </w:pPr>
          </w:p>
        </w:tc>
      </w:tr>
      <w:tr>
        <w:trPr>
          <w:trHeight w:val="200"/>
        </w:trPr>
        <w:tc>
          <w:tcPr>
            <w:tcW w:w="2600" w:type="dxa"/>
            <w:vAlign w:val="bottom"/>
          </w:tcPr>
          <w:p>
            <w:pPr>
              <w:ind w:left="20"/>
              <w:spacing w:after="0" w:line="200" w:lineRule="exact"/>
              <w:rPr>
                <w:sz w:val="20"/>
                <w:szCs w:val="20"/>
                <w:color w:val="auto"/>
              </w:rPr>
            </w:pPr>
            <w:r>
              <w:rPr>
                <w:rFonts w:ascii="Arial" w:cs="Arial" w:eastAsia="Arial" w:hAnsi="Arial"/>
                <w:sz w:val="20"/>
                <w:szCs w:val="20"/>
                <w:b w:val="1"/>
                <w:bCs w:val="1"/>
                <w:color w:val="auto"/>
              </w:rPr>
              <w:t>Name and address of</w:t>
            </w:r>
          </w:p>
        </w:tc>
        <w:tc>
          <w:tcPr>
            <w:tcW w:w="8660" w:type="dxa"/>
            <w:vAlign w:val="bottom"/>
          </w:tcPr>
          <w:p>
            <w:pPr>
              <w:spacing w:after="0"/>
              <w:rPr>
                <w:sz w:val="17"/>
                <w:szCs w:val="17"/>
                <w:color w:val="auto"/>
              </w:rPr>
            </w:pPr>
          </w:p>
        </w:tc>
      </w:tr>
      <w:tr>
        <w:trPr>
          <w:trHeight w:val="25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Licensor:</w:t>
            </w:r>
          </w:p>
        </w:tc>
        <w:tc>
          <w:tcPr>
            <w:tcW w:w="8660" w:type="dxa"/>
            <w:vAlign w:val="bottom"/>
            <w:tcBorders>
              <w:bottom w:val="single" w:sz="8" w:color="auto"/>
            </w:tcBorders>
          </w:tcPr>
          <w:p>
            <w:pPr>
              <w:spacing w:after="0"/>
              <w:rPr>
                <w:sz w:val="21"/>
                <w:szCs w:val="21"/>
                <w:color w:val="auto"/>
              </w:rPr>
            </w:pPr>
          </w:p>
        </w:tc>
      </w:tr>
      <w:tr>
        <w:trPr>
          <w:trHeight w:val="223"/>
        </w:trPr>
        <w:tc>
          <w:tcPr>
            <w:tcW w:w="260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b w:val="1"/>
                <w:bCs w:val="1"/>
                <w:color w:val="auto"/>
              </w:rPr>
              <w:t>Expiration Date of License</w:t>
            </w:r>
          </w:p>
        </w:tc>
        <w:tc>
          <w:tcPr>
            <w:tcW w:w="8660" w:type="dxa"/>
            <w:vAlign w:val="bottom"/>
            <w:tcBorders>
              <w:bottom w:val="single" w:sz="8" w:color="auto"/>
            </w:tcBorders>
          </w:tcPr>
          <w:p>
            <w:pPr>
              <w:spacing w:after="0"/>
              <w:rPr>
                <w:sz w:val="19"/>
                <w:szCs w:val="19"/>
                <w:color w:val="auto"/>
              </w:rPr>
            </w:pPr>
          </w:p>
        </w:tc>
      </w:tr>
      <w:tr>
        <w:trPr>
          <w:trHeight w:val="223"/>
        </w:trPr>
        <w:tc>
          <w:tcPr>
            <w:tcW w:w="260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b w:val="1"/>
                <w:bCs w:val="1"/>
                <w:color w:val="auto"/>
              </w:rPr>
              <w:t>Exclusive License [Y/N]?</w:t>
            </w:r>
          </w:p>
        </w:tc>
        <w:tc>
          <w:tcPr>
            <w:tcW w:w="8660" w:type="dxa"/>
            <w:vAlign w:val="bottom"/>
            <w:tcBorders>
              <w:bottom w:val="single" w:sz="8" w:color="auto"/>
            </w:tcBorders>
          </w:tcPr>
          <w:p>
            <w:pPr>
              <w:spacing w:after="0"/>
              <w:rPr>
                <w:sz w:val="19"/>
                <w:szCs w:val="19"/>
                <w:color w:val="auto"/>
              </w:rPr>
            </w:pPr>
          </w:p>
        </w:tc>
      </w:tr>
      <w:tr>
        <w:trPr>
          <w:trHeight w:val="200"/>
        </w:trPr>
        <w:tc>
          <w:tcPr>
            <w:tcW w:w="2600" w:type="dxa"/>
            <w:vAlign w:val="bottom"/>
          </w:tcPr>
          <w:p>
            <w:pPr>
              <w:ind w:left="20"/>
              <w:spacing w:after="0" w:line="200" w:lineRule="exact"/>
              <w:rPr>
                <w:sz w:val="20"/>
                <w:szCs w:val="20"/>
                <w:color w:val="auto"/>
              </w:rPr>
            </w:pPr>
            <w:r>
              <w:rPr>
                <w:rFonts w:ascii="Arial" w:cs="Arial" w:eastAsia="Arial" w:hAnsi="Arial"/>
                <w:sz w:val="20"/>
                <w:szCs w:val="20"/>
                <w:b w:val="1"/>
                <w:bCs w:val="1"/>
                <w:color w:val="auto"/>
              </w:rPr>
              <w:t>Restrictions on:</w:t>
            </w:r>
          </w:p>
        </w:tc>
        <w:tc>
          <w:tcPr>
            <w:tcW w:w="8660" w:type="dxa"/>
            <w:vAlign w:val="bottom"/>
          </w:tcPr>
          <w:p>
            <w:pPr>
              <w:ind w:left="20"/>
              <w:spacing w:after="0" w:line="200" w:lineRule="exact"/>
              <w:rPr>
                <w:sz w:val="20"/>
                <w:szCs w:val="20"/>
                <w:color w:val="auto"/>
              </w:rPr>
            </w:pPr>
            <w:r>
              <w:rPr>
                <w:rFonts w:ascii="Arial" w:cs="Arial" w:eastAsia="Arial" w:hAnsi="Arial"/>
                <w:sz w:val="20"/>
                <w:szCs w:val="20"/>
                <w:b w:val="1"/>
                <w:bCs w:val="1"/>
                <w:color w:val="auto"/>
              </w:rPr>
              <w:t>Right to Grant a Lien</w:t>
            </w:r>
          </w:p>
        </w:tc>
      </w:tr>
      <w:tr>
        <w:trPr>
          <w:trHeight w:val="252"/>
        </w:trPr>
        <w:tc>
          <w:tcPr>
            <w:tcW w:w="2600" w:type="dxa"/>
            <w:vAlign w:val="bottom"/>
          </w:tcPr>
          <w:p>
            <w:pPr>
              <w:spacing w:after="0"/>
              <w:rPr>
                <w:sz w:val="21"/>
                <w:szCs w:val="21"/>
                <w:color w:val="auto"/>
              </w:rPr>
            </w:pPr>
          </w:p>
        </w:tc>
        <w:tc>
          <w:tcPr>
            <w:tcW w:w="86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[Y/N]?</w:t>
            </w:r>
          </w:p>
        </w:tc>
      </w:tr>
      <w:tr>
        <w:trPr>
          <w:trHeight w:val="223"/>
        </w:trPr>
        <w:tc>
          <w:tcPr>
            <w:tcW w:w="2600" w:type="dxa"/>
            <w:vAlign w:val="bottom"/>
          </w:tcPr>
          <w:p>
            <w:pPr>
              <w:spacing w:after="0"/>
              <w:rPr>
                <w:sz w:val="19"/>
                <w:szCs w:val="19"/>
                <w:color w:val="auto"/>
              </w:rPr>
            </w:pPr>
          </w:p>
        </w:tc>
        <w:tc>
          <w:tcPr>
            <w:tcW w:w="86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b w:val="1"/>
                <w:bCs w:val="1"/>
                <w:color w:val="auto"/>
              </w:rPr>
              <w:t>Right to Assign [Y/N]?</w:t>
            </w:r>
          </w:p>
        </w:tc>
      </w:tr>
      <w:tr>
        <w:trPr>
          <w:trHeight w:val="236"/>
        </w:trPr>
        <w:tc>
          <w:tcPr>
            <w:tcW w:w="2600" w:type="dxa"/>
            <w:vAlign w:val="bottom"/>
          </w:tcPr>
          <w:p>
            <w:pPr>
              <w:spacing w:after="0"/>
              <w:rPr>
                <w:sz w:val="20"/>
                <w:szCs w:val="20"/>
                <w:color w:val="auto"/>
              </w:rPr>
            </w:pPr>
          </w:p>
        </w:tc>
        <w:tc>
          <w:tcPr>
            <w:tcW w:w="8660" w:type="dxa"/>
            <w:vAlign w:val="bottom"/>
          </w:tcPr>
          <w:p>
            <w:pPr>
              <w:ind w:left="20"/>
              <w:spacing w:after="0"/>
              <w:rPr>
                <w:sz w:val="20"/>
                <w:szCs w:val="20"/>
                <w:color w:val="auto"/>
              </w:rPr>
            </w:pPr>
            <w:r>
              <w:rPr>
                <w:rFonts w:ascii="Arial" w:cs="Arial" w:eastAsia="Arial" w:hAnsi="Arial"/>
                <w:sz w:val="20"/>
                <w:szCs w:val="20"/>
                <w:b w:val="1"/>
                <w:bCs w:val="1"/>
                <w:color w:val="auto"/>
              </w:rPr>
              <w:t>Right to Sublicense [Y/N]?</w:t>
            </w:r>
          </w:p>
        </w:tc>
      </w:tr>
    </w:tbl>
    <w:p>
      <w:pPr>
        <w:jc w:val="center"/>
        <w:ind w:left="2600"/>
        <w:spacing w:after="0"/>
        <w:rPr>
          <w:sz w:val="20"/>
          <w:szCs w:val="20"/>
          <w:color w:val="auto"/>
        </w:rPr>
      </w:pPr>
      <w:r>
        <w:rPr>
          <w:rFonts w:ascii="Arial" w:cs="Arial" w:eastAsia="Arial" w:hAnsi="Arial"/>
          <w:sz w:val="20"/>
          <w:szCs w:val="20"/>
          <w:b w:val="1"/>
          <w:bCs w:val="1"/>
          <w:color w:val="auto"/>
        </w:rPr>
        <w:t>Describe Licensed Intellectual Property For This License</w:t>
      </w:r>
    </w:p>
    <w:tbl>
      <w:tblPr>
        <w:tblLayout w:type="fixed"/>
        <w:tblInd w:w="0" w:type="dxa"/>
        <w:tblCellMar>
          <w:top w:w="0" w:type="dxa"/>
          <w:left w:w="0" w:type="dxa"/>
          <w:bottom w:w="0" w:type="dxa"/>
          <w:right w:w="0" w:type="dxa"/>
        </w:tblCellMar>
      </w:tblPr>
      <w:tr>
        <w:trPr>
          <w:trHeight w:val="200"/>
        </w:trPr>
        <w:tc>
          <w:tcPr>
            <w:tcW w:w="2620" w:type="dxa"/>
            <w:vAlign w:val="bottom"/>
            <w:tcBorders>
              <w:top w:val="single" w:sz="8" w:color="auto"/>
            </w:tcBorders>
          </w:tcPr>
          <w:p>
            <w:pPr>
              <w:ind w:left="20"/>
              <w:spacing w:after="0" w:line="200" w:lineRule="exact"/>
              <w:rPr>
                <w:sz w:val="20"/>
                <w:szCs w:val="20"/>
                <w:color w:val="auto"/>
              </w:rPr>
            </w:pPr>
            <w:r>
              <w:rPr>
                <w:rFonts w:ascii="Arial" w:cs="Arial" w:eastAsia="Arial" w:hAnsi="Arial"/>
                <w:sz w:val="20"/>
                <w:szCs w:val="20"/>
                <w:b w:val="1"/>
                <w:bCs w:val="1"/>
                <w:color w:val="auto"/>
              </w:rPr>
              <w:t>Name / Identifier of IP</w:t>
            </w:r>
          </w:p>
        </w:tc>
        <w:tc>
          <w:tcPr>
            <w:tcW w:w="560" w:type="dxa"/>
            <w:vAlign w:val="bottom"/>
            <w:tcBorders>
              <w:top w:val="single" w:sz="8" w:color="auto"/>
              <w:right w:val="single" w:sz="8" w:color="auto"/>
            </w:tcBorders>
          </w:tcPr>
          <w:p>
            <w:pPr>
              <w:spacing w:after="0"/>
              <w:rPr>
                <w:sz w:val="17"/>
                <w:szCs w:val="17"/>
                <w:color w:val="auto"/>
              </w:rPr>
            </w:pPr>
          </w:p>
        </w:tc>
        <w:tc>
          <w:tcPr>
            <w:tcW w:w="2560" w:type="dxa"/>
            <w:vAlign w:val="bottom"/>
            <w:tcBorders>
              <w:top w:val="single" w:sz="8" w:color="auto"/>
              <w:right w:val="single" w:sz="8" w:color="auto"/>
            </w:tcBorders>
          </w:tcPr>
          <w:p>
            <w:pPr>
              <w:spacing w:after="0" w:line="200" w:lineRule="exact"/>
              <w:rPr>
                <w:sz w:val="20"/>
                <w:szCs w:val="20"/>
                <w:color w:val="auto"/>
              </w:rPr>
            </w:pPr>
            <w:r>
              <w:rPr>
                <w:rFonts w:ascii="Arial" w:cs="Arial" w:eastAsia="Arial" w:hAnsi="Arial"/>
                <w:sz w:val="20"/>
                <w:szCs w:val="20"/>
                <w:b w:val="1"/>
                <w:bCs w:val="1"/>
                <w:color w:val="auto"/>
                <w:w w:val="97"/>
              </w:rPr>
              <w:t>Type of IP (e.g., patent, TM,</w:t>
            </w:r>
          </w:p>
        </w:tc>
        <w:tc>
          <w:tcPr>
            <w:tcW w:w="4140" w:type="dxa"/>
            <w:vAlign w:val="bottom"/>
            <w:tcBorders>
              <w:top w:val="single" w:sz="8" w:color="auto"/>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89"/>
              </w:rPr>
              <w:t>Registration/</w:t>
            </w:r>
          </w:p>
        </w:tc>
        <w:tc>
          <w:tcPr>
            <w:tcW w:w="136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89"/>
              </w:rPr>
              <w:t>Filing</w:t>
            </w:r>
          </w:p>
        </w:tc>
        <w:tc>
          <w:tcPr>
            <w:tcW w:w="20" w:type="dxa"/>
            <w:vAlign w:val="bottom"/>
            <w:tcBorders>
              <w:top w:val="single" w:sz="8" w:color="auto"/>
            </w:tcBorders>
          </w:tcPr>
          <w:p>
            <w:pPr>
              <w:spacing w:after="0"/>
              <w:rPr>
                <w:sz w:val="17"/>
                <w:szCs w:val="17"/>
                <w:color w:val="auto"/>
              </w:rPr>
            </w:pPr>
          </w:p>
        </w:tc>
      </w:tr>
      <w:tr>
        <w:trPr>
          <w:trHeight w:val="230"/>
        </w:trPr>
        <w:tc>
          <w:tcPr>
            <w:tcW w:w="262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 mask work)</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Publication or Application Number</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2"/>
              </w:rPr>
              <w:t>Date/Expiration</w:t>
            </w:r>
          </w:p>
        </w:tc>
        <w:tc>
          <w:tcPr>
            <w:tcW w:w="20" w:type="dxa"/>
            <w:vAlign w:val="bottom"/>
          </w:tcPr>
          <w:p>
            <w:pPr>
              <w:spacing w:after="0"/>
              <w:rPr>
                <w:sz w:val="19"/>
                <w:szCs w:val="19"/>
                <w:color w:val="auto"/>
              </w:rPr>
            </w:pPr>
          </w:p>
        </w:tc>
      </w:tr>
      <w:tr>
        <w:trPr>
          <w:trHeight w:val="256"/>
        </w:trPr>
        <w:tc>
          <w:tcPr>
            <w:tcW w:w="26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spacing w:after="0"/>
              <w:rPr>
                <w:sz w:val="22"/>
                <w:szCs w:val="22"/>
                <w:color w:val="auto"/>
              </w:rPr>
            </w:pPr>
          </w:p>
        </w:tc>
        <w:tc>
          <w:tcPr>
            <w:tcW w:w="4140" w:type="dxa"/>
            <w:vAlign w:val="bottom"/>
            <w:tcBorders>
              <w:right w:val="single" w:sz="8" w:color="auto"/>
            </w:tcBorders>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2"/>
              </w:rPr>
              <w:t>Date</w:t>
            </w:r>
          </w:p>
        </w:tc>
        <w:tc>
          <w:tcPr>
            <w:tcW w:w="20" w:type="dxa"/>
            <w:vAlign w:val="bottom"/>
          </w:tcPr>
          <w:p>
            <w:pPr>
              <w:spacing w:after="0"/>
              <w:rPr>
                <w:sz w:val="22"/>
                <w:szCs w:val="22"/>
                <w:color w:val="auto"/>
              </w:rPr>
            </w:pPr>
          </w:p>
        </w:tc>
      </w:tr>
      <w:tr>
        <w:trPr>
          <w:trHeight w:val="225"/>
        </w:trPr>
        <w:tc>
          <w:tcPr>
            <w:tcW w:w="26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6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6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6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6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6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5740" w:type="dxa"/>
            <w:vAlign w:val="bottom"/>
            <w:tcBorders>
              <w:bottom w:val="single" w:sz="8" w:color="auto"/>
              <w:right w:val="single" w:sz="8" w:color="C2D69B"/>
            </w:tcBorders>
            <w:gridSpan w:val="3"/>
            <w:shd w:val="clear" w:color="auto" w:fill="C2D69B"/>
          </w:tcPr>
          <w:p>
            <w:pPr>
              <w:ind w:left="20"/>
              <w:spacing w:after="0" w:line="223" w:lineRule="exact"/>
              <w:rPr>
                <w:sz w:val="20"/>
                <w:szCs w:val="20"/>
                <w:color w:val="auto"/>
              </w:rPr>
            </w:pPr>
            <w:r>
              <w:rPr>
                <w:rFonts w:ascii="Arial" w:cs="Arial" w:eastAsia="Arial" w:hAnsi="Arial"/>
                <w:sz w:val="20"/>
                <w:szCs w:val="20"/>
                <w:color w:val="auto"/>
                <w:w w:val="97"/>
              </w:rPr>
              <w:t>INBOUND LICENSE # 2 [COMPLETE FOR EACH AGREEMENT]</w:t>
            </w:r>
          </w:p>
        </w:tc>
        <w:tc>
          <w:tcPr>
            <w:tcW w:w="4140" w:type="dxa"/>
            <w:vAlign w:val="bottom"/>
            <w:tcBorders>
              <w:bottom w:val="single" w:sz="8" w:color="auto"/>
              <w:right w:val="single" w:sz="8" w:color="C2D69B"/>
            </w:tcBorders>
            <w:shd w:val="clear" w:color="auto" w:fill="C2D69B"/>
          </w:tcPr>
          <w:p>
            <w:pPr>
              <w:spacing w:after="0"/>
              <w:rPr>
                <w:sz w:val="19"/>
                <w:szCs w:val="19"/>
                <w:color w:val="auto"/>
              </w:rPr>
            </w:pPr>
          </w:p>
        </w:tc>
        <w:tc>
          <w:tcPr>
            <w:tcW w:w="1360" w:type="dxa"/>
            <w:vAlign w:val="bottom"/>
            <w:tcBorders>
              <w:bottom w:val="single" w:sz="8" w:color="auto"/>
            </w:tcBorders>
            <w:shd w:val="clear" w:color="auto" w:fill="C2D69B"/>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00"/>
        </w:trPr>
        <w:tc>
          <w:tcPr>
            <w:tcW w:w="2620" w:type="dxa"/>
            <w:vAlign w:val="bottom"/>
            <w:tcBorders>
              <w:right w:val="single" w:sz="8" w:color="auto"/>
            </w:tcBorders>
          </w:tcPr>
          <w:p>
            <w:pPr>
              <w:ind w:left="20"/>
              <w:spacing w:after="0" w:line="200" w:lineRule="exact"/>
              <w:rPr>
                <w:sz w:val="20"/>
                <w:szCs w:val="20"/>
                <w:color w:val="auto"/>
              </w:rPr>
            </w:pPr>
            <w:r>
              <w:rPr>
                <w:rFonts w:ascii="Arial" w:cs="Arial" w:eastAsia="Arial" w:hAnsi="Arial"/>
                <w:sz w:val="20"/>
                <w:szCs w:val="20"/>
                <w:b w:val="1"/>
                <w:bCs w:val="1"/>
                <w:color w:val="auto"/>
              </w:rPr>
              <w:t>Name and Date of License</w:t>
            </w:r>
          </w:p>
        </w:tc>
        <w:tc>
          <w:tcPr>
            <w:tcW w:w="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2"/>
        </w:trPr>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Agreement:</w:t>
            </w: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23"/>
        </w:trPr>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b w:val="1"/>
                <w:bCs w:val="1"/>
                <w:color w:val="auto"/>
              </w:rPr>
              <w:t>Borrower that is Licensee:</w:t>
            </w:r>
          </w:p>
        </w:tc>
        <w:tc>
          <w:tcPr>
            <w:tcW w:w="5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00"/>
        </w:trPr>
        <w:tc>
          <w:tcPr>
            <w:tcW w:w="2620" w:type="dxa"/>
            <w:vAlign w:val="bottom"/>
            <w:tcBorders>
              <w:right w:val="single" w:sz="8" w:color="auto"/>
            </w:tcBorders>
          </w:tcPr>
          <w:p>
            <w:pPr>
              <w:ind w:left="20"/>
              <w:spacing w:after="0" w:line="200" w:lineRule="exact"/>
              <w:rPr>
                <w:sz w:val="20"/>
                <w:szCs w:val="20"/>
                <w:color w:val="auto"/>
              </w:rPr>
            </w:pPr>
            <w:r>
              <w:rPr>
                <w:rFonts w:ascii="Arial" w:cs="Arial" w:eastAsia="Arial" w:hAnsi="Arial"/>
                <w:sz w:val="20"/>
                <w:szCs w:val="20"/>
                <w:b w:val="1"/>
                <w:bCs w:val="1"/>
                <w:color w:val="auto"/>
              </w:rPr>
              <w:t>Name and address of</w:t>
            </w:r>
          </w:p>
        </w:tc>
        <w:tc>
          <w:tcPr>
            <w:tcW w:w="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2"/>
        </w:trPr>
        <w:tc>
          <w:tcPr>
            <w:tcW w:w="2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Licensor:</w:t>
            </w: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23"/>
        </w:trPr>
        <w:tc>
          <w:tcPr>
            <w:tcW w:w="262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b w:val="1"/>
                <w:bCs w:val="1"/>
                <w:color w:val="auto"/>
              </w:rPr>
              <w:t>Expiration Date of License</w:t>
            </w:r>
          </w:p>
        </w:tc>
        <w:tc>
          <w:tcPr>
            <w:tcW w:w="5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bl>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243" w:name="page244"/>
    <w:bookmarkEnd w:id="243"/>
    <w:tbl>
      <w:tblPr>
        <w:tblLayout w:type="fixed"/>
        <w:tblInd w:w="10" w:type="dxa"/>
        <w:tblCellMar>
          <w:top w:w="0" w:type="dxa"/>
          <w:left w:w="0" w:type="dxa"/>
          <w:bottom w:w="0" w:type="dxa"/>
          <w:right w:w="0" w:type="dxa"/>
        </w:tblCellMar>
      </w:tblPr>
      <w:tr>
        <w:trPr>
          <w:trHeight w:val="243"/>
        </w:trPr>
        <w:tc>
          <w:tcPr>
            <w:tcW w:w="26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Exclusive License [Y/N]?</w:t>
            </w:r>
          </w:p>
        </w:tc>
        <w:tc>
          <w:tcPr>
            <w:tcW w:w="56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37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right w:val="single" w:sz="8" w:color="auto"/>
            </w:tcBorders>
          </w:tcPr>
          <w:p>
            <w:pPr>
              <w:spacing w:after="0"/>
              <w:rPr>
                <w:sz w:val="21"/>
                <w:szCs w:val="21"/>
                <w:color w:val="auto"/>
              </w:rPr>
            </w:pPr>
          </w:p>
        </w:tc>
      </w:tr>
      <w:tr>
        <w:trPr>
          <w:trHeight w:val="200"/>
        </w:trPr>
        <w:tc>
          <w:tcPr>
            <w:tcW w:w="2620" w:type="dxa"/>
            <w:vAlign w:val="bottom"/>
            <w:tcBorders>
              <w:left w:val="single" w:sz="8" w:color="auto"/>
              <w:right w:val="single" w:sz="8" w:color="auto"/>
            </w:tcBorders>
          </w:tcPr>
          <w:p>
            <w:pPr>
              <w:ind w:left="20"/>
              <w:spacing w:after="0" w:line="200" w:lineRule="exact"/>
              <w:rPr>
                <w:sz w:val="20"/>
                <w:szCs w:val="20"/>
                <w:color w:val="auto"/>
              </w:rPr>
            </w:pPr>
            <w:r>
              <w:rPr>
                <w:rFonts w:ascii="Arial" w:cs="Arial" w:eastAsia="Arial" w:hAnsi="Arial"/>
                <w:sz w:val="20"/>
                <w:szCs w:val="20"/>
                <w:b w:val="1"/>
                <w:bCs w:val="1"/>
                <w:color w:val="auto"/>
              </w:rPr>
              <w:t>Restrictions on:</w:t>
            </w:r>
          </w:p>
        </w:tc>
        <w:tc>
          <w:tcPr>
            <w:tcW w:w="2320" w:type="dxa"/>
            <w:vAlign w:val="bottom"/>
            <w:tcBorders>
              <w:right w:val="single" w:sz="8" w:color="auto"/>
            </w:tcBorders>
            <w:gridSpan w:val="2"/>
          </w:tcPr>
          <w:p>
            <w:pPr>
              <w:spacing w:after="0" w:line="200" w:lineRule="exact"/>
              <w:rPr>
                <w:sz w:val="20"/>
                <w:szCs w:val="20"/>
                <w:color w:val="auto"/>
              </w:rPr>
            </w:pPr>
            <w:r>
              <w:rPr>
                <w:rFonts w:ascii="Arial" w:cs="Arial" w:eastAsia="Arial" w:hAnsi="Arial"/>
                <w:sz w:val="20"/>
                <w:szCs w:val="20"/>
                <w:b w:val="1"/>
                <w:bCs w:val="1"/>
                <w:color w:val="auto"/>
              </w:rPr>
              <w:t>Right to Grant a Lien</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r>
      <w:tr>
        <w:trPr>
          <w:trHeight w:val="252"/>
        </w:trPr>
        <w:tc>
          <w:tcPr>
            <w:tcW w:w="2620" w:type="dxa"/>
            <w:vAlign w:val="bottom"/>
            <w:tcBorders>
              <w:left w:val="single" w:sz="8" w:color="auto"/>
              <w:right w:val="single" w:sz="8" w:color="auto"/>
            </w:tcBorders>
          </w:tcPr>
          <w:p>
            <w:pPr>
              <w:spacing w:after="0"/>
              <w:rPr>
                <w:sz w:val="21"/>
                <w:szCs w:val="21"/>
                <w:color w:val="auto"/>
              </w:rPr>
            </w:pPr>
          </w:p>
        </w:tc>
        <w:tc>
          <w:tcPr>
            <w:tcW w:w="2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[Y/N]?</w:t>
            </w:r>
          </w:p>
        </w:tc>
        <w:tc>
          <w:tcPr>
            <w:tcW w:w="1220" w:type="dxa"/>
            <w:vAlign w:val="bottom"/>
            <w:tcBorders>
              <w:bottom w:val="single" w:sz="8" w:color="auto"/>
            </w:tcBorders>
            <w:gridSpan w:val="2"/>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r>
      <w:tr>
        <w:trPr>
          <w:trHeight w:val="223"/>
        </w:trPr>
        <w:tc>
          <w:tcPr>
            <w:tcW w:w="2620" w:type="dxa"/>
            <w:vAlign w:val="bottom"/>
            <w:tcBorders>
              <w:left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gridSpan w:val="2"/>
          </w:tcPr>
          <w:p>
            <w:pPr>
              <w:spacing w:after="0" w:line="223" w:lineRule="exact"/>
              <w:rPr>
                <w:sz w:val="20"/>
                <w:szCs w:val="20"/>
                <w:color w:val="auto"/>
              </w:rPr>
            </w:pPr>
            <w:r>
              <w:rPr>
                <w:rFonts w:ascii="Arial" w:cs="Arial" w:eastAsia="Arial" w:hAnsi="Arial"/>
                <w:sz w:val="20"/>
                <w:szCs w:val="20"/>
                <w:b w:val="1"/>
                <w:bCs w:val="1"/>
                <w:color w:val="auto"/>
              </w:rPr>
              <w:t>Right to Assign [Y/N]?</w:t>
            </w:r>
          </w:p>
        </w:tc>
        <w:tc>
          <w:tcPr>
            <w:tcW w:w="1220" w:type="dxa"/>
            <w:vAlign w:val="bottom"/>
            <w:tcBorders>
              <w:bottom w:val="single" w:sz="8" w:color="auto"/>
            </w:tcBorders>
            <w:gridSpan w:val="2"/>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gridSpan w:val="2"/>
          </w:tcPr>
          <w:p>
            <w:pPr>
              <w:spacing w:after="0" w:line="223" w:lineRule="exact"/>
              <w:rPr>
                <w:sz w:val="20"/>
                <w:szCs w:val="20"/>
                <w:color w:val="auto"/>
              </w:rPr>
            </w:pPr>
            <w:r>
              <w:rPr>
                <w:rFonts w:ascii="Arial" w:cs="Arial" w:eastAsia="Arial" w:hAnsi="Arial"/>
                <w:sz w:val="20"/>
                <w:szCs w:val="20"/>
                <w:b w:val="1"/>
                <w:bCs w:val="1"/>
                <w:color w:val="auto"/>
                <w:w w:val="90"/>
              </w:rPr>
              <w:t>Right to Sublicense [Y/N]?</w:t>
            </w:r>
          </w:p>
        </w:tc>
        <w:tc>
          <w:tcPr>
            <w:tcW w:w="1220" w:type="dxa"/>
            <w:vAlign w:val="bottom"/>
            <w:tcBorders>
              <w:bottom w:val="single" w:sz="8" w:color="auto"/>
            </w:tcBorders>
            <w:gridSpan w:val="2"/>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2620" w:type="dxa"/>
            <w:vAlign w:val="bottom"/>
            <w:tcBorders>
              <w:left w:val="single" w:sz="8" w:color="auto"/>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40"/>
              <w:spacing w:after="0" w:line="223" w:lineRule="exact"/>
              <w:rPr>
                <w:sz w:val="20"/>
                <w:szCs w:val="20"/>
                <w:color w:val="auto"/>
              </w:rPr>
            </w:pPr>
            <w:r>
              <w:rPr>
                <w:rFonts w:ascii="Arial" w:cs="Arial" w:eastAsia="Arial" w:hAnsi="Arial"/>
                <w:sz w:val="20"/>
                <w:szCs w:val="20"/>
                <w:b w:val="1"/>
                <w:bCs w:val="1"/>
                <w:color w:val="auto"/>
                <w:w w:val="95"/>
              </w:rPr>
              <w:t>Describe Licensed</w:t>
            </w:r>
          </w:p>
        </w:tc>
        <w:tc>
          <w:tcPr>
            <w:tcW w:w="494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0"/>
                <w:szCs w:val="20"/>
                <w:b w:val="1"/>
                <w:bCs w:val="1"/>
                <w:color w:val="auto"/>
              </w:rPr>
              <w:t>Intellectual Property For This License</w:t>
            </w:r>
          </w:p>
        </w:tc>
        <w:tc>
          <w:tcPr>
            <w:tcW w:w="1380" w:type="dxa"/>
            <w:vAlign w:val="bottom"/>
            <w:tcBorders>
              <w:bottom w:val="single" w:sz="8" w:color="auto"/>
              <w:right w:val="single" w:sz="8" w:color="auto"/>
            </w:tcBorders>
          </w:tcPr>
          <w:p>
            <w:pPr>
              <w:spacing w:after="0"/>
              <w:rPr>
                <w:sz w:val="19"/>
                <w:szCs w:val="19"/>
                <w:color w:val="auto"/>
              </w:rPr>
            </w:pPr>
          </w:p>
        </w:tc>
      </w:tr>
      <w:tr>
        <w:trPr>
          <w:trHeight w:val="200"/>
        </w:trPr>
        <w:tc>
          <w:tcPr>
            <w:tcW w:w="2620" w:type="dxa"/>
            <w:vAlign w:val="bottom"/>
            <w:tcBorders>
              <w:left w:val="single" w:sz="8" w:color="auto"/>
            </w:tcBorders>
          </w:tcPr>
          <w:p>
            <w:pPr>
              <w:ind w:left="20"/>
              <w:spacing w:after="0" w:line="200" w:lineRule="exact"/>
              <w:rPr>
                <w:sz w:val="20"/>
                <w:szCs w:val="20"/>
                <w:color w:val="auto"/>
              </w:rPr>
            </w:pPr>
            <w:r>
              <w:rPr>
                <w:rFonts w:ascii="Arial" w:cs="Arial" w:eastAsia="Arial" w:hAnsi="Arial"/>
                <w:sz w:val="20"/>
                <w:szCs w:val="20"/>
                <w:b w:val="1"/>
                <w:bCs w:val="1"/>
                <w:color w:val="auto"/>
              </w:rPr>
              <w:t>Name / Identifier of IP</w:t>
            </w:r>
          </w:p>
        </w:tc>
        <w:tc>
          <w:tcPr>
            <w:tcW w:w="56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gridSpan w:val="2"/>
          </w:tcPr>
          <w:p>
            <w:pPr>
              <w:spacing w:after="0" w:line="200" w:lineRule="exact"/>
              <w:rPr>
                <w:sz w:val="20"/>
                <w:szCs w:val="20"/>
                <w:color w:val="auto"/>
              </w:rPr>
            </w:pPr>
            <w:r>
              <w:rPr>
                <w:rFonts w:ascii="Arial" w:cs="Arial" w:eastAsia="Arial" w:hAnsi="Arial"/>
                <w:sz w:val="20"/>
                <w:szCs w:val="20"/>
                <w:b w:val="1"/>
                <w:bCs w:val="1"/>
                <w:color w:val="auto"/>
                <w:w w:val="97"/>
              </w:rPr>
              <w:t>Type of IP (e.g., patent, TM,</w:t>
            </w:r>
          </w:p>
        </w:tc>
        <w:tc>
          <w:tcPr>
            <w:tcW w:w="420" w:type="dxa"/>
            <w:vAlign w:val="bottom"/>
          </w:tcPr>
          <w:p>
            <w:pPr>
              <w:spacing w:after="0"/>
              <w:rPr>
                <w:sz w:val="17"/>
                <w:szCs w:val="17"/>
                <w:color w:val="auto"/>
              </w:rPr>
            </w:pPr>
          </w:p>
        </w:tc>
        <w:tc>
          <w:tcPr>
            <w:tcW w:w="3720" w:type="dxa"/>
            <w:vAlign w:val="bottom"/>
            <w:tcBorders>
              <w:right w:val="single" w:sz="8" w:color="auto"/>
            </w:tcBorders>
          </w:tcPr>
          <w:p>
            <w:pPr>
              <w:jc w:val="center"/>
              <w:ind w:right="361"/>
              <w:spacing w:after="0" w:line="200" w:lineRule="exact"/>
              <w:rPr>
                <w:sz w:val="20"/>
                <w:szCs w:val="20"/>
                <w:color w:val="auto"/>
              </w:rPr>
            </w:pPr>
            <w:r>
              <w:rPr>
                <w:rFonts w:ascii="Arial" w:cs="Arial" w:eastAsia="Arial" w:hAnsi="Arial"/>
                <w:sz w:val="20"/>
                <w:szCs w:val="20"/>
                <w:b w:val="1"/>
                <w:bCs w:val="1"/>
                <w:color w:val="auto"/>
                <w:w w:val="89"/>
              </w:rPr>
              <w:t>Registration/</w:t>
            </w:r>
          </w:p>
        </w:tc>
        <w:tc>
          <w:tcPr>
            <w:tcW w:w="138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89"/>
              </w:rPr>
              <w:t>Filing</w:t>
            </w:r>
          </w:p>
        </w:tc>
      </w:tr>
      <w:tr>
        <w:trPr>
          <w:trHeight w:val="229"/>
        </w:trPr>
        <w:tc>
          <w:tcPr>
            <w:tcW w:w="26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gridSpan w:val="2"/>
          </w:tcPr>
          <w:p>
            <w:pPr>
              <w:spacing w:after="0"/>
              <w:rPr>
                <w:sz w:val="20"/>
                <w:szCs w:val="20"/>
                <w:color w:val="auto"/>
              </w:rPr>
            </w:pPr>
            <w:r>
              <w:rPr>
                <w:rFonts w:ascii="Arial" w:cs="Arial" w:eastAsia="Arial" w:hAnsi="Arial"/>
                <w:sz w:val="20"/>
                <w:szCs w:val="20"/>
                <w:b w:val="1"/>
                <w:bCs w:val="1"/>
                <w:color w:val="auto"/>
              </w:rPr>
              <w:t>©, mask work)</w:t>
            </w:r>
          </w:p>
        </w:tc>
        <w:tc>
          <w:tcPr>
            <w:tcW w:w="420" w:type="dxa"/>
            <w:vAlign w:val="bottom"/>
          </w:tcPr>
          <w:p>
            <w:pPr>
              <w:spacing w:after="0"/>
              <w:rPr>
                <w:sz w:val="19"/>
                <w:szCs w:val="19"/>
                <w:color w:val="auto"/>
              </w:rPr>
            </w:pPr>
          </w:p>
        </w:tc>
        <w:tc>
          <w:tcPr>
            <w:tcW w:w="3720" w:type="dxa"/>
            <w:vAlign w:val="bottom"/>
            <w:tcBorders>
              <w:right w:val="single" w:sz="8" w:color="auto"/>
            </w:tcBorders>
          </w:tcPr>
          <w:p>
            <w:pPr>
              <w:jc w:val="center"/>
              <w:ind w:right="341"/>
              <w:spacing w:after="0"/>
              <w:rPr>
                <w:sz w:val="20"/>
                <w:szCs w:val="20"/>
                <w:color w:val="auto"/>
              </w:rPr>
            </w:pPr>
            <w:r>
              <w:rPr>
                <w:rFonts w:ascii="Arial" w:cs="Arial" w:eastAsia="Arial" w:hAnsi="Arial"/>
                <w:sz w:val="20"/>
                <w:szCs w:val="20"/>
                <w:b w:val="1"/>
                <w:bCs w:val="1"/>
                <w:color w:val="auto"/>
                <w:w w:val="91"/>
              </w:rPr>
              <w:t>Publication or Application Number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Date/Expiration</w:t>
            </w:r>
          </w:p>
        </w:tc>
      </w:tr>
      <w:tr>
        <w:trPr>
          <w:trHeight w:val="256"/>
        </w:trPr>
        <w:tc>
          <w:tcPr>
            <w:tcW w:w="2620" w:type="dxa"/>
            <w:vAlign w:val="bottom"/>
            <w:tcBorders>
              <w:lef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76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72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25"/>
        </w:trPr>
        <w:tc>
          <w:tcPr>
            <w:tcW w:w="2620" w:type="dxa"/>
            <w:vAlign w:val="bottom"/>
            <w:tcBorders>
              <w:left w:val="single" w:sz="8" w:color="auto"/>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2620" w:type="dxa"/>
            <w:vAlign w:val="bottom"/>
            <w:tcBorders>
              <w:left w:val="single" w:sz="8" w:color="auto"/>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2620" w:type="dxa"/>
            <w:vAlign w:val="bottom"/>
            <w:tcBorders>
              <w:left w:val="single" w:sz="8" w:color="auto"/>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2620" w:type="dxa"/>
            <w:vAlign w:val="bottom"/>
            <w:tcBorders>
              <w:left w:val="single" w:sz="8" w:color="auto"/>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2620" w:type="dxa"/>
            <w:vAlign w:val="bottom"/>
            <w:tcBorders>
              <w:left w:val="single" w:sz="8" w:color="auto"/>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223"/>
        </w:trPr>
        <w:tc>
          <w:tcPr>
            <w:tcW w:w="2620" w:type="dxa"/>
            <w:vAlign w:val="bottom"/>
            <w:tcBorders>
              <w:left w:val="single" w:sz="8" w:color="auto"/>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r>
      <w:tr>
        <w:trPr>
          <w:trHeight w:val="457"/>
        </w:trPr>
        <w:tc>
          <w:tcPr>
            <w:tcW w:w="6160" w:type="dxa"/>
            <w:vAlign w:val="bottom"/>
            <w:gridSpan w:val="5"/>
          </w:tcPr>
          <w:p>
            <w:pPr>
              <w:spacing w:after="0"/>
              <w:rPr>
                <w:sz w:val="20"/>
                <w:szCs w:val="20"/>
                <w:color w:val="auto"/>
              </w:rPr>
            </w:pPr>
            <w:r>
              <w:rPr>
                <w:rFonts w:ascii="Arial" w:cs="Arial" w:eastAsia="Arial" w:hAnsi="Arial"/>
                <w:sz w:val="20"/>
                <w:szCs w:val="20"/>
                <w:b w:val="1"/>
                <w:bCs w:val="1"/>
                <w:color w:val="auto"/>
              </w:rPr>
              <w:t>[REPEAT ABOVE FOR EACH INBOUND LICENSE AGREEMENT]</w:t>
            </w:r>
          </w:p>
        </w:tc>
        <w:tc>
          <w:tcPr>
            <w:tcW w:w="37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244" w:name="page245"/>
    <w:bookmarkEnd w:id="244"/>
    <w:p>
      <w:pPr>
        <w:ind w:left="20"/>
        <w:spacing w:after="0"/>
        <w:rPr>
          <w:sz w:val="20"/>
          <w:szCs w:val="20"/>
          <w:color w:val="auto"/>
        </w:rPr>
      </w:pPr>
      <w:r>
        <w:rPr>
          <w:rFonts w:ascii="Arial" w:cs="Arial" w:eastAsia="Arial" w:hAnsi="Arial"/>
          <w:sz w:val="20"/>
          <w:szCs w:val="20"/>
          <w:color w:val="auto"/>
        </w:rPr>
        <w:t>OUTBOUND LICENSE # 1 [COMPLETE FOR EACH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33515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0575" cy="3351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2600" w:type="dxa"/>
            <w:vAlign w:val="bottom"/>
            <w:tcBorders>
              <w:top w:val="single" w:sz="8" w:color="auto"/>
            </w:tcBorders>
          </w:tcPr>
          <w:p>
            <w:pPr>
              <w:ind w:left="20"/>
              <w:spacing w:after="0" w:line="200" w:lineRule="exact"/>
              <w:rPr>
                <w:sz w:val="20"/>
                <w:szCs w:val="20"/>
                <w:color w:val="auto"/>
              </w:rPr>
            </w:pPr>
            <w:r>
              <w:rPr>
                <w:rFonts w:ascii="Arial" w:cs="Arial" w:eastAsia="Arial" w:hAnsi="Arial"/>
                <w:sz w:val="20"/>
                <w:szCs w:val="20"/>
                <w:b w:val="1"/>
                <w:bCs w:val="1"/>
                <w:color w:val="auto"/>
              </w:rPr>
              <w:t>Name and Date of License</w:t>
            </w:r>
          </w:p>
        </w:tc>
        <w:tc>
          <w:tcPr>
            <w:tcW w:w="8660" w:type="dxa"/>
            <w:vAlign w:val="bottom"/>
            <w:tcBorders>
              <w:top w:val="single" w:sz="8" w:color="auto"/>
            </w:tcBorders>
          </w:tcPr>
          <w:p>
            <w:pPr>
              <w:spacing w:after="0"/>
              <w:rPr>
                <w:sz w:val="17"/>
                <w:szCs w:val="17"/>
                <w:color w:val="auto"/>
              </w:rPr>
            </w:pPr>
          </w:p>
        </w:tc>
      </w:tr>
      <w:tr>
        <w:trPr>
          <w:trHeight w:val="25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Agreement:</w:t>
            </w:r>
          </w:p>
        </w:tc>
        <w:tc>
          <w:tcPr>
            <w:tcW w:w="8660" w:type="dxa"/>
            <w:vAlign w:val="bottom"/>
            <w:tcBorders>
              <w:bottom w:val="single" w:sz="8" w:color="auto"/>
            </w:tcBorders>
          </w:tcPr>
          <w:p>
            <w:pPr>
              <w:spacing w:after="0"/>
              <w:rPr>
                <w:sz w:val="21"/>
                <w:szCs w:val="21"/>
                <w:color w:val="auto"/>
              </w:rPr>
            </w:pPr>
          </w:p>
        </w:tc>
      </w:tr>
      <w:tr>
        <w:trPr>
          <w:trHeight w:val="223"/>
        </w:trPr>
        <w:tc>
          <w:tcPr>
            <w:tcW w:w="260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b w:val="1"/>
                <w:bCs w:val="1"/>
                <w:color w:val="auto"/>
              </w:rPr>
              <w:t>Borrower that is Licensor:</w:t>
            </w:r>
          </w:p>
        </w:tc>
        <w:tc>
          <w:tcPr>
            <w:tcW w:w="8660" w:type="dxa"/>
            <w:vAlign w:val="bottom"/>
            <w:tcBorders>
              <w:bottom w:val="single" w:sz="8" w:color="auto"/>
            </w:tcBorders>
          </w:tcPr>
          <w:p>
            <w:pPr>
              <w:spacing w:after="0"/>
              <w:rPr>
                <w:sz w:val="19"/>
                <w:szCs w:val="19"/>
                <w:color w:val="auto"/>
              </w:rPr>
            </w:pPr>
          </w:p>
        </w:tc>
      </w:tr>
      <w:tr>
        <w:trPr>
          <w:trHeight w:val="200"/>
        </w:trPr>
        <w:tc>
          <w:tcPr>
            <w:tcW w:w="2600" w:type="dxa"/>
            <w:vAlign w:val="bottom"/>
          </w:tcPr>
          <w:p>
            <w:pPr>
              <w:ind w:left="20"/>
              <w:spacing w:after="0" w:line="200" w:lineRule="exact"/>
              <w:rPr>
                <w:sz w:val="20"/>
                <w:szCs w:val="20"/>
                <w:color w:val="auto"/>
              </w:rPr>
            </w:pPr>
            <w:r>
              <w:rPr>
                <w:rFonts w:ascii="Arial" w:cs="Arial" w:eastAsia="Arial" w:hAnsi="Arial"/>
                <w:sz w:val="20"/>
                <w:szCs w:val="20"/>
                <w:b w:val="1"/>
                <w:bCs w:val="1"/>
                <w:color w:val="auto"/>
              </w:rPr>
              <w:t>Name and address of</w:t>
            </w:r>
          </w:p>
        </w:tc>
        <w:tc>
          <w:tcPr>
            <w:tcW w:w="8660" w:type="dxa"/>
            <w:vAlign w:val="bottom"/>
          </w:tcPr>
          <w:p>
            <w:pPr>
              <w:spacing w:after="0"/>
              <w:rPr>
                <w:sz w:val="17"/>
                <w:szCs w:val="17"/>
                <w:color w:val="auto"/>
              </w:rPr>
            </w:pPr>
          </w:p>
        </w:tc>
      </w:tr>
      <w:tr>
        <w:trPr>
          <w:trHeight w:val="25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Licensee:</w:t>
            </w:r>
          </w:p>
        </w:tc>
        <w:tc>
          <w:tcPr>
            <w:tcW w:w="8660" w:type="dxa"/>
            <w:vAlign w:val="bottom"/>
            <w:tcBorders>
              <w:bottom w:val="single" w:sz="8" w:color="auto"/>
            </w:tcBorders>
          </w:tcPr>
          <w:p>
            <w:pPr>
              <w:spacing w:after="0"/>
              <w:rPr>
                <w:sz w:val="21"/>
                <w:szCs w:val="21"/>
                <w:color w:val="auto"/>
              </w:rPr>
            </w:pPr>
          </w:p>
        </w:tc>
      </w:tr>
      <w:tr>
        <w:trPr>
          <w:trHeight w:val="223"/>
        </w:trPr>
        <w:tc>
          <w:tcPr>
            <w:tcW w:w="260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b w:val="1"/>
                <w:bCs w:val="1"/>
                <w:color w:val="auto"/>
              </w:rPr>
              <w:t>Expiration Date of License</w:t>
            </w:r>
          </w:p>
        </w:tc>
        <w:tc>
          <w:tcPr>
            <w:tcW w:w="8660" w:type="dxa"/>
            <w:vAlign w:val="bottom"/>
            <w:tcBorders>
              <w:bottom w:val="single" w:sz="8" w:color="auto"/>
            </w:tcBorders>
          </w:tcPr>
          <w:p>
            <w:pPr>
              <w:spacing w:after="0"/>
              <w:rPr>
                <w:sz w:val="19"/>
                <w:szCs w:val="19"/>
                <w:color w:val="auto"/>
              </w:rPr>
            </w:pPr>
          </w:p>
        </w:tc>
      </w:tr>
      <w:tr>
        <w:trPr>
          <w:trHeight w:val="223"/>
        </w:trPr>
        <w:tc>
          <w:tcPr>
            <w:tcW w:w="260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b w:val="1"/>
                <w:bCs w:val="1"/>
                <w:color w:val="auto"/>
              </w:rPr>
              <w:t>Exclusive License [Y/N]?</w:t>
            </w:r>
          </w:p>
        </w:tc>
        <w:tc>
          <w:tcPr>
            <w:tcW w:w="8660" w:type="dxa"/>
            <w:vAlign w:val="bottom"/>
            <w:tcBorders>
              <w:bottom w:val="single" w:sz="8" w:color="auto"/>
            </w:tcBorders>
          </w:tcPr>
          <w:p>
            <w:pPr>
              <w:spacing w:after="0"/>
              <w:rPr>
                <w:sz w:val="19"/>
                <w:szCs w:val="19"/>
                <w:color w:val="auto"/>
              </w:rPr>
            </w:pPr>
          </w:p>
        </w:tc>
      </w:tr>
      <w:tr>
        <w:trPr>
          <w:trHeight w:val="200"/>
        </w:trPr>
        <w:tc>
          <w:tcPr>
            <w:tcW w:w="2600" w:type="dxa"/>
            <w:vAlign w:val="bottom"/>
          </w:tcPr>
          <w:p>
            <w:pPr>
              <w:ind w:left="20"/>
              <w:spacing w:after="0" w:line="200" w:lineRule="exact"/>
              <w:rPr>
                <w:sz w:val="20"/>
                <w:szCs w:val="20"/>
                <w:color w:val="auto"/>
              </w:rPr>
            </w:pPr>
            <w:r>
              <w:rPr>
                <w:rFonts w:ascii="Arial" w:cs="Arial" w:eastAsia="Arial" w:hAnsi="Arial"/>
                <w:sz w:val="20"/>
                <w:szCs w:val="20"/>
                <w:b w:val="1"/>
                <w:bCs w:val="1"/>
                <w:color w:val="auto"/>
              </w:rPr>
              <w:t>Restrictions on:</w:t>
            </w:r>
          </w:p>
        </w:tc>
        <w:tc>
          <w:tcPr>
            <w:tcW w:w="8660" w:type="dxa"/>
            <w:vAlign w:val="bottom"/>
          </w:tcPr>
          <w:p>
            <w:pPr>
              <w:ind w:left="20"/>
              <w:spacing w:after="0" w:line="200" w:lineRule="exact"/>
              <w:rPr>
                <w:sz w:val="20"/>
                <w:szCs w:val="20"/>
                <w:color w:val="auto"/>
              </w:rPr>
            </w:pPr>
            <w:r>
              <w:rPr>
                <w:rFonts w:ascii="Arial" w:cs="Arial" w:eastAsia="Arial" w:hAnsi="Arial"/>
                <w:sz w:val="20"/>
                <w:szCs w:val="20"/>
                <w:b w:val="1"/>
                <w:bCs w:val="1"/>
                <w:color w:val="auto"/>
              </w:rPr>
              <w:t>Right to Grant a Lien</w:t>
            </w:r>
          </w:p>
        </w:tc>
      </w:tr>
      <w:tr>
        <w:trPr>
          <w:trHeight w:val="252"/>
        </w:trPr>
        <w:tc>
          <w:tcPr>
            <w:tcW w:w="2600" w:type="dxa"/>
            <w:vAlign w:val="bottom"/>
          </w:tcPr>
          <w:p>
            <w:pPr>
              <w:spacing w:after="0"/>
              <w:rPr>
                <w:sz w:val="21"/>
                <w:szCs w:val="21"/>
                <w:color w:val="auto"/>
              </w:rPr>
            </w:pPr>
          </w:p>
        </w:tc>
        <w:tc>
          <w:tcPr>
            <w:tcW w:w="86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[Y/N]?</w:t>
            </w:r>
          </w:p>
        </w:tc>
      </w:tr>
      <w:tr>
        <w:trPr>
          <w:trHeight w:val="223"/>
        </w:trPr>
        <w:tc>
          <w:tcPr>
            <w:tcW w:w="2600" w:type="dxa"/>
            <w:vAlign w:val="bottom"/>
          </w:tcPr>
          <w:p>
            <w:pPr>
              <w:spacing w:after="0"/>
              <w:rPr>
                <w:sz w:val="19"/>
                <w:szCs w:val="19"/>
                <w:color w:val="auto"/>
              </w:rPr>
            </w:pPr>
          </w:p>
        </w:tc>
        <w:tc>
          <w:tcPr>
            <w:tcW w:w="86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b w:val="1"/>
                <w:bCs w:val="1"/>
                <w:color w:val="auto"/>
              </w:rPr>
              <w:t>Right to Assign [Y/N]?</w:t>
            </w:r>
          </w:p>
        </w:tc>
      </w:tr>
      <w:tr>
        <w:trPr>
          <w:trHeight w:val="250"/>
        </w:trPr>
        <w:tc>
          <w:tcPr>
            <w:tcW w:w="2600" w:type="dxa"/>
            <w:vAlign w:val="bottom"/>
          </w:tcPr>
          <w:p>
            <w:pPr>
              <w:spacing w:after="0"/>
              <w:rPr>
                <w:sz w:val="21"/>
                <w:szCs w:val="21"/>
                <w:color w:val="auto"/>
              </w:rPr>
            </w:pPr>
          </w:p>
        </w:tc>
        <w:tc>
          <w:tcPr>
            <w:tcW w:w="8660" w:type="dxa"/>
            <w:vAlign w:val="bottom"/>
          </w:tcPr>
          <w:p>
            <w:pPr>
              <w:ind w:left="20"/>
              <w:spacing w:after="0"/>
              <w:rPr>
                <w:sz w:val="20"/>
                <w:szCs w:val="20"/>
                <w:color w:val="auto"/>
              </w:rPr>
            </w:pPr>
            <w:r>
              <w:rPr>
                <w:rFonts w:ascii="Arial" w:cs="Arial" w:eastAsia="Arial" w:hAnsi="Arial"/>
                <w:sz w:val="20"/>
                <w:szCs w:val="20"/>
                <w:b w:val="1"/>
                <w:bCs w:val="1"/>
                <w:color w:val="auto"/>
              </w:rPr>
              <w:t>Right to Sublicense [Y/N]?</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Borders>
              <w:top w:val="single" w:sz="8" w:color="auto"/>
              <w:right w:val="single" w:sz="8" w:color="auto"/>
            </w:tcBorders>
          </w:tcPr>
          <w:p>
            <w:pPr>
              <w:ind w:left="20"/>
              <w:spacing w:after="0" w:line="220" w:lineRule="exact"/>
              <w:rPr>
                <w:sz w:val="20"/>
                <w:szCs w:val="20"/>
                <w:color w:val="auto"/>
              </w:rPr>
            </w:pPr>
            <w:r>
              <w:rPr>
                <w:rFonts w:ascii="Arial" w:cs="Arial" w:eastAsia="Arial" w:hAnsi="Arial"/>
                <w:sz w:val="20"/>
                <w:szCs w:val="20"/>
                <w:b w:val="1"/>
                <w:bCs w:val="1"/>
                <w:color w:val="auto"/>
              </w:rPr>
              <w:t>Name / Identifier of IP</w:t>
            </w:r>
          </w:p>
        </w:tc>
        <w:tc>
          <w:tcPr>
            <w:tcW w:w="2560" w:type="dxa"/>
            <w:vAlign w:val="bottom"/>
            <w:tcBorders>
              <w:top w:val="single" w:sz="8" w:color="auto"/>
              <w:right w:val="single" w:sz="8" w:color="auto"/>
            </w:tcBorders>
          </w:tcPr>
          <w:p>
            <w:pPr>
              <w:spacing w:after="0" w:line="220" w:lineRule="exact"/>
              <w:rPr>
                <w:sz w:val="20"/>
                <w:szCs w:val="20"/>
                <w:color w:val="auto"/>
              </w:rPr>
            </w:pPr>
            <w:r>
              <w:rPr>
                <w:rFonts w:ascii="Arial" w:cs="Arial" w:eastAsia="Arial" w:hAnsi="Arial"/>
                <w:sz w:val="20"/>
                <w:szCs w:val="20"/>
                <w:b w:val="1"/>
                <w:bCs w:val="1"/>
                <w:color w:val="auto"/>
                <w:w w:val="97"/>
              </w:rPr>
              <w:t>Type of IP (e.g., patent, TM,</w:t>
            </w:r>
          </w:p>
        </w:tc>
        <w:tc>
          <w:tcPr>
            <w:tcW w:w="414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9"/>
              </w:rPr>
              <w:t>Registration/</w:t>
            </w:r>
          </w:p>
        </w:tc>
        <w:tc>
          <w:tcPr>
            <w:tcW w:w="1380" w:type="dxa"/>
            <w:vAlign w:val="bottom"/>
            <w:tcBorders>
              <w:top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9"/>
              </w:rPr>
              <w:t>Filing</w:t>
            </w:r>
          </w:p>
        </w:tc>
      </w:tr>
      <w:tr>
        <w:trPr>
          <w:trHeight w:val="229"/>
        </w:trPr>
        <w:tc>
          <w:tcPr>
            <w:tcW w:w="318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 mask work)</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Publication or Application Number</w:t>
            </w:r>
          </w:p>
        </w:tc>
        <w:tc>
          <w:tcPr>
            <w:tcW w:w="1380" w:type="dxa"/>
            <w:vAlign w:val="bottom"/>
          </w:tcPr>
          <w:p>
            <w:pPr>
              <w:jc w:val="center"/>
              <w:spacing w:after="0"/>
              <w:rPr>
                <w:sz w:val="20"/>
                <w:szCs w:val="20"/>
                <w:color w:val="auto"/>
              </w:rPr>
            </w:pPr>
            <w:r>
              <w:rPr>
                <w:rFonts w:ascii="Arial" w:cs="Arial" w:eastAsia="Arial" w:hAnsi="Arial"/>
                <w:sz w:val="20"/>
                <w:szCs w:val="20"/>
                <w:b w:val="1"/>
                <w:bCs w:val="1"/>
                <w:color w:val="auto"/>
                <w:w w:val="92"/>
              </w:rPr>
              <w:t>Date/Expiration</w:t>
            </w:r>
          </w:p>
        </w:tc>
      </w:tr>
      <w:tr>
        <w:trPr>
          <w:trHeight w:val="256"/>
        </w:trPr>
        <w:tc>
          <w:tcPr>
            <w:tcW w:w="3180" w:type="dxa"/>
            <w:vAlign w:val="bottom"/>
            <w:tcBorders>
              <w:right w:val="single" w:sz="8" w:color="auto"/>
            </w:tcBorders>
          </w:tcPr>
          <w:p>
            <w:pPr>
              <w:spacing w:after="0"/>
              <w:rPr>
                <w:sz w:val="22"/>
                <w:szCs w:val="22"/>
                <w:color w:val="auto"/>
              </w:rPr>
            </w:pPr>
          </w:p>
        </w:tc>
        <w:tc>
          <w:tcPr>
            <w:tcW w:w="2560" w:type="dxa"/>
            <w:vAlign w:val="bottom"/>
            <w:tcBorders>
              <w:right w:val="single" w:sz="8" w:color="auto"/>
            </w:tcBorders>
          </w:tcPr>
          <w:p>
            <w:pPr>
              <w:spacing w:after="0"/>
              <w:rPr>
                <w:sz w:val="22"/>
                <w:szCs w:val="22"/>
                <w:color w:val="auto"/>
              </w:rPr>
            </w:pPr>
          </w:p>
        </w:tc>
        <w:tc>
          <w:tcPr>
            <w:tcW w:w="4140" w:type="dxa"/>
            <w:vAlign w:val="bottom"/>
            <w:tcBorders>
              <w:right w:val="single" w:sz="8" w:color="auto"/>
            </w:tcBorders>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25"/>
        </w:trPr>
        <w:tc>
          <w:tcPr>
            <w:tcW w:w="318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23"/>
        </w:trPr>
        <w:tc>
          <w:tcPr>
            <w:tcW w:w="318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23"/>
        </w:trPr>
        <w:tc>
          <w:tcPr>
            <w:tcW w:w="318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23"/>
        </w:trPr>
        <w:tc>
          <w:tcPr>
            <w:tcW w:w="318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23"/>
        </w:trPr>
        <w:tc>
          <w:tcPr>
            <w:tcW w:w="318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23"/>
        </w:trPr>
        <w:tc>
          <w:tcPr>
            <w:tcW w:w="318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[REPEAT ABOVE FOR EACH OUTBOUND LICENSE AGREEMENT]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798" w:right="31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6"/>
          <w:szCs w:val="16"/>
          <w:b w:val="1"/>
          <w:bCs w:val="1"/>
          <w:color w:val="auto"/>
        </w:rPr>
        <w:t>Schedule 4.9 – Litigation, Governmental Proceedings and Other Notice Events</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46" w:name="page247"/>
    <w:bookmarkEnd w:id="246"/>
    <w:p>
      <w:pPr>
        <w:jc w:val="center"/>
        <w:ind w:right="19"/>
        <w:spacing w:after="0"/>
        <w:rPr>
          <w:sz w:val="20"/>
          <w:szCs w:val="20"/>
          <w:color w:val="auto"/>
        </w:rPr>
      </w:pPr>
      <w:r>
        <w:rPr>
          <w:rFonts w:ascii="Arial" w:cs="Arial" w:eastAsia="Arial" w:hAnsi="Arial"/>
          <w:sz w:val="16"/>
          <w:szCs w:val="16"/>
          <w:b w:val="1"/>
          <w:bCs w:val="1"/>
          <w:color w:val="auto"/>
        </w:rPr>
        <w:t>Schedule 5.1 – Debt; Contingent Obligations</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47" w:name="page248"/>
    <w:bookmarkEnd w:id="247"/>
    <w:p>
      <w:pPr>
        <w:jc w:val="center"/>
        <w:ind w:right="19"/>
        <w:spacing w:after="0"/>
        <w:rPr>
          <w:sz w:val="20"/>
          <w:szCs w:val="20"/>
          <w:color w:val="auto"/>
        </w:rPr>
      </w:pPr>
      <w:r>
        <w:rPr>
          <w:rFonts w:ascii="Arial" w:cs="Arial" w:eastAsia="Arial" w:hAnsi="Arial"/>
          <w:sz w:val="16"/>
          <w:szCs w:val="16"/>
          <w:b w:val="1"/>
          <w:bCs w:val="1"/>
          <w:color w:val="auto"/>
        </w:rPr>
        <w:t>Schedule 5.2 – Liens</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48" w:name="page249"/>
    <w:bookmarkEnd w:id="248"/>
    <w:p>
      <w:pPr>
        <w:jc w:val="center"/>
        <w:ind w:right="19"/>
        <w:spacing w:after="0"/>
        <w:rPr>
          <w:sz w:val="20"/>
          <w:szCs w:val="20"/>
          <w:color w:val="auto"/>
        </w:rPr>
      </w:pPr>
      <w:r>
        <w:rPr>
          <w:rFonts w:ascii="Arial" w:cs="Arial" w:eastAsia="Arial" w:hAnsi="Arial"/>
          <w:sz w:val="16"/>
          <w:szCs w:val="16"/>
          <w:b w:val="1"/>
          <w:bCs w:val="1"/>
          <w:color w:val="auto"/>
        </w:rPr>
        <w:t>Schedule 5.7 – Permitted Investments</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49" w:name="page250"/>
    <w:bookmarkEnd w:id="249"/>
    <w:p>
      <w:pPr>
        <w:jc w:val="center"/>
        <w:ind w:right="19"/>
        <w:spacing w:after="0"/>
        <w:rPr>
          <w:sz w:val="20"/>
          <w:szCs w:val="20"/>
          <w:color w:val="auto"/>
        </w:rPr>
      </w:pPr>
      <w:r>
        <w:rPr>
          <w:rFonts w:ascii="Arial" w:cs="Arial" w:eastAsia="Arial" w:hAnsi="Arial"/>
          <w:sz w:val="16"/>
          <w:szCs w:val="16"/>
          <w:b w:val="1"/>
          <w:bCs w:val="1"/>
          <w:color w:val="auto"/>
        </w:rPr>
        <w:t>Schedule 5.8 – Affiliate Transactions</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50" w:name="page251"/>
    <w:bookmarkEnd w:id="250"/>
    <w:p>
      <w:pPr>
        <w:jc w:val="center"/>
        <w:ind w:right="19"/>
        <w:spacing w:after="0"/>
        <w:rPr>
          <w:sz w:val="20"/>
          <w:szCs w:val="20"/>
          <w:color w:val="auto"/>
        </w:rPr>
      </w:pPr>
      <w:r>
        <w:rPr>
          <w:rFonts w:ascii="Arial" w:cs="Arial" w:eastAsia="Arial" w:hAnsi="Arial"/>
          <w:sz w:val="16"/>
          <w:szCs w:val="16"/>
          <w:b w:val="1"/>
          <w:bCs w:val="1"/>
          <w:color w:val="auto"/>
        </w:rPr>
        <w:t>Schedule 5.14 – Deposit Accounts and Securities Accounts</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251" w:name="page252"/>
    <w:bookmarkEnd w:id="251"/>
    <w:p>
      <w:pPr>
        <w:jc w:val="center"/>
        <w:spacing w:after="0"/>
        <w:rPr>
          <w:sz w:val="20"/>
          <w:szCs w:val="20"/>
          <w:color w:val="auto"/>
        </w:rPr>
      </w:pPr>
      <w:r>
        <w:rPr>
          <w:rFonts w:ascii="Arial" w:cs="Arial" w:eastAsia="Arial" w:hAnsi="Arial"/>
          <w:sz w:val="20"/>
          <w:szCs w:val="20"/>
          <w:b w:val="1"/>
          <w:bCs w:val="1"/>
          <w:color w:val="auto"/>
        </w:rPr>
        <w:t>Schedule 7.4 – Post Closing Requirements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Borrowers shall satisfy and complete each of the following obligations, or provide Agent each of the items listed below, as applicable, on or before the date indicated below:</w:t>
      </w:r>
    </w:p>
    <w:p>
      <w:pPr>
        <w:spacing w:after="0" w:line="200" w:lineRule="exact"/>
        <w:rPr>
          <w:sz w:val="20"/>
          <w:szCs w:val="20"/>
          <w:color w:val="auto"/>
        </w:rPr>
      </w:pPr>
    </w:p>
    <w:p>
      <w:pPr>
        <w:spacing w:after="0" w:line="220" w:lineRule="exact"/>
        <w:rPr>
          <w:sz w:val="20"/>
          <w:szCs w:val="20"/>
          <w:color w:val="auto"/>
        </w:rPr>
      </w:pPr>
    </w:p>
    <w:p>
      <w:pPr>
        <w:jc w:val="both"/>
        <w:ind w:left="880" w:hanging="440"/>
        <w:spacing w:after="0" w:line="269" w:lineRule="auto"/>
        <w:tabs>
          <w:tab w:leader="none" w:pos="8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 later than thirty (30) days after the Closing Date (or such later date as Agent may agree in writing), Borrowers shall provide Agent with (i) certificates from Borrowers’ insurance broker evidencing the insurance policies required to be maintained pursuant to Section 4.4 of the Credit Agreement that show the amount of coverage and include effective waivers in accordance with Section 4.4 of the Credit Agreement and (ii) endorsements to Borrowers’ property insurance policies naming Agent as lender loss payee and endorsements to Borrowers’ liability insurance policies naming Agent as additional insured in accordance Section 4.4.</w:t>
      </w:r>
    </w:p>
    <w:p>
      <w:pPr>
        <w:spacing w:after="0" w:line="3" w:lineRule="exact"/>
        <w:rPr>
          <w:rFonts w:ascii="Arial" w:cs="Arial" w:eastAsia="Arial" w:hAnsi="Arial"/>
          <w:sz w:val="18"/>
          <w:szCs w:val="18"/>
          <w:color w:val="auto"/>
        </w:rPr>
      </w:pPr>
    </w:p>
    <w:p>
      <w:pPr>
        <w:jc w:val="both"/>
        <w:ind w:left="880" w:hanging="440"/>
        <w:spacing w:after="0" w:line="241" w:lineRule="auto"/>
        <w:tabs>
          <w:tab w:leader="none" w:pos="88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No later than thirty (30) days after the Closing Date (or such later date as Agent may agree in writing), Borrowers shall use commercially reasonable efforts to provide Agent with a landlord access agreement, in form and substance reasonably satisfactory to Agent, with respect the location at 2401 4th Ave, Suite 1050, Seattle, WA 98121.</w:t>
      </w:r>
    </w:p>
    <w:p>
      <w:pPr>
        <w:spacing w:after="0" w:line="209" w:lineRule="exact"/>
        <w:rPr>
          <w:rFonts w:ascii="Arial" w:cs="Arial" w:eastAsia="Arial" w:hAnsi="Arial"/>
          <w:sz w:val="20"/>
          <w:szCs w:val="20"/>
          <w:color w:val="auto"/>
        </w:rPr>
      </w:pPr>
    </w:p>
    <w:p>
      <w:pPr>
        <w:jc w:val="both"/>
        <w:ind w:left="880" w:hanging="440"/>
        <w:spacing w:after="0" w:line="246" w:lineRule="auto"/>
        <w:tabs>
          <w:tab w:leader="none" w:pos="88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No later than ninety (90) days after the Closing Date (or such later date as Agent may agree in writing), Borrowers shall provide Agent evidence, in form and substance reasonably satisfactory to Agent, that Borrowers have established one or more separate Deposit Accounts to hold any and all amounts to be used by Borrowers for payroll, payroll taxes and other employee wage and benefit payments.</w:t>
      </w:r>
    </w:p>
    <w:p>
      <w:pPr>
        <w:spacing w:after="0" w:line="20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Borrower’s failure to complete any of the above obligations on or before the date indicated above (as such may be extended by Agent in its sole discretion), or Borrower’s failure to deliver any of the above listed items on or before the date indicated above (as such may be extended by Agent in its sole discretion), shall constitute an immediate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16"/>
          <w:szCs w:val="16"/>
          <w:b w:val="1"/>
          <w:bCs w:val="1"/>
          <w:color w:val="auto"/>
        </w:rPr>
        <w:t>Schedule 8.2(a) – Licensing and Products</w:t>
      </w:r>
    </w:p>
    <w:p>
      <w:pPr>
        <w:sectPr>
          <w:pgSz w:w="11900" w:h="16838" w:orient="portrait"/>
          <w:cols w:equalWidth="0" w:num="1">
            <w:col w:w="9019"/>
          </w:cols>
          <w:pgMar w:left="1440" w:top="5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type w:val="continuous"/>
        </w:sectPr>
      </w:pPr>
    </w:p>
    <w:bookmarkStart w:id="253" w:name="page254"/>
    <w:bookmarkEnd w:id="253"/>
    <w:p>
      <w:pPr>
        <w:jc w:val="center"/>
        <w:ind w:right="19"/>
        <w:spacing w:after="0"/>
        <w:rPr>
          <w:sz w:val="20"/>
          <w:szCs w:val="20"/>
          <w:color w:val="auto"/>
        </w:rPr>
      </w:pPr>
      <w:r>
        <w:rPr>
          <w:rFonts w:ascii="Arial" w:cs="Arial" w:eastAsia="Arial" w:hAnsi="Arial"/>
          <w:sz w:val="16"/>
          <w:szCs w:val="16"/>
          <w:b w:val="1"/>
          <w:bCs w:val="1"/>
          <w:color w:val="auto"/>
        </w:rPr>
        <w:t>Schedule 8.2(b) – Exceptions to Healthcare Representations and Warranties</w:t>
      </w:r>
    </w:p>
    <w:p>
      <w:pPr>
        <w:sectPr>
          <w:pgSz w:w="11900" w:h="16838" w:orient="portrait"/>
          <w:cols w:equalWidth="0" w:num="1">
            <w:col w:w="9019"/>
          </w:cols>
          <w:pgMar w:left="1440" w:top="5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type w:val="continuous"/>
        </w:sectPr>
      </w:pPr>
    </w:p>
    <w:bookmarkStart w:id="254" w:name="page255"/>
    <w:bookmarkEnd w:id="254"/>
    <w:p>
      <w:pPr>
        <w:jc w:val="center"/>
        <w:spacing w:after="0"/>
        <w:rPr>
          <w:sz w:val="20"/>
          <w:szCs w:val="20"/>
          <w:color w:val="auto"/>
        </w:rPr>
      </w:pPr>
      <w:r>
        <w:rPr>
          <w:rFonts w:ascii="Arial" w:cs="Arial" w:eastAsia="Arial" w:hAnsi="Arial"/>
          <w:sz w:val="20"/>
          <w:szCs w:val="20"/>
          <w:b w:val="1"/>
          <w:bCs w:val="1"/>
          <w:color w:val="auto"/>
        </w:rPr>
        <w:t>Schedule 9.1 – Collateral</w:t>
      </w:r>
    </w:p>
    <w:p>
      <w:pPr>
        <w:spacing w:after="0" w:line="222"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Collateral consists of all of each Borrower’s assets (other than Excluded Property), including without limitation, all of each Borrower’s right, title and interest in and to the following, whether now owned or hereafter created, acquired or arising:</w:t>
      </w:r>
    </w:p>
    <w:p>
      <w:pPr>
        <w:spacing w:after="0" w:line="2" w:lineRule="exact"/>
        <w:rPr>
          <w:sz w:val="20"/>
          <w:szCs w:val="20"/>
          <w:color w:val="auto"/>
        </w:rPr>
      </w:pPr>
    </w:p>
    <w:p>
      <w:pPr>
        <w:jc w:val="both"/>
        <w:ind w:left="1500" w:hanging="642"/>
        <w:spacing w:after="0" w:line="254" w:lineRule="auto"/>
        <w:tabs>
          <w:tab w:leader="none" w:pos="150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all goods, Accounts (including health-care insurance receivables), Equipment, Inventory, contracts together with all contract rights or rights to payment of money, leases, license agreements, franchise agreements, General Intangibles, Intellectual Property, commercial tort claims (including each such claim listed on Schedule 9.2(d)), documents, instruments (including any promissory notes), chattel paper (whether tangible or electronic), Vehicles and title documents with respect to Vehicles,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187" w:lineRule="exact"/>
        <w:rPr>
          <w:rFonts w:ascii="Arial" w:cs="Arial" w:eastAsia="Arial" w:hAnsi="Arial"/>
          <w:sz w:val="19"/>
          <w:szCs w:val="19"/>
          <w:color w:val="auto"/>
        </w:rPr>
      </w:pPr>
    </w:p>
    <w:p>
      <w:pPr>
        <w:ind w:left="1500" w:hanging="642"/>
        <w:spacing w:after="0" w:line="260" w:lineRule="auto"/>
        <w:tabs>
          <w:tab w:leader="none" w:pos="150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all of each Borrower’s books and records relating to any of the foregoing and all rights of access to such Borrower’s books and records; and</w:t>
      </w:r>
    </w:p>
    <w:p>
      <w:pPr>
        <w:spacing w:after="0" w:line="176" w:lineRule="exact"/>
        <w:rPr>
          <w:rFonts w:ascii="Arial" w:cs="Arial" w:eastAsia="Arial" w:hAnsi="Arial"/>
          <w:sz w:val="20"/>
          <w:szCs w:val="20"/>
          <w:color w:val="auto"/>
        </w:rPr>
      </w:pPr>
    </w:p>
    <w:p>
      <w:pPr>
        <w:jc w:val="both"/>
        <w:ind w:left="1500" w:hanging="642"/>
        <w:spacing w:after="0" w:line="250" w:lineRule="auto"/>
        <w:tabs>
          <w:tab w:leader="none" w:pos="150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any and all claims, rights and interests in any of the above and all substitutions for, additions, attachments, accessories, accessions and improvements to and replacements, products, proceeds and insurance proceeds of any or all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Schedule 9.2 – Collateral Information</w:t>
      </w:r>
    </w:p>
    <w:p>
      <w:pPr>
        <w:sectPr>
          <w:pgSz w:w="11900" w:h="16838" w:orient="portrait"/>
          <w:cols w:equalWidth="0" w:num="1">
            <w:col w:w="9019"/>
          </w:cols>
          <w:pgMar w:left="1440" w:top="5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99695</wp:posOffset>
            </wp:positionV>
            <wp:extent cx="71748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type w:val="continuous"/>
        </w:sectPr>
      </w:pPr>
    </w:p>
    <w:bookmarkStart w:id="256" w:name="page257"/>
    <w:bookmarkEnd w:id="256"/>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Lien Release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019"/>
          </w:cols>
          <w:pgMar w:left="1440" w:top="576" w:right="1440"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00" w:hanging="492"/>
        <w:spacing w:after="0"/>
        <w:tabs>
          <w:tab w:leader="none" w:pos="5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96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00" w:hanging="492"/>
        <w:spacing w:after="0"/>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800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240"/>
          </w:cols>
          <w:pgMar w:left="320" w:top="121"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40" w:firstLine="510"/>
        <w:spacing w:after="0" w:line="263" w:lineRule="auto"/>
        <w:rPr>
          <w:sz w:val="20"/>
          <w:szCs w:val="20"/>
          <w:color w:val="auto"/>
        </w:rPr>
      </w:pPr>
      <w:r>
        <w:rPr>
          <w:rFonts w:ascii="Arial" w:cs="Arial" w:eastAsia="Arial" w:hAnsi="Arial"/>
          <w:sz w:val="18"/>
          <w:szCs w:val="18"/>
          <w:color w:val="auto"/>
        </w:rPr>
        <w:t>In connection with the Quarterly Report of Aptevo Therapeutics Inc. on Form 10-Q for the period ending March 31,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680" w:val="left"/>
          <w:tab w:leader="none" w:pos="848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65"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Quarterly Report of Aptevo Inc. on Form 10-Q for the period ending March 31,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680" w:val="left"/>
          <w:tab w:leader="none" w:pos="850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7"/>
          <w:szCs w:val="17"/>
          <w:b w:val="1"/>
          <w:bCs w:val="1"/>
          <w:color w:val="auto"/>
        </w:rPr>
        <w:t>Senior Vice President, Chief Financial Officer,</w:t>
      </w:r>
    </w:p>
    <w:p>
      <w:pPr>
        <w:spacing w:after="0" w:line="34"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and Treasurer</w:t>
      </w:r>
    </w:p>
    <w:p>
      <w:pPr>
        <w:spacing w:after="0" w:line="251"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abstractNum>
  <w:abstractNum w:abstractNumId="7">
    <w:nsid w:val="1D545C4D"/>
    <w:multiLevelType w:val="hybridMultilevel"/>
    <w:lvl w:ilvl="0">
      <w:lvlJc w:val="left"/>
      <w:lvlText w:val="•"/>
      <w:numFmt w:val="bullet"/>
      <w:start w:val="1"/>
    </w:lvl>
  </w:abstractNum>
  <w:abstractNum w:abstractNumId="8">
    <w:nsid w:val="59ADEA3D"/>
    <w:multiLevelType w:val="hybridMultilevel"/>
    <w:lvl w:ilvl="0">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
      <w:numFmt w:val="bullet"/>
      <w:start w:val="1"/>
    </w:lvl>
  </w:abstractNum>
  <w:abstractNum w:abstractNumId="14">
    <w:nsid w:val="1CA0C5FA"/>
    <w:multiLevelType w:val="hybridMultilevel"/>
    <w:lvl w:ilvl="0">
      <w:lvlJc w:val="left"/>
      <w:lvlText w:val="•"/>
      <w:numFmt w:val="bullet"/>
      <w:start w:val="1"/>
    </w:lvl>
  </w:abstractNum>
  <w:abstractNum w:abstractNumId="15">
    <w:nsid w:val="53584BCB"/>
    <w:multiLevelType w:val="hybridMultilevel"/>
    <w:lvl w:ilvl="0">
      <w:lvlJc w:val="left"/>
      <w:lvlText w:val="•"/>
      <w:numFmt w:val="bullet"/>
      <w:start w:val="1"/>
    </w:lvl>
  </w:abstractNum>
  <w:abstractNum w:abstractNumId="16">
    <w:nsid w:val="415E286C"/>
    <w:multiLevelType w:val="hybridMultilevel"/>
    <w:lvl w:ilvl="0">
      <w:lvlJc w:val="left"/>
      <w:lvlText w:val="•"/>
      <w:numFmt w:val="bullet"/>
      <w:start w:val="1"/>
    </w:lvl>
  </w:abstractNum>
  <w:abstractNum w:abstractNumId="17">
    <w:nsid w:val="7C58FD05"/>
    <w:multiLevelType w:val="hybridMultilevel"/>
    <w:lvl w:ilvl="0">
      <w:lvlJc w:val="left"/>
      <w:lvlText w:val="•"/>
      <w:numFmt w:val="bullet"/>
      <w:start w:val="1"/>
    </w:lvl>
  </w:abstractNum>
  <w:abstractNum w:abstractNumId="18">
    <w:nsid w:val="23D86AAC"/>
    <w:multiLevelType w:val="hybridMultilevel"/>
    <w:lvl w:ilvl="0">
      <w:lvlJc w:val="left"/>
      <w:lvlText w:val="&amp;"/>
      <w:numFmt w:val="bullet"/>
      <w:start w:val="1"/>
    </w:lvl>
  </w:abstractNum>
  <w:abstractNum w:abstractNumId="19">
    <w:nsid w:val="45E6D486"/>
    <w:multiLevelType w:val="hybridMultilevel"/>
    <w:lvl w:ilvl="0">
      <w:lvlJc w:val="left"/>
      <w:lvlText w:val="•"/>
      <w:numFmt w:val="bullet"/>
      <w:start w:val="1"/>
    </w:lvl>
  </w:abstractNum>
  <w:abstractNum w:abstractNumId="20">
    <w:nsid w:val="5C10FE21"/>
    <w:multiLevelType w:val="hybridMultilevel"/>
    <w:lvl w:ilvl="0">
      <w:lvlJc w:val="left"/>
      <w:lvlText w:val="•"/>
      <w:numFmt w:val="bullet"/>
      <w:start w:val="1"/>
    </w:lvl>
    <w:lvl w:ilvl="1">
      <w:lvlJc w:val="left"/>
      <w:lvlText w:val="•"/>
      <w:numFmt w:val="bullet"/>
      <w:start w:val="1"/>
    </w:lvl>
  </w:abstractNum>
  <w:abstractNum w:abstractNumId="21">
    <w:nsid w:val="E7FFA2B"/>
    <w:multiLevelType w:val="hybridMultilevel"/>
    <w:lvl w:ilvl="0">
      <w:lvlJc w:val="left"/>
      <w:lvlText w:val="•"/>
      <w:numFmt w:val="bullet"/>
      <w:start w:val="1"/>
    </w:lvl>
  </w:abstractNum>
  <w:abstractNum w:abstractNumId="22">
    <w:nsid w:val="3C5991AA"/>
    <w:multiLevelType w:val="hybridMultilevel"/>
    <w:lvl w:ilvl="0">
      <w:lvlJc w:val="left"/>
      <w:lvlText w:val="•"/>
      <w:numFmt w:val="bullet"/>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A"/>
      <w:numFmt w:val="bullet"/>
      <w:start w:val="1"/>
    </w:lvl>
  </w:abstractNum>
  <w:abstractNum w:abstractNumId="29">
    <w:nsid w:val="69E373"/>
    <w:multiLevelType w:val="hybridMultilevel"/>
    <w:lvl w:ilvl="0">
      <w:lvlJc w:val="left"/>
      <w:lvlText w:val="(%1)"/>
      <w:numFmt w:val="lowerLetter"/>
      <w:start w:val="2"/>
    </w:lvl>
  </w:abstractNum>
  <w:abstractNum w:abstractNumId="30">
    <w:nsid w:val="2C27173B"/>
    <w:multiLevelType w:val="hybridMultilevel"/>
    <w:lvl w:ilvl="0">
      <w:lvlJc w:val="left"/>
      <w:lvlText w:val="(%1)"/>
      <w:numFmt w:val="lowerLetter"/>
      <w:start w:val="2"/>
    </w:lvl>
  </w:abstractNum>
  <w:abstractNum w:abstractNumId="31">
    <w:nsid w:val="4C9B0904"/>
    <w:multiLevelType w:val="hybridMultilevel"/>
    <w:lvl w:ilvl="0">
      <w:lvlJc w:val="left"/>
      <w:lvlText w:val="(%1)"/>
      <w:numFmt w:val="lowerLetter"/>
      <w:start w:val="1"/>
    </w:lvl>
    <w:lvl w:ilvl="1">
      <w:lvlJc w:val="left"/>
      <w:lvlText w:val="(%2)"/>
      <w:numFmt w:val="lowerRoman"/>
      <w:start w:val="1"/>
    </w:lvl>
  </w:abstractNum>
  <w:abstractNum w:abstractNumId="32">
    <w:nsid w:val="6AA7B75C"/>
    <w:multiLevelType w:val="hybridMultilevel"/>
    <w:lvl w:ilvl="0">
      <w:lvlJc w:val="left"/>
      <w:lvlText w:val="(%1)"/>
      <w:numFmt w:val="lowerLetter"/>
      <w:start w:val="2"/>
    </w:lvl>
    <w:lvl w:ilvl="1">
      <w:lvlJc w:val="left"/>
      <w:lvlText w:val="(%2)"/>
      <w:numFmt w:val="lowerRoman"/>
      <w:start w:val="1"/>
    </w:lvl>
  </w:abstractNum>
  <w:abstractNum w:abstractNumId="33">
    <w:nsid w:val="1DF029D3"/>
    <w:multiLevelType w:val="hybridMultilevel"/>
    <w:lvl w:ilvl="0">
      <w:lvlJc w:val="left"/>
      <w:lvlText w:val="1"/>
      <w:numFmt w:val="bullet"/>
      <w:start w:val="1"/>
    </w:lvl>
  </w:abstractNum>
  <w:abstractNum w:abstractNumId="34">
    <w:nsid w:val="5675FF36"/>
    <w:multiLevelType w:val="hybridMultilevel"/>
    <w:lvl w:ilvl="0">
      <w:lvlJc w:val="left"/>
      <w:lvlText w:val="(%1)"/>
      <w:numFmt w:val="upperLetter"/>
      <w:start w:val="1"/>
    </w:lvl>
  </w:abstractNum>
  <w:abstractNum w:abstractNumId="35">
    <w:nsid w:val="3DD15094"/>
    <w:multiLevelType w:val="hybridMultilevel"/>
    <w:lvl w:ilvl="0">
      <w:lvlJc w:val="left"/>
      <w:lvlText w:val="(%1)"/>
      <w:numFmt w:val="lowerLetter"/>
      <w:start w:val="1"/>
    </w:lvl>
  </w:abstractNum>
  <w:abstractNum w:abstractNumId="36">
    <w:nsid w:val="3DB012B3"/>
    <w:multiLevelType w:val="hybridMultilevel"/>
    <w:lvl w:ilvl="0">
      <w:lvlJc w:val="left"/>
      <w:lvlText w:val="(%1)"/>
      <w:numFmt w:val="lowerLetter"/>
      <w:start w:val="1"/>
    </w:lvl>
  </w:abstractNum>
  <w:abstractNum w:abstractNumId="37">
    <w:nsid w:val="2708C9AF"/>
    <w:multiLevelType w:val="hybridMultilevel"/>
    <w:lvl w:ilvl="0">
      <w:lvlJc w:val="left"/>
      <w:lvlText w:val="(%1)"/>
      <w:numFmt w:val="lowerLetter"/>
      <w:start w:val="9"/>
    </w:lvl>
    <w:lvl w:ilvl="1">
      <w:lvlJc w:val="left"/>
      <w:lvlText w:val="(%2)"/>
      <w:numFmt w:val="lowerLetter"/>
      <w:start w:val="4"/>
    </w:lvl>
  </w:abstractNum>
  <w:abstractNum w:abstractNumId="38">
    <w:nsid w:val="5B25ACE2"/>
    <w:multiLevelType w:val="hybridMultilevel"/>
    <w:lvl w:ilvl="0">
      <w:lvlJc w:val="left"/>
      <w:lvlText w:val="(%1)"/>
      <w:numFmt w:val="lowerRoman"/>
      <w:start w:val="1"/>
    </w:lvl>
  </w:abstractNum>
  <w:abstractNum w:abstractNumId="39">
    <w:nsid w:val="175DFCF0"/>
    <w:multiLevelType w:val="hybridMultilevel"/>
    <w:lvl w:ilvl="0">
      <w:lvlJc w:val="left"/>
      <w:lvlText w:val="(%1)"/>
      <w:numFmt w:val="lowerLetter"/>
      <w:start w:val="10"/>
    </w:lvl>
  </w:abstractNum>
  <w:abstractNum w:abstractNumId="40">
    <w:nsid w:val="4F97E3E4"/>
    <w:multiLevelType w:val="hybridMultilevel"/>
    <w:lvl w:ilvl="0">
      <w:lvlJc w:val="left"/>
      <w:lvlText w:val="(%1)"/>
      <w:numFmt w:val="lowerLetter"/>
      <w:start w:val="1"/>
    </w:lvl>
    <w:lvl w:ilvl="1">
      <w:lvlJc w:val="left"/>
      <w:lvlText w:val="(%2)"/>
      <w:numFmt w:val="lowerLetter"/>
      <w:start w:val="9"/>
    </w:lvl>
  </w:abstractNum>
  <w:abstractNum w:abstractNumId="41">
    <w:nsid w:val="53B0A9E"/>
    <w:multiLevelType w:val="hybridMultilevel"/>
    <w:lvl w:ilvl="0">
      <w:lvlJc w:val="left"/>
      <w:lvlText w:val="%1"/>
      <w:numFmt w:val="lowerLetter"/>
      <w:start w:val="1"/>
    </w:lvl>
    <w:lvl w:ilvl="1">
      <w:lvlJc w:val="left"/>
      <w:lvlText w:val="(%2)"/>
      <w:numFmt w:val="lowerLetter"/>
      <w:start w:val="35"/>
    </w:lvl>
  </w:abstractNum>
  <w:abstractNum w:abstractNumId="42">
    <w:nsid w:val="34FD6B4F"/>
    <w:multiLevelType w:val="hybridMultilevel"/>
    <w:lvl w:ilvl="0">
      <w:lvlJc w:val="left"/>
      <w:lvlText w:val="(%1)"/>
      <w:numFmt w:val="lowerLetter"/>
      <w:start w:val="4"/>
    </w:lvl>
    <w:lvl w:ilvl="1">
      <w:lvlJc w:val="left"/>
      <w:lvlText w:val="%2"/>
      <w:numFmt w:val="lowerLetter"/>
      <w:start w:val="1"/>
    </w:lvl>
  </w:abstractNum>
  <w:abstractNum w:abstractNumId="43">
    <w:nsid w:val="5915FF32"/>
    <w:multiLevelType w:val="hybridMultilevel"/>
    <w:lvl w:ilvl="0">
      <w:lvlJc w:val="left"/>
      <w:lvlText w:val="(%1)"/>
      <w:numFmt w:val="lowerLetter"/>
      <w:start w:val="1"/>
    </w:lvl>
  </w:abstractNum>
  <w:abstractNum w:abstractNumId="44">
    <w:nsid w:val="56438D15"/>
    <w:multiLevelType w:val="hybridMultilevel"/>
    <w:lvl w:ilvl="0">
      <w:lvlJc w:val="left"/>
      <w:lvlText w:val="(%1)"/>
      <w:numFmt w:val="lowerLetter"/>
      <w:start w:val="2"/>
    </w:lvl>
  </w:abstractNum>
  <w:abstractNum w:abstractNumId="45">
    <w:nsid w:val="519E3149"/>
    <w:multiLevelType w:val="hybridMultilevel"/>
    <w:lvl w:ilvl="0">
      <w:lvlJc w:val="left"/>
      <w:lvlText w:val="(%1)"/>
      <w:numFmt w:val="lowerLetter"/>
      <w:start w:val="1"/>
    </w:lvl>
    <w:lvl w:ilvl="1">
      <w:lvlJc w:val="left"/>
      <w:lvlText w:val="(%2)"/>
      <w:numFmt w:val="lowerRoman"/>
      <w:start w:val="1"/>
    </w:lvl>
  </w:abstractNum>
  <w:abstractNum w:abstractNumId="46">
    <w:nsid w:val="2C6E4AFD"/>
    <w:multiLevelType w:val="hybridMultilevel"/>
    <w:lvl w:ilvl="0">
      <w:lvlJc w:val="left"/>
      <w:lvlText w:val="(%1)"/>
      <w:numFmt w:val="lowerLetter"/>
      <w:start w:val="1"/>
    </w:lvl>
  </w:abstractNum>
  <w:abstractNum w:abstractNumId="47">
    <w:nsid w:val="17A1B582"/>
    <w:multiLevelType w:val="hybridMultilevel"/>
    <w:lvl w:ilvl="0">
      <w:lvlJc w:val="left"/>
      <w:lvlText w:val="(%1)"/>
      <w:numFmt w:val="lowerLetter"/>
      <w:start w:val="1"/>
    </w:lvl>
  </w:abstractNum>
  <w:abstractNum w:abstractNumId="48">
    <w:nsid w:val="4DF72E4E"/>
    <w:multiLevelType w:val="hybridMultilevel"/>
    <w:lvl w:ilvl="0">
      <w:lvlJc w:val="left"/>
      <w:lvlText w:val="(%1)"/>
      <w:numFmt w:val="lowerLetter"/>
      <w:start w:val="4"/>
    </w:lvl>
  </w:abstractNum>
  <w:abstractNum w:abstractNumId="49">
    <w:nsid w:val="5046B5A9"/>
    <w:multiLevelType w:val="hybridMultilevel"/>
    <w:lvl w:ilvl="0">
      <w:lvlJc w:val="left"/>
      <w:lvlText w:val="(%1)"/>
      <w:numFmt w:val="lowerLetter"/>
      <w:start w:val="1"/>
    </w:lvl>
  </w:abstractNum>
  <w:abstractNum w:abstractNumId="50">
    <w:nsid w:val="5D888A08"/>
    <w:multiLevelType w:val="hybridMultilevel"/>
    <w:lvl w:ilvl="0">
      <w:lvlJc w:val="left"/>
      <w:lvlText w:val="(%1)"/>
      <w:numFmt w:val="lowerLetter"/>
      <w:start w:val="1"/>
    </w:lvl>
    <w:lvl w:ilvl="1">
      <w:lvlJc w:val="left"/>
      <w:lvlText w:val="(%2)"/>
      <w:numFmt w:val="lowerRoman"/>
      <w:start w:val="1"/>
    </w:lvl>
  </w:abstractNum>
  <w:abstractNum w:abstractNumId="51">
    <w:nsid w:val="2A082C70"/>
    <w:multiLevelType w:val="hybridMultilevel"/>
    <w:lvl w:ilvl="0">
      <w:lvlJc w:val="left"/>
      <w:lvlText w:val="(%1)"/>
      <w:numFmt w:val="lowerLetter"/>
      <w:start w:val="1"/>
    </w:lvl>
  </w:abstractNum>
  <w:abstractNum w:abstractNumId="52">
    <w:nsid w:val="5EC6AFD4"/>
    <w:multiLevelType w:val="hybridMultilevel"/>
    <w:lvl w:ilvl="0">
      <w:lvlJc w:val="left"/>
      <w:lvlText w:val="(%1)"/>
      <w:numFmt w:val="lowerLetter"/>
      <w:start w:val="2"/>
    </w:lvl>
  </w:abstractNum>
  <w:abstractNum w:abstractNumId="53">
    <w:nsid w:val="19E21BB2"/>
    <w:multiLevelType w:val="hybridMultilevel"/>
    <w:lvl w:ilvl="0">
      <w:lvlJc w:val="left"/>
      <w:lvlText w:val="(%1)"/>
      <w:numFmt w:val="lowerLetter"/>
      <w:start w:val="1"/>
    </w:lvl>
  </w:abstractNum>
  <w:abstractNum w:abstractNumId="54">
    <w:nsid w:val="75E0858A"/>
    <w:multiLevelType w:val="hybridMultilevel"/>
    <w:lvl w:ilvl="0">
      <w:lvlJc w:val="left"/>
      <w:lvlText w:val="(%1)"/>
      <w:numFmt w:val="lowerLetter"/>
      <w:start w:val="1"/>
    </w:lvl>
  </w:abstractNum>
  <w:abstractNum w:abstractNumId="55">
    <w:nsid w:val="57A61A29"/>
    <w:multiLevelType w:val="hybridMultilevel"/>
    <w:lvl w:ilvl="0">
      <w:lvlJc w:val="left"/>
      <w:lvlText w:val="(%1)"/>
      <w:numFmt w:val="lowerLetter"/>
      <w:start w:val="1"/>
    </w:lvl>
  </w:abstractNum>
  <w:abstractNum w:abstractNumId="56">
    <w:nsid w:val="5399C654"/>
    <w:multiLevelType w:val="hybridMultilevel"/>
    <w:lvl w:ilvl="0">
      <w:lvlJc w:val="left"/>
      <w:lvlText w:val="%1."/>
      <w:numFmt w:val="decimal"/>
      <w:start w:val="1"/>
    </w:lvl>
    <w:lvl w:ilvl="1">
      <w:lvlJc w:val="left"/>
      <w:lvlText w:val="(%2)"/>
      <w:numFmt w:val="lowerLetter"/>
      <w:start w:val="1"/>
    </w:lvl>
  </w:abstractNum>
  <w:abstractNum w:abstractNumId="57">
    <w:nsid w:val="20EE1348"/>
    <w:multiLevelType w:val="hybridMultilevel"/>
    <w:lvl w:ilvl="0">
      <w:lvlJc w:val="left"/>
      <w:lvlText w:val="%1."/>
      <w:numFmt w:val="decimal"/>
      <w:start w:val="1"/>
    </w:lvl>
  </w:abstractNum>
  <w:abstractNum w:abstractNumId="58">
    <w:nsid w:val="4427069A"/>
    <w:multiLevelType w:val="hybridMultilevel"/>
    <w:lvl w:ilvl="0">
      <w:lvlJc w:val="left"/>
      <w:lvlText w:val="%1."/>
      <w:numFmt w:val="decimal"/>
      <w:start w:val="5"/>
    </w:lvl>
  </w:abstractNum>
  <w:abstractNum w:abstractNumId="59">
    <w:nsid w:val="B37E80A"/>
    <w:multiLevelType w:val="hybridMultilevel"/>
    <w:lvl w:ilvl="0">
      <w:lvlJc w:val="left"/>
      <w:lvlText w:val="%1."/>
      <w:numFmt w:val="upperLetter"/>
      <w:start w:val="1"/>
    </w:lvl>
  </w:abstractNum>
  <w:abstractNum w:abstractNumId="60">
    <w:nsid w:val="2157F6BC"/>
    <w:multiLevelType w:val="hybridMultilevel"/>
    <w:lvl w:ilvl="0">
      <w:lvlJc w:val="left"/>
      <w:lvlText w:val="%1."/>
      <w:numFmt w:val="decimal"/>
      <w:start w:val="1"/>
    </w:lvl>
    <w:lvl w:ilvl="1">
      <w:lvlJc w:val="left"/>
      <w:lvlText w:val="(%2)"/>
      <w:numFmt w:val="lowerLetter"/>
      <w:start w:val="1"/>
    </w:lvl>
  </w:abstractNum>
  <w:abstractNum w:abstractNumId="61">
    <w:nsid w:val="704E1DD5"/>
    <w:multiLevelType w:val="hybridMultilevel"/>
    <w:lvl w:ilvl="0">
      <w:lvlJc w:val="left"/>
      <w:lvlText w:val="%1"/>
      <w:numFmt w:val="decimal"/>
      <w:start w:val="1"/>
    </w:lvl>
    <w:lvl w:ilvl="1">
      <w:lvlJc w:val="left"/>
      <w:lvlText w:val="(%2)"/>
      <w:numFmt w:val="lowerLetter"/>
      <w:start w:val="2"/>
    </w:lvl>
  </w:abstractNum>
  <w:abstractNum w:abstractNumId="62">
    <w:nsid w:val="57D2F10E"/>
    <w:multiLevelType w:val="hybridMultilevel"/>
    <w:lvl w:ilvl="0">
      <w:lvlJc w:val="left"/>
      <w:lvlText w:val="%1."/>
      <w:numFmt w:val="decimal"/>
      <w:start w:val="3"/>
    </w:lvl>
    <w:lvl w:ilvl="1">
      <w:lvlJc w:val="left"/>
      <w:lvlText w:val="(%2)"/>
      <w:numFmt w:val="lowerLetter"/>
      <w:start w:val="1"/>
    </w:lvl>
  </w:abstractNum>
  <w:abstractNum w:abstractNumId="63">
    <w:nsid w:val="BFFAE18"/>
    <w:multiLevelType w:val="hybridMultilevel"/>
    <w:lvl w:ilvl="0">
      <w:lvlJc w:val="left"/>
      <w:lvlText w:val="%1."/>
      <w:numFmt w:val="decimal"/>
      <w:start w:val="5"/>
    </w:lvl>
    <w:lvl w:ilvl="1">
      <w:lvlJc w:val="left"/>
      <w:lvlText w:val="(%2)"/>
      <w:numFmt w:val="lowerLetter"/>
      <w:start w:val="1"/>
    </w:lvl>
  </w:abstractNum>
  <w:abstractNum w:abstractNumId="64">
    <w:nsid w:val="E3E47A8"/>
    <w:multiLevelType w:val="hybridMultilevel"/>
    <w:lvl w:ilvl="0">
      <w:lvlJc w:val="left"/>
      <w:lvlText w:val="(%1)"/>
      <w:numFmt w:val="lowerLetter"/>
      <w:start w:val="3"/>
    </w:lvl>
  </w:abstractNum>
  <w:abstractNum w:abstractNumId="65">
    <w:nsid w:val="2E48F044"/>
    <w:multiLevelType w:val="hybridMultilevel"/>
    <w:lvl w:ilvl="0">
      <w:lvlJc w:val="left"/>
      <w:lvlText w:val="(%1)"/>
      <w:numFmt w:val="lowerLetter"/>
      <w:start w:val="9"/>
    </w:lvl>
  </w:abstractNum>
  <w:abstractNum w:abstractNumId="66">
    <w:nsid w:val="49D0FEAC"/>
    <w:multiLevelType w:val="hybridMultilevel"/>
    <w:lvl w:ilvl="0">
      <w:lvlJc w:val="left"/>
      <w:lvlText w:val="(%1)"/>
      <w:numFmt w:val="lowerLetter"/>
      <w:start w:val="2"/>
    </w:lvl>
  </w:abstractNum>
  <w:abstractNum w:abstractNumId="67">
    <w:nsid w:val="4BEE5A5B"/>
    <w:multiLevelType w:val="hybridMultilevel"/>
    <w:lvl w:ilvl="0">
      <w:lvlJc w:val="left"/>
      <w:lvlText w:val="(%1)"/>
      <w:numFmt w:val="lowerLetter"/>
      <w:start w:val="8"/>
    </w:lvl>
  </w:abstractNum>
  <w:abstractNum w:abstractNumId="68">
    <w:nsid w:val="5551B9F3"/>
    <w:multiLevelType w:val="hybridMultilevel"/>
    <w:lvl w:ilvl="0">
      <w:lvlJc w:val="left"/>
      <w:lvlText w:val="(%1)"/>
      <w:numFmt w:val="lowerLetter"/>
      <w:start w:val="1"/>
    </w:lvl>
  </w:abstractNum>
  <w:abstractNum w:abstractNumId="69">
    <w:nsid w:val="24F6AB8E"/>
    <w:multiLevelType w:val="hybridMultilevel"/>
    <w:lvl w:ilvl="0">
      <w:lvlJc w:val="left"/>
      <w:lvlText w:val="(%1)"/>
      <w:numFmt w:val="lowerRoman"/>
      <w:start w:val="1"/>
    </w:lvl>
  </w:abstractNum>
  <w:abstractNum w:abstractNumId="70">
    <w:nsid w:val="634C574C"/>
    <w:multiLevelType w:val="hybridMultilevel"/>
    <w:lvl w:ilvl="0">
      <w:lvlJc w:val="left"/>
      <w:lvlText w:val="(%1)"/>
      <w:numFmt w:val="lowerLetter"/>
      <w:start w:val="1"/>
    </w:lvl>
  </w:abstractNum>
  <w:abstractNum w:abstractNumId="71">
    <w:nsid w:val="24E99DD7"/>
    <w:multiLevelType w:val="hybridMultilevel"/>
    <w:lvl w:ilvl="0">
      <w:lvlJc w:val="left"/>
      <w:lvlText w:val="(%1)"/>
      <w:numFmt w:val="lowerLetter"/>
      <w:start w:val="5"/>
    </w:lvl>
  </w:abstractNum>
  <w:abstractNum w:abstractNumId="72">
    <w:nsid w:val="2A31B62D"/>
    <w:multiLevelType w:val="hybridMultilevel"/>
    <w:lvl w:ilvl="0">
      <w:lvlJc w:val="left"/>
      <w:lvlText w:val="§"/>
      <w:numFmt w:val="bullet"/>
      <w:start w:val="1"/>
    </w:lvl>
  </w:abstractNum>
  <w:abstractNum w:abstractNumId="73">
    <w:nsid w:val="1849C29B"/>
    <w:multiLevelType w:val="hybridMultilevel"/>
    <w:lvl w:ilvl="0">
      <w:lvlJc w:val="left"/>
      <w:lvlText w:val="(%1)"/>
      <w:numFmt w:val="lowerLetter"/>
      <w:start w:val="1"/>
    </w:lvl>
  </w:abstractNum>
  <w:abstractNum w:abstractNumId="74">
    <w:nsid w:val="7DFF9D09"/>
    <w:multiLevelType w:val="hybridMultilevel"/>
    <w:lvl w:ilvl="0">
      <w:lvlJc w:val="left"/>
      <w:lvlText w:val="(%1)"/>
      <w:numFmt w:val="lowerLetter"/>
      <w:start w:val="9"/>
    </w:lvl>
  </w:abstractNum>
  <w:abstractNum w:abstractNumId="75">
    <w:nsid w:val="754342"/>
    <w:multiLevelType w:val="hybridMultilevel"/>
    <w:lvl w:ilvl="0">
      <w:lvlJc w:val="left"/>
      <w:lvlText w:val="(%1)"/>
      <w:numFmt w:val="lowerLetter"/>
      <w:start w:val="1"/>
    </w:lvl>
  </w:abstractNum>
  <w:abstractNum w:abstractNumId="76">
    <w:nsid w:val="69E7F3E5"/>
    <w:multiLevelType w:val="hybridMultilevel"/>
    <w:lvl w:ilvl="0">
      <w:lvlJc w:val="left"/>
      <w:lvlText w:val="(%1)"/>
      <w:numFmt w:val="lowerLetter"/>
      <w:start w:val="6"/>
    </w:lvl>
  </w:abstractNum>
  <w:abstractNum w:abstractNumId="77">
    <w:nsid w:val="2A6DE806"/>
    <w:multiLevelType w:val="hybridMultilevel"/>
    <w:lvl w:ilvl="0">
      <w:lvlJc w:val="left"/>
      <w:lvlText w:val="(%1)"/>
      <w:numFmt w:val="lowerLetter"/>
      <w:start w:val="1"/>
    </w:lvl>
  </w:abstractNum>
  <w:abstractNum w:abstractNumId="78">
    <w:nsid w:val="1816F8C4"/>
    <w:multiLevelType w:val="hybridMultilevel"/>
    <w:lvl w:ilvl="0">
      <w:lvlJc w:val="left"/>
      <w:lvlText w:val="%1"/>
      <w:numFmt w:val="lowerLetter"/>
      <w:start w:val="1"/>
    </w:lvl>
    <w:lvl w:ilvl="1">
      <w:lvlJc w:val="left"/>
      <w:lvlText w:val="(%2)"/>
      <w:numFmt w:val="lowerLetter"/>
      <w:start w:val="7"/>
    </w:lvl>
  </w:abstractNum>
  <w:abstractNum w:abstractNumId="79">
    <w:nsid w:val="37DF2233"/>
    <w:multiLevelType w:val="hybridMultilevel"/>
    <w:lvl w:ilvl="0">
      <w:lvlJc w:val="left"/>
      <w:lvlText w:val="(%1)"/>
      <w:numFmt w:val="lowerLetter"/>
      <w:start w:val="9"/>
    </w:lvl>
    <w:lvl w:ilvl="1">
      <w:lvlJc w:val="left"/>
      <w:lvlText w:val="(%2)"/>
      <w:numFmt w:val="lowerLetter"/>
      <w:start w:val="10"/>
    </w:lvl>
  </w:abstractNum>
  <w:abstractNum w:abstractNumId="80">
    <w:nsid w:val="7AB49DAF"/>
    <w:multiLevelType w:val="hybridMultilevel"/>
    <w:lvl w:ilvl="0">
      <w:lvlJc w:val="left"/>
      <w:lvlText w:val="(%1)"/>
      <w:numFmt w:val="lowerLetter"/>
      <w:start w:val="1"/>
    </w:lvl>
  </w:abstractNum>
  <w:abstractNum w:abstractNumId="81">
    <w:nsid w:val="759F82CD"/>
    <w:multiLevelType w:val="hybridMultilevel"/>
    <w:lvl w:ilvl="0">
      <w:lvlJc w:val="left"/>
      <w:lvlText w:val="(%1)"/>
      <w:numFmt w:val="lowerLetter"/>
      <w:start w:val="3"/>
    </w:lvl>
  </w:abstractNum>
  <w:abstractNum w:abstractNumId="82">
    <w:nsid w:val="61E74EA3"/>
    <w:multiLevelType w:val="hybridMultilevel"/>
    <w:lvl w:ilvl="0">
      <w:lvlJc w:val="left"/>
      <w:lvlText w:val="(%1)"/>
      <w:numFmt w:val="lowerLetter"/>
      <w:start w:val="15"/>
    </w:lvl>
  </w:abstractNum>
  <w:abstractNum w:abstractNumId="83">
    <w:nsid w:val="597B4D84"/>
    <w:multiLevelType w:val="hybridMultilevel"/>
    <w:lvl w:ilvl="0">
      <w:lvlJc w:val="left"/>
      <w:lvlText w:val="(%1)"/>
      <w:numFmt w:val="lowerLetter"/>
      <w:start w:val="1"/>
    </w:lvl>
  </w:abstractNum>
  <w:abstractNum w:abstractNumId="84">
    <w:nsid w:val="F819E7F"/>
    <w:multiLevelType w:val="hybridMultilevel"/>
    <w:lvl w:ilvl="0">
      <w:lvlJc w:val="left"/>
      <w:lvlText w:val="(%1)"/>
      <w:numFmt w:val="lowerLetter"/>
      <w:start w:val="1"/>
    </w:lvl>
  </w:abstractNum>
  <w:abstractNum w:abstractNumId="85">
    <w:nsid w:val="57C7D42D"/>
    <w:multiLevelType w:val="hybridMultilevel"/>
    <w:lvl w:ilvl="0">
      <w:lvlJc w:val="left"/>
      <w:lvlText w:val="(%1)"/>
      <w:numFmt w:val="lowerLetter"/>
      <w:start w:val="14"/>
    </w:lvl>
  </w:abstractNum>
  <w:abstractNum w:abstractNumId="86">
    <w:nsid w:val="312167AD"/>
    <w:multiLevelType w:val="hybridMultilevel"/>
    <w:lvl w:ilvl="0">
      <w:lvlJc w:val="left"/>
      <w:lvlText w:val="(%1)"/>
      <w:numFmt w:val="lowerLetter"/>
      <w:start w:val="16"/>
    </w:lvl>
  </w:abstractNum>
  <w:abstractNum w:abstractNumId="87">
    <w:nsid w:val="631B64D4"/>
    <w:multiLevelType w:val="hybridMultilevel"/>
    <w:lvl w:ilvl="0">
      <w:lvlJc w:val="left"/>
      <w:lvlText w:val="&amp;"/>
      <w:numFmt w:val="bullet"/>
      <w:start w:val="1"/>
    </w:lvl>
  </w:abstractNum>
  <w:abstractNum w:abstractNumId="88">
    <w:nsid w:val="78B5E776"/>
    <w:multiLevelType w:val="hybridMultilevel"/>
    <w:lvl w:ilvl="0">
      <w:lvlJc w:val="left"/>
      <w:lvlText w:val="(%1)"/>
      <w:numFmt w:val="lowerLetter"/>
      <w:start w:val="2"/>
    </w:lvl>
  </w:abstractNum>
  <w:abstractNum w:abstractNumId="89">
    <w:nsid w:val="75486E47"/>
    <w:multiLevelType w:val="hybridMultilevel"/>
    <w:lvl w:ilvl="0">
      <w:lvlJc w:val="left"/>
      <w:lvlText w:val="(%1)"/>
      <w:numFmt w:val="lowerRoman"/>
      <w:start w:val="1"/>
    </w:lvl>
  </w:abstractNum>
  <w:abstractNum w:abstractNumId="90">
    <w:nsid w:val="6E534CDE"/>
    <w:multiLevelType w:val="hybridMultilevel"/>
    <w:lvl w:ilvl="0">
      <w:lvlJc w:val="left"/>
      <w:lvlText w:val="(%1)"/>
      <w:numFmt w:val="lowerLetter"/>
      <w:start w:val="1"/>
    </w:lvl>
    <w:lvl w:ilvl="1">
      <w:lvlJc w:val="left"/>
      <w:lvlText w:val="(%2)"/>
      <w:numFmt w:val="lowerLetter"/>
      <w:start w:val="9"/>
    </w:lvl>
  </w:abstractNum>
  <w:abstractNum w:abstractNumId="91">
    <w:nsid w:val="1A0DDE32"/>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92">
    <w:nsid w:val="65968C1C"/>
    <w:multiLevelType w:val="hybridMultilevel"/>
    <w:lvl w:ilvl="0">
      <w:lvlJc w:val="left"/>
      <w:lvlText w:val="(%1)"/>
      <w:numFmt w:val="lowerRoman"/>
      <w:start w:val="6"/>
    </w:lvl>
  </w:abstractNum>
  <w:abstractNum w:abstractNumId="93">
    <w:nsid w:val="46263DEC"/>
    <w:multiLevelType w:val="hybridMultilevel"/>
    <w:lvl w:ilvl="0">
      <w:lvlJc w:val="left"/>
      <w:lvlText w:val="%1"/>
      <w:numFmt w:val="lowerRoman"/>
      <w:start w:val="1"/>
    </w:lvl>
    <w:lvl w:ilvl="1">
      <w:lvlJc w:val="left"/>
      <w:lvlText w:val="(%2)"/>
      <w:numFmt w:val="upperLetter"/>
      <w:start w:val="3"/>
    </w:lvl>
  </w:abstractNum>
  <w:abstractNum w:abstractNumId="94">
    <w:nsid w:val="260D8C4A"/>
    <w:multiLevelType w:val="hybridMultilevel"/>
    <w:lvl w:ilvl="0">
      <w:lvlJc w:val="left"/>
      <w:lvlText w:val="(%1)"/>
      <w:numFmt w:val="lowerRoman"/>
      <w:start w:val="3"/>
    </w:lvl>
    <w:lvl w:ilvl="1">
      <w:lvlJc w:val="left"/>
      <w:lvlText w:val="%2"/>
      <w:numFmt w:val="upperLetter"/>
      <w:start w:val="1"/>
    </w:lvl>
  </w:abstractNum>
  <w:abstractNum w:abstractNumId="95">
    <w:nsid w:val="73D4D3C4"/>
    <w:multiLevelType w:val="hybridMultilevel"/>
    <w:lvl w:ilvl="0">
      <w:lvlJc w:val="left"/>
      <w:lvlText w:val="(%1)"/>
      <w:numFmt w:val="lowerRoman"/>
      <w:start w:val="4"/>
    </w:lvl>
    <w:lvl w:ilvl="1">
      <w:lvlJc w:val="left"/>
      <w:lvlText w:val="(%2)"/>
      <w:numFmt w:val="upperLetter"/>
      <w:start w:val="1"/>
    </w:lvl>
  </w:abstractNum>
  <w:abstractNum w:abstractNumId="96">
    <w:nsid w:val="746F2E30"/>
    <w:multiLevelType w:val="hybridMultilevel"/>
    <w:lvl w:ilvl="0">
      <w:lvlJc w:val="left"/>
      <w:lvlText w:val="(%1)"/>
      <w:numFmt w:val="upperLetter"/>
      <w:start w:val="1"/>
    </w:lvl>
  </w:abstractNum>
  <w:abstractNum w:abstractNumId="97">
    <w:nsid w:val="6FDE8AF6"/>
    <w:multiLevelType w:val="hybridMultilevel"/>
    <w:lvl w:ilvl="0">
      <w:lvlJc w:val="left"/>
      <w:lvlText w:val="(%1)"/>
      <w:numFmt w:val="upperLetter"/>
      <w:start w:val="35"/>
    </w:lvl>
    <w:lvl w:ilvl="1">
      <w:lvlJc w:val="left"/>
      <w:lvlText w:val="(%2)"/>
      <w:numFmt w:val="upperLetter"/>
      <w:start w:val="3"/>
    </w:lvl>
  </w:abstractNum>
  <w:abstractNum w:abstractNumId="98">
    <w:nsid w:val="3FC32E20"/>
    <w:multiLevelType w:val="hybridMultilevel"/>
    <w:lvl w:ilvl="0">
      <w:lvlJc w:val="left"/>
      <w:lvlText w:val="(%1)"/>
      <w:numFmt w:val="lowerLetter"/>
      <w:start w:val="1"/>
    </w:lvl>
  </w:abstractNum>
  <w:abstractNum w:abstractNumId="99">
    <w:nsid w:val="49C0E823"/>
    <w:multiLevelType w:val="hybridMultilevel"/>
    <w:lvl w:ilvl="0">
      <w:lvlJc w:val="left"/>
      <w:lvlText w:val="(%1)"/>
      <w:numFmt w:val="lowerLetter"/>
      <w:start w:val="7"/>
    </w:lvl>
  </w:abstractNum>
  <w:abstractNum w:abstractNumId="100">
    <w:nsid w:val="14D53685"/>
    <w:multiLevelType w:val="hybridMultilevel"/>
    <w:lvl w:ilvl="0">
      <w:lvlJc w:val="left"/>
      <w:lvlText w:val="(%1)"/>
      <w:numFmt w:val="lowerLetter"/>
      <w:start w:val="1"/>
    </w:lvl>
  </w:abstractNum>
  <w:abstractNum w:abstractNumId="101">
    <w:nsid w:val="230F856C"/>
    <w:multiLevelType w:val="hybridMultilevel"/>
    <w:lvl w:ilvl="0">
      <w:lvlJc w:val="left"/>
      <w:lvlText w:val="(%1)"/>
      <w:numFmt w:val="lowerLetter"/>
      <w:start w:val="1"/>
    </w:lvl>
  </w:abstractNum>
  <w:abstractNum w:abstractNumId="102">
    <w:nsid w:val="6EAA85FB"/>
    <w:multiLevelType w:val="hybridMultilevel"/>
    <w:lvl w:ilvl="0">
      <w:lvlJc w:val="left"/>
      <w:lvlText w:val="(%1)"/>
      <w:numFmt w:val="lowerLetter"/>
      <w:start w:val="2"/>
    </w:lvl>
    <w:lvl w:ilvl="1">
      <w:lvlJc w:val="left"/>
      <w:lvlText w:val="(%2)"/>
      <w:numFmt w:val="lowerLetter"/>
      <w:start w:val="9"/>
    </w:lvl>
  </w:abstractNum>
  <w:abstractNum w:abstractNumId="103">
    <w:nsid w:val="3F06ECB2"/>
    <w:multiLevelType w:val="hybridMultilevel"/>
    <w:lvl w:ilvl="0">
      <w:lvlJc w:val="left"/>
      <w:lvlText w:val="%1"/>
      <w:numFmt w:val="decimal"/>
      <w:start w:val="1"/>
    </w:lvl>
    <w:lvl w:ilvl="1">
      <w:lvlJc w:val="left"/>
      <w:lvlText w:val="(%2)"/>
      <w:numFmt w:val="lowerRoman"/>
      <w:start w:val="2"/>
    </w:lvl>
  </w:abstractNum>
  <w:abstractNum w:abstractNumId="104">
    <w:nsid w:val="3B594807"/>
    <w:multiLevelType w:val="hybridMultilevel"/>
    <w:lvl w:ilvl="0">
      <w:lvlJc w:val="left"/>
      <w:lvlText w:val="(%1)"/>
      <w:numFmt w:val="decimal"/>
      <w:start w:val="30"/>
    </w:lvl>
    <w:lvl w:ilvl="1">
      <w:lvlJc w:val="left"/>
      <w:lvlText w:val="(%2)"/>
      <w:numFmt w:val="lowerRoman"/>
      <w:start w:val="3"/>
    </w:lvl>
  </w:abstractNum>
  <w:abstractNum w:abstractNumId="105">
    <w:nsid w:val="6CAA2304"/>
    <w:multiLevelType w:val="hybridMultilevel"/>
    <w:lvl w:ilvl="0">
      <w:lvlJc w:val="left"/>
      <w:lvlText w:val="(%1)"/>
      <w:numFmt w:val="lowerLetter"/>
      <w:start w:val="4"/>
    </w:lvl>
  </w:abstractNum>
  <w:abstractNum w:abstractNumId="106">
    <w:nsid w:val="3F7C2FF4"/>
    <w:multiLevelType w:val="hybridMultilevel"/>
    <w:lvl w:ilvl="0">
      <w:lvlJc w:val="left"/>
      <w:lvlText w:val="(%1)"/>
      <w:numFmt w:val="lowerLetter"/>
      <w:start w:val="7"/>
    </w:lvl>
  </w:abstractNum>
  <w:abstractNum w:abstractNumId="107">
    <w:nsid w:val="25413BEC"/>
    <w:multiLevelType w:val="hybridMultilevel"/>
    <w:lvl w:ilvl="0">
      <w:lvlJc w:val="left"/>
      <w:lvlText w:val="(%1)"/>
      <w:numFmt w:val="lowerLetter"/>
      <w:start w:val="1"/>
    </w:lvl>
  </w:abstractNum>
  <w:abstractNum w:abstractNumId="108">
    <w:nsid w:val="17180B0B"/>
    <w:multiLevelType w:val="hybridMultilevel"/>
    <w:lvl w:ilvl="0">
      <w:lvlJc w:val="left"/>
      <w:lvlText w:val="(%1)"/>
      <w:numFmt w:val="lowerLetter"/>
      <w:start w:val="1"/>
    </w:lvl>
  </w:abstractNum>
  <w:abstractNum w:abstractNumId="109">
    <w:nsid w:val="579328B9"/>
    <w:multiLevelType w:val="hybridMultilevel"/>
    <w:lvl w:ilvl="0">
      <w:lvlJc w:val="left"/>
      <w:lvlText w:val="%1"/>
      <w:numFmt w:val="lowerLetter"/>
      <w:start w:val="1"/>
    </w:lvl>
    <w:lvl w:ilvl="1">
      <w:lvlJc w:val="left"/>
      <w:lvlText w:val="(%2)"/>
      <w:numFmt w:val="lowerLetter"/>
      <w:start w:val="2"/>
    </w:lvl>
  </w:abstractNum>
  <w:abstractNum w:abstractNumId="110">
    <w:nsid w:val="5D205E20"/>
    <w:multiLevelType w:val="hybridMultilevel"/>
    <w:lvl w:ilvl="0">
      <w:lvlJc w:val="left"/>
      <w:lvlText w:val="(%1)"/>
      <w:numFmt w:val="lowerLetter"/>
      <w:start w:val="9"/>
    </w:lvl>
    <w:lvl w:ilvl="1">
      <w:lvlJc w:val="left"/>
      <w:lvlText w:val="%2"/>
      <w:numFmt w:val="lowerLetter"/>
      <w:start w:val="1"/>
    </w:lvl>
  </w:abstractNum>
  <w:abstractNum w:abstractNumId="111">
    <w:nsid w:val="11CCA8BA"/>
    <w:multiLevelType w:val="hybridMultilevel"/>
    <w:lvl w:ilvl="0">
      <w:lvlJc w:val="left"/>
      <w:lvlText w:val="%1"/>
      <w:numFmt w:val="lowerRoman"/>
      <w:start w:val="1"/>
    </w:lvl>
    <w:lvl w:ilvl="1">
      <w:lvlJc w:val="left"/>
      <w:lvlText w:val="(%2)"/>
      <w:numFmt w:val="lowerLetter"/>
      <w:start w:val="4"/>
    </w:lvl>
  </w:abstractNum>
  <w:abstractNum w:abstractNumId="112">
    <w:nsid w:val="4D32AB86"/>
    <w:multiLevelType w:val="hybridMultilevel"/>
    <w:lvl w:ilvl="0">
      <w:lvlJc w:val="left"/>
      <w:lvlText w:val="(%1)"/>
      <w:numFmt w:val="lowerRoman"/>
      <w:start w:val="6"/>
    </w:lvl>
    <w:lvl w:ilvl="1">
      <w:lvlJc w:val="left"/>
      <w:lvlText w:val="(%2)"/>
      <w:numFmt w:val="lowerLetter"/>
      <w:start w:val="5"/>
    </w:lvl>
  </w:abstractNum>
  <w:abstractNum w:abstractNumId="113">
    <w:nsid w:val="3F07ACC3"/>
    <w:multiLevelType w:val="hybridMultilevel"/>
    <w:lvl w:ilvl="0">
      <w:lvlJc w:val="left"/>
      <w:lvlText w:val="(%1)"/>
      <w:numFmt w:val="lowerLetter"/>
      <w:start w:val="1"/>
    </w:lvl>
  </w:abstractNum>
  <w:abstractNum w:abstractNumId="114">
    <w:nsid w:val="6B47F63E"/>
    <w:multiLevelType w:val="hybridMultilevel"/>
    <w:lvl w:ilvl="0">
      <w:lvlJc w:val="left"/>
      <w:lvlText w:val="(%1)"/>
      <w:numFmt w:val="lowerLetter"/>
      <w:start w:val="1"/>
    </w:lvl>
  </w:abstractNum>
  <w:abstractNum w:abstractNumId="115">
    <w:nsid w:val="5CB44A05"/>
    <w:multiLevelType w:val="hybridMultilevel"/>
    <w:lvl w:ilvl="0">
      <w:lvlJc w:val="left"/>
      <w:lvlText w:val="(%1)"/>
      <w:numFmt w:val="lowerLetter"/>
      <w:start w:val="1"/>
    </w:lvl>
  </w:abstractNum>
  <w:abstractNum w:abstractNumId="116">
    <w:nsid w:val="16CF80F1"/>
    <w:multiLevelType w:val="hybridMultilevel"/>
    <w:lvl w:ilvl="0">
      <w:lvlJc w:val="left"/>
      <w:lvlText w:val="(%1)"/>
      <w:numFmt w:val="lowerLetter"/>
      <w:start w:val="1"/>
    </w:lvl>
  </w:abstractNum>
  <w:abstractNum w:abstractNumId="117">
    <w:nsid w:val="1C695DEC"/>
    <w:multiLevelType w:val="hybridMultilevel"/>
    <w:lvl w:ilvl="0">
      <w:lvlJc w:val="left"/>
      <w:lvlText w:val="(%1)"/>
      <w:numFmt w:val="lowerLetter"/>
      <w:start w:val="1"/>
    </w:lvl>
  </w:abstractNum>
  <w:abstractNum w:abstractNumId="118">
    <w:nsid w:val="3FCFAED9"/>
    <w:multiLevelType w:val="hybridMultilevel"/>
    <w:lvl w:ilvl="0">
      <w:lvlJc w:val="left"/>
      <w:lvlText w:val="(%1)"/>
      <w:numFmt w:val="lowerLetter"/>
      <w:start w:val="2"/>
    </w:lvl>
  </w:abstractNum>
  <w:abstractNum w:abstractNumId="119">
    <w:nsid w:val="F856867"/>
    <w:multiLevelType w:val="hybridMultilevel"/>
    <w:lvl w:ilvl="0">
      <w:lvlJc w:val="left"/>
      <w:lvlText w:val="(%1)"/>
      <w:numFmt w:val="lowerLetter"/>
      <w:start w:val="1"/>
    </w:lvl>
  </w:abstractNum>
  <w:abstractNum w:abstractNumId="120">
    <w:nsid w:val="11B1CC33"/>
    <w:multiLevelType w:val="hybridMultilevel"/>
    <w:lvl w:ilvl="0">
      <w:lvlJc w:val="left"/>
      <w:lvlText w:val="(%1)"/>
      <w:numFmt w:val="lowerLetter"/>
      <w:start w:val="4"/>
    </w:lvl>
  </w:abstractNum>
  <w:abstractNum w:abstractNumId="121">
    <w:nsid w:val="2E22FBB7"/>
    <w:multiLevelType w:val="hybridMultilevel"/>
    <w:lvl w:ilvl="0">
      <w:lvlJc w:val="left"/>
      <w:lvlText w:val="(%1)"/>
      <w:numFmt w:val="lowerLetter"/>
      <w:start w:val="1"/>
    </w:lvl>
  </w:abstractNum>
  <w:abstractNum w:abstractNumId="122">
    <w:nsid w:val="29934699"/>
    <w:multiLevelType w:val="hybridMultilevel"/>
    <w:lvl w:ilvl="0">
      <w:lvlJc w:val="left"/>
      <w:lvlText w:val="(%1)"/>
      <w:numFmt w:val="lowerLetter"/>
      <w:start w:val="9"/>
    </w:lvl>
    <w:lvl w:ilvl="1">
      <w:lvlJc w:val="left"/>
      <w:lvlText w:val="(%2)"/>
      <w:numFmt w:val="lowerLetter"/>
      <w:start w:val="5"/>
    </w:lvl>
  </w:abstractNum>
  <w:abstractNum w:abstractNumId="123">
    <w:nsid w:val="77485850"/>
    <w:multiLevelType w:val="hybridMultilevel"/>
    <w:lvl w:ilvl="0">
      <w:lvlJc w:val="left"/>
      <w:lvlText w:val="(%1)"/>
      <w:numFmt w:val="decimal"/>
      <w:start w:val="15"/>
    </w:lvl>
  </w:abstractNum>
  <w:abstractNum w:abstractNumId="124">
    <w:nsid w:val="744939A3"/>
    <w:multiLevelType w:val="hybridMultilevel"/>
    <w:lvl w:ilvl="0">
      <w:lvlJc w:val="left"/>
      <w:lvlText w:val="(%1)"/>
      <w:numFmt w:val="lowerLetter"/>
      <w:start w:val="1"/>
    </w:lvl>
  </w:abstractNum>
  <w:abstractNum w:abstractNumId="125">
    <w:nsid w:val="4FA0D2E3"/>
    <w:multiLevelType w:val="hybridMultilevel"/>
    <w:lvl w:ilvl="0">
      <w:lvlJc w:val="left"/>
      <w:lvlText w:val="%1"/>
      <w:numFmt w:val="lowerLetter"/>
      <w:start w:val="1"/>
    </w:lvl>
    <w:lvl w:ilvl="1">
      <w:lvlJc w:val="left"/>
      <w:lvlText w:val="(%2)"/>
      <w:numFmt w:val="lowerLetter"/>
      <w:start w:val="2"/>
    </w:lvl>
  </w:abstractNum>
  <w:abstractNum w:abstractNumId="126">
    <w:nsid w:val="6B1D2C14"/>
    <w:multiLevelType w:val="hybridMultilevel"/>
    <w:lvl w:ilvl="0">
      <w:lvlJc w:val="left"/>
      <w:lvlText w:val="(%1)"/>
      <w:numFmt w:val="lowerLetter"/>
      <w:start w:val="22"/>
    </w:lvl>
    <w:lvl w:ilvl="1">
      <w:lvlJc w:val="left"/>
      <w:lvlText w:val="(%2)"/>
      <w:numFmt w:val="lowerLetter"/>
      <w:start w:val="3"/>
    </w:lvl>
  </w:abstractNum>
  <w:abstractNum w:abstractNumId="127">
    <w:nsid w:val="68B867D3"/>
    <w:multiLevelType w:val="hybridMultilevel"/>
    <w:lvl w:ilvl="0">
      <w:lvlJc w:val="left"/>
      <w:lvlText w:val="(%1)"/>
      <w:numFmt w:val="lowerLetter"/>
      <w:start w:val="1"/>
    </w:lvl>
  </w:abstractNum>
  <w:abstractNum w:abstractNumId="128">
    <w:nsid w:val="3F7F5DD9"/>
    <w:multiLevelType w:val="hybridMultilevel"/>
    <w:lvl w:ilvl="0">
      <w:lvlJc w:val="left"/>
      <w:lvlText w:val="(%1)"/>
      <w:numFmt w:val="lowerRoman"/>
      <w:start w:val="4"/>
    </w:lvl>
    <w:lvl w:ilvl="1">
      <w:lvlJc w:val="left"/>
      <w:lvlText w:val="(%2)"/>
      <w:numFmt w:val="lowerLetter"/>
      <w:start w:val="5"/>
    </w:lvl>
    <w:lvl w:ilvl="2">
      <w:lvlJc w:val="left"/>
      <w:lvlText w:val="(%3)"/>
      <w:numFmt w:val="lowerRoman"/>
      <w:start w:val="1"/>
    </w:lvl>
  </w:abstractNum>
  <w:abstractNum w:abstractNumId="129">
    <w:nsid w:val="2AE05A34"/>
    <w:multiLevelType w:val="hybridMultilevel"/>
    <w:lvl w:ilvl="0">
      <w:lvlJc w:val="left"/>
      <w:lvlText w:val="(%1)"/>
      <w:numFmt w:val="lowerLetter"/>
      <w:start w:val="2"/>
    </w:lvl>
  </w:abstractNum>
  <w:abstractNum w:abstractNumId="130">
    <w:nsid w:val="32794FF7"/>
    <w:multiLevelType w:val="hybridMultilevel"/>
    <w:lvl w:ilvl="0">
      <w:lvlJc w:val="left"/>
      <w:lvlText w:val="(%1)"/>
      <w:numFmt w:val="lowerLetter"/>
      <w:start w:val="1"/>
    </w:lvl>
  </w:abstractNum>
  <w:abstractNum w:abstractNumId="131">
    <w:nsid w:val="5454945E"/>
    <w:multiLevelType w:val="hybridMultilevel"/>
    <w:lvl w:ilvl="0">
      <w:lvlJc w:val="left"/>
      <w:lvlText w:val="(%1)"/>
      <w:numFmt w:val="lowerLetter"/>
      <w:start w:val="2"/>
    </w:lvl>
  </w:abstractNum>
  <w:abstractNum w:abstractNumId="132">
    <w:nsid w:val="4DEFDFA0"/>
    <w:multiLevelType w:val="hybridMultilevel"/>
    <w:lvl w:ilvl="0">
      <w:lvlJc w:val="left"/>
      <w:lvlText w:val="(%1)"/>
      <w:numFmt w:val="lowerLetter"/>
      <w:start w:val="1"/>
    </w:lvl>
  </w:abstractNum>
  <w:abstractNum w:abstractNumId="133">
    <w:nsid w:val="2123D5F2"/>
    <w:multiLevelType w:val="hybridMultilevel"/>
    <w:lvl w:ilvl="0">
      <w:lvlJc w:val="left"/>
      <w:lvlText w:val="(%1)"/>
      <w:numFmt w:val="lowerLetter"/>
      <w:start w:val="1"/>
    </w:lvl>
  </w:abstractNum>
  <w:abstractNum w:abstractNumId="134">
    <w:nsid w:val="135B8110"/>
    <w:multiLevelType w:val="hybridMultilevel"/>
    <w:lvl w:ilvl="0">
      <w:lvlJc w:val="left"/>
      <w:lvlText w:val="(%1)"/>
      <w:numFmt w:val="lowerLetter"/>
      <w:start w:val="61"/>
    </w:lvl>
  </w:abstractNum>
  <w:abstractNum w:abstractNumId="135">
    <w:nsid w:val="94927A8"/>
    <w:multiLevelType w:val="hybridMultilevel"/>
    <w:lvl w:ilvl="0">
      <w:lvlJc w:val="left"/>
      <w:lvlText w:val="(%1)"/>
      <w:numFmt w:val="lowerLetter"/>
      <w:start w:val="1"/>
    </w:lvl>
  </w:abstractNum>
  <w:abstractNum w:abstractNumId="136">
    <w:nsid w:val="DCDF8F6"/>
    <w:multiLevelType w:val="hybridMultilevel"/>
    <w:lvl w:ilvl="0">
      <w:lvlJc w:val="left"/>
      <w:lvlText w:val="(%1)"/>
      <w:numFmt w:val="lowerLetter"/>
      <w:start w:val="2"/>
    </w:lvl>
  </w:abstractNum>
  <w:abstractNum w:abstractNumId="137">
    <w:nsid w:val="52D7B105"/>
    <w:multiLevelType w:val="hybridMultilevel"/>
    <w:lvl w:ilvl="0">
      <w:lvlJc w:val="left"/>
      <w:lvlText w:val="(%1)"/>
      <w:numFmt w:val="lowerLetter"/>
      <w:start w:val="1"/>
    </w:lvl>
  </w:abstractNum>
  <w:abstractNum w:abstractNumId="138">
    <w:nsid w:val="2E8A6394"/>
    <w:multiLevelType w:val="hybridMultilevel"/>
    <w:lvl w:ilvl="0">
      <w:lvlJc w:val="left"/>
      <w:lvlText w:val="(%1)"/>
      <w:numFmt w:val="lowerLetter"/>
      <w:start w:val="2"/>
    </w:lvl>
  </w:abstractNum>
  <w:abstractNum w:abstractNumId="139">
    <w:nsid w:val="24E60401"/>
    <w:multiLevelType w:val="hybridMultilevel"/>
    <w:lvl w:ilvl="0">
      <w:lvlJc w:val="left"/>
      <w:lvlText w:val="(%1)"/>
      <w:numFmt w:val="lowerRoman"/>
      <w:start w:val="2"/>
    </w:lvl>
  </w:abstractNum>
  <w:abstractNum w:abstractNumId="140">
    <w:nsid w:val="2A6AD9BE"/>
    <w:multiLevelType w:val="hybridMultilevel"/>
    <w:lvl w:ilvl="0">
      <w:lvlJc w:val="left"/>
      <w:lvlText w:val="(%1)"/>
      <w:numFmt w:val="lowerLetter"/>
      <w:start w:val="1"/>
    </w:lvl>
  </w:abstractNum>
  <w:abstractNum w:abstractNumId="141">
    <w:nsid w:val="BAAC1B4"/>
    <w:multiLevelType w:val="hybridMultilevel"/>
    <w:lvl w:ilvl="0">
      <w:lvlJc w:val="left"/>
      <w:lvlText w:val="(%1)"/>
      <w:numFmt w:val="lowerLetter"/>
      <w:start w:val="1"/>
    </w:lvl>
  </w:abstractNum>
  <w:abstractNum w:abstractNumId="142">
    <w:nsid w:val="36B2ACBC"/>
    <w:multiLevelType w:val="hybridMultilevel"/>
    <w:lvl w:ilvl="0">
      <w:lvlJc w:val="left"/>
      <w:lvlText w:val="(%1)"/>
      <w:numFmt w:val="lowerLetter"/>
      <w:start w:val="1"/>
    </w:lvl>
  </w:abstractNum>
  <w:abstractNum w:abstractNumId="143">
    <w:nsid w:val="779D8544"/>
    <w:multiLevelType w:val="hybridMultilevel"/>
    <w:lvl w:ilvl="0">
      <w:lvlJc w:val="left"/>
      <w:lvlText w:val="(%1)"/>
      <w:numFmt w:val="lowerLetter"/>
      <w:start w:val="3"/>
    </w:lvl>
    <w:lvl w:ilvl="1">
      <w:lvlJc w:val="left"/>
      <w:lvlText w:val="(%2)"/>
      <w:numFmt w:val="lowerRoman"/>
      <w:start w:val="1"/>
    </w:lvl>
  </w:abstractNum>
  <w:abstractNum w:abstractNumId="144">
    <w:nsid w:val="4AB26E7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145">
    <w:nsid w:val="21FAA2FA"/>
    <w:multiLevelType w:val="hybridMultilevel"/>
    <w:lvl w:ilvl="0">
      <w:lvlJc w:val="left"/>
      <w:lvlText w:val="(%1)"/>
      <w:numFmt w:val="lowerLetter"/>
      <w:start w:val="2"/>
    </w:lvl>
    <w:lvl w:ilvl="1">
      <w:lvlJc w:val="left"/>
      <w:lvlText w:val="(%2)"/>
      <w:numFmt w:val="lowerLetter"/>
      <w:start w:val="5"/>
    </w:lvl>
    <w:lvl w:ilvl="2">
      <w:lvlJc w:val="left"/>
      <w:lvlText w:val="%3"/>
      <w:numFmt w:val="lowerRoman"/>
      <w:start w:val="1"/>
    </w:lvl>
  </w:abstractNum>
  <w:abstractNum w:abstractNumId="146">
    <w:nsid w:val="5451CF49"/>
    <w:multiLevelType w:val="hybridMultilevel"/>
    <w:lvl w:ilvl="0">
      <w:lvlJc w:val="left"/>
      <w:lvlText w:val="(%1)"/>
      <w:numFmt w:val="lowerLetter"/>
      <w:start w:val="1"/>
    </w:lvl>
  </w:abstractNum>
  <w:abstractNum w:abstractNumId="147">
    <w:nsid w:val="6181EF69"/>
    <w:multiLevelType w:val="hybridMultilevel"/>
    <w:lvl w:ilvl="0">
      <w:lvlJc w:val="left"/>
      <w:lvlText w:val="(%1)"/>
      <w:numFmt w:val="lowerLetter"/>
      <w:start w:val="3"/>
    </w:lvl>
    <w:lvl w:ilvl="1">
      <w:lvlJc w:val="left"/>
      <w:lvlText w:val="(%2)"/>
      <w:numFmt w:val="lowerRoman"/>
      <w:start w:val="1"/>
    </w:lvl>
  </w:abstractNum>
  <w:abstractNum w:abstractNumId="148">
    <w:nsid w:val="3E6400E6"/>
    <w:multiLevelType w:val="hybridMultilevel"/>
    <w:lvl w:ilvl="0">
      <w:lvlJc w:val="left"/>
      <w:lvlText w:val="(%1)"/>
      <w:numFmt w:val="lowerLetter"/>
      <w:start w:val="1"/>
    </w:lvl>
  </w:abstractNum>
  <w:abstractNum w:abstractNumId="149">
    <w:nsid w:val="14217E23"/>
    <w:multiLevelType w:val="hybridMultilevel"/>
    <w:lvl w:ilvl="0">
      <w:lvlJc w:val="left"/>
      <w:lvlText w:val="(%1)"/>
      <w:numFmt w:val="lowerLetter"/>
      <w:start w:val="2"/>
    </w:lvl>
  </w:abstractNum>
  <w:abstractNum w:abstractNumId="150">
    <w:nsid w:val="710757D0"/>
    <w:multiLevelType w:val="hybridMultilevel"/>
    <w:lvl w:ilvl="0">
      <w:lvlJc w:val="left"/>
      <w:lvlText w:val="(%1)"/>
      <w:numFmt w:val="lowerLetter"/>
      <w:start w:val="5"/>
    </w:lvl>
    <w:lvl w:ilvl="1">
      <w:lvlJc w:val="left"/>
      <w:lvlText w:val="(%2)"/>
      <w:numFmt w:val="lowerLetter"/>
      <w:start w:val="9"/>
    </w:lvl>
  </w:abstractNum>
  <w:abstractNum w:abstractNumId="151">
    <w:nsid w:val="5015CD1A"/>
    <w:multiLevelType w:val="hybridMultilevel"/>
    <w:lvl w:ilvl="0">
      <w:lvlJc w:val="left"/>
      <w:lvlText w:val="(%1)"/>
      <w:numFmt w:val="lowerRoman"/>
      <w:start w:val="2"/>
    </w:lvl>
  </w:abstractNum>
  <w:abstractNum w:abstractNumId="152">
    <w:nsid w:val="424479DA"/>
    <w:multiLevelType w:val="hybridMultilevel"/>
    <w:lvl w:ilvl="0">
      <w:lvlJc w:val="left"/>
      <w:lvlText w:val="(%1)"/>
      <w:numFmt w:val="lowerRoman"/>
      <w:start w:val="6"/>
    </w:lvl>
  </w:abstractNum>
  <w:abstractNum w:abstractNumId="153">
    <w:nsid w:val="1A9A9E69"/>
    <w:multiLevelType w:val="hybridMultilevel"/>
    <w:lvl w:ilvl="0">
      <w:lvlJc w:val="left"/>
      <w:lvlText w:val="(%1)"/>
      <w:numFmt w:val="lowerRoman"/>
      <w:start w:val="10"/>
    </w:lvl>
  </w:abstractNum>
  <w:abstractNum w:abstractNumId="154">
    <w:nsid w:val="475E256A"/>
    <w:multiLevelType w:val="hybridMultilevel"/>
    <w:lvl w:ilvl="0">
      <w:lvlJc w:val="left"/>
      <w:lvlText w:val="(%1)"/>
      <w:numFmt w:val="lowerLetter"/>
      <w:start w:val="1"/>
    </w:lvl>
  </w:abstractNum>
  <w:abstractNum w:abstractNumId="155">
    <w:nsid w:val="368DB37E"/>
    <w:multiLevelType w:val="hybridMultilevel"/>
    <w:lvl w:ilvl="0">
      <w:lvlJc w:val="left"/>
      <w:lvlText w:val="%1"/>
      <w:numFmt w:val="lowerLetter"/>
      <w:start w:val="1"/>
    </w:lvl>
    <w:lvl w:ilvl="1">
      <w:lvlJc w:val="left"/>
      <w:lvlText w:val="(%2)"/>
      <w:numFmt w:val="lowerLetter"/>
      <w:start w:val="4"/>
    </w:lvl>
  </w:abstractNum>
  <w:abstractNum w:abstractNumId="156">
    <w:nsid w:val="6A3B714C"/>
    <w:multiLevelType w:val="hybridMultilevel"/>
    <w:lvl w:ilvl="0">
      <w:lvlJc w:val="left"/>
      <w:lvlText w:val="(%1)"/>
      <w:numFmt w:val="lowerLetter"/>
      <w:start w:val="61"/>
    </w:lvl>
    <w:lvl w:ilvl="1">
      <w:lvlJc w:val="left"/>
      <w:lvlText w:val="(%2)"/>
      <w:numFmt w:val="lowerLetter"/>
      <w:start w:val="7"/>
    </w:lvl>
  </w:abstractNum>
  <w:abstractNum w:abstractNumId="157">
    <w:nsid w:val="327B517E"/>
    <w:multiLevelType w:val="hybridMultilevel"/>
    <w:lvl w:ilvl="0">
      <w:lvlJc w:val="left"/>
      <w:lvlText w:val="%1"/>
      <w:numFmt w:val="lowerLetter"/>
      <w:start w:val="1"/>
    </w:lvl>
    <w:lvl w:ilvl="1">
      <w:lvlJc w:val="left"/>
      <w:lvlText w:val="(%2)"/>
      <w:numFmt w:val="lowerLetter"/>
      <w:start w:val="8"/>
    </w:lvl>
  </w:abstractNum>
  <w:abstractNum w:abstractNumId="158">
    <w:nsid w:val="1F461B51"/>
    <w:multiLevelType w:val="hybridMultilevel"/>
    <w:lvl w:ilvl="0">
      <w:lvlJc w:val="left"/>
      <w:lvlText w:val="(%1)"/>
      <w:numFmt w:val="lowerLetter"/>
      <w:start w:val="9"/>
    </w:lvl>
    <w:lvl w:ilvl="1">
      <w:lvlJc w:val="left"/>
      <w:lvlText w:val="(%2)"/>
      <w:numFmt w:val="lowerLetter"/>
      <w:start w:val="9"/>
    </w:lvl>
  </w:abstractNum>
  <w:abstractNum w:abstractNumId="159">
    <w:nsid w:val="29BACF25"/>
    <w:multiLevelType w:val="hybridMultilevel"/>
    <w:lvl w:ilvl="0">
      <w:lvlJc w:val="left"/>
      <w:lvlText w:val="%1"/>
      <w:numFmt w:val="lowerLetter"/>
      <w:start w:val="1"/>
    </w:lvl>
    <w:lvl w:ilvl="1">
      <w:lvlJc w:val="left"/>
      <w:lvlText w:val="(%2)"/>
      <w:numFmt w:val="lowerLetter"/>
      <w:start w:val="16"/>
    </w:lvl>
  </w:abstractNum>
  <w:abstractNum w:abstractNumId="160">
    <w:nsid w:val="5D5BABB3"/>
    <w:multiLevelType w:val="hybridMultilevel"/>
    <w:lvl w:ilvl="0">
      <w:lvlJc w:val="left"/>
      <w:lvlText w:val="(%1)"/>
      <w:numFmt w:val="lowerLetter"/>
      <w:start w:val="35"/>
    </w:lvl>
    <w:lvl w:ilvl="1">
      <w:lvlJc w:val="left"/>
      <w:lvlText w:val="%2"/>
      <w:numFmt w:val="lowerLetter"/>
      <w:start w:val="1"/>
    </w:lvl>
  </w:abstractNum>
  <w:abstractNum w:abstractNumId="161">
    <w:nsid w:val="51BF6B48"/>
    <w:multiLevelType w:val="hybridMultilevel"/>
    <w:lvl w:ilvl="0">
      <w:lvlJc w:val="left"/>
      <w:lvlText w:val="(%1)"/>
      <w:numFmt w:val="lowerLetter"/>
      <w:start w:val="1"/>
    </w:lvl>
    <w:lvl w:ilvl="1">
      <w:lvlJc w:val="left"/>
      <w:lvlText w:val="(%2)"/>
      <w:numFmt w:val="lowerLetter"/>
      <w:start w:val="9"/>
    </w:lvl>
  </w:abstractNum>
  <w:abstractNum w:abstractNumId="162">
    <w:nsid w:val="7E0F6384"/>
    <w:multiLevelType w:val="hybridMultilevel"/>
    <w:lvl w:ilvl="0">
      <w:lvlJc w:val="left"/>
      <w:lvlText w:val="%1"/>
      <w:numFmt w:val="lowerLetter"/>
      <w:start w:val="1"/>
    </w:lvl>
    <w:lvl w:ilvl="1">
      <w:lvlJc w:val="left"/>
      <w:lvlText w:val="(%2)"/>
      <w:numFmt w:val="lowerRoman"/>
      <w:start w:val="2"/>
    </w:lvl>
  </w:abstractNum>
  <w:abstractNum w:abstractNumId="163">
    <w:nsid w:val="2B4B8B53"/>
    <w:multiLevelType w:val="hybridMultilevel"/>
    <w:lvl w:ilvl="0">
      <w:lvlJc w:val="left"/>
      <w:lvlText w:val="(%1)"/>
      <w:numFmt w:val="lowerLetter"/>
      <w:start w:val="2"/>
    </w:lvl>
    <w:lvl w:ilvl="1">
      <w:lvlJc w:val="left"/>
      <w:lvlText w:val="%2"/>
      <w:numFmt w:val="lowerRoman"/>
      <w:start w:val="1"/>
    </w:lvl>
  </w:abstractNum>
  <w:abstractNum w:abstractNumId="164">
    <w:nsid w:val="72E3413A"/>
    <w:multiLevelType w:val="hybridMultilevel"/>
    <w:lvl w:ilvl="0">
      <w:lvlJc w:val="left"/>
      <w:lvlText w:val="%1"/>
      <w:numFmt w:val="lowerLetter"/>
      <w:start w:val="1"/>
    </w:lvl>
    <w:lvl w:ilvl="1">
      <w:lvlJc w:val="left"/>
      <w:lvlText w:val="(%2)"/>
      <w:numFmt w:val="lowerLetter"/>
      <w:start w:val="3"/>
    </w:lvl>
  </w:abstractNum>
  <w:abstractNum w:abstractNumId="165">
    <w:nsid w:val="116AE494"/>
    <w:multiLevelType w:val="hybridMultilevel"/>
    <w:lvl w:ilvl="0">
      <w:lvlJc w:val="left"/>
      <w:lvlText w:val="(%1)"/>
      <w:numFmt w:val="lowerLetter"/>
      <w:start w:val="3"/>
    </w:lvl>
    <w:lvl w:ilvl="1">
      <w:lvlJc w:val="left"/>
      <w:lvlText w:val="(%2)"/>
      <w:numFmt w:val="lowerLetter"/>
      <w:start w:val="4"/>
    </w:lvl>
  </w:abstractNum>
  <w:abstractNum w:abstractNumId="166">
    <w:nsid w:val="3494B2FB"/>
    <w:multiLevelType w:val="hybridMultilevel"/>
    <w:lvl w:ilvl="0">
      <w:lvlJc w:val="left"/>
      <w:lvlText w:val="(%1)"/>
      <w:numFmt w:val="lowerLetter"/>
      <w:start w:val="1"/>
    </w:lvl>
  </w:abstractNum>
  <w:abstractNum w:abstractNumId="167">
    <w:nsid w:val="B13A31"/>
    <w:multiLevelType w:val="hybridMultilevel"/>
    <w:lvl w:ilvl="0">
      <w:lvlJc w:val="left"/>
      <w:lvlText w:val="%1"/>
      <w:numFmt w:val="lowerLetter"/>
      <w:start w:val="1"/>
    </w:lvl>
    <w:lvl w:ilvl="1">
      <w:lvlJc w:val="left"/>
      <w:lvlText w:val="(%2)"/>
      <w:numFmt w:val="lowerLetter"/>
      <w:start w:val="1"/>
    </w:lvl>
  </w:abstractNum>
  <w:abstractNum w:abstractNumId="168">
    <w:nsid w:val="64429599"/>
    <w:multiLevelType w:val="hybridMultilevel"/>
    <w:lvl w:ilvl="0">
      <w:lvlJc w:val="left"/>
      <w:lvlText w:val="(%1)"/>
      <w:numFmt w:val="lowerLetter"/>
      <w:start w:val="35"/>
    </w:lvl>
    <w:lvl w:ilvl="1">
      <w:lvlJc w:val="left"/>
      <w:lvlText w:val="(%2)"/>
      <w:numFmt w:val="lowerLetter"/>
      <w:start w:val="3"/>
    </w:lvl>
  </w:abstractNum>
  <w:abstractNum w:abstractNumId="169">
    <w:nsid w:val="631F1690"/>
    <w:multiLevelType w:val="hybridMultilevel"/>
    <w:lvl w:ilvl="0">
      <w:lvlJc w:val="left"/>
      <w:lvlText w:val="(%1)"/>
      <w:numFmt w:val="lowerLetter"/>
      <w:start w:val="4"/>
    </w:lvl>
  </w:abstractNum>
  <w:abstractNum w:abstractNumId="170">
    <w:nsid w:val="25973E32"/>
    <w:multiLevelType w:val="hybridMultilevel"/>
    <w:lvl w:ilvl="0">
      <w:lvlJc w:val="left"/>
      <w:lvlText w:val="(%1)"/>
      <w:numFmt w:val="lowerLetter"/>
      <w:start w:val="1"/>
    </w:lvl>
  </w:abstractNum>
  <w:abstractNum w:abstractNumId="171">
    <w:nsid w:val="EAD6F57"/>
    <w:multiLevelType w:val="hybridMultilevel"/>
    <w:lvl w:ilvl="0">
      <w:lvlJc w:val="left"/>
      <w:lvlText w:val="(%1)"/>
      <w:numFmt w:val="lowerLetter"/>
      <w:start w:val="1"/>
    </w:lvl>
  </w:abstractNum>
  <w:abstractNum w:abstractNumId="172">
    <w:nsid w:val="6EC9D844"/>
    <w:multiLevelType w:val="hybridMultilevel"/>
    <w:lvl w:ilvl="0">
      <w:lvlJc w:val="left"/>
      <w:lvlText w:val="(%1)"/>
      <w:numFmt w:val="lowerLetter"/>
      <w:start w:val="1"/>
    </w:lvl>
    <w:lvl w:ilvl="1">
      <w:lvlJc w:val="left"/>
      <w:lvlText w:val="(%2)"/>
      <w:numFmt w:val="lowerRoman"/>
      <w:start w:val="1"/>
    </w:lvl>
  </w:abstractNum>
  <w:abstractNum w:abstractNumId="173">
    <w:nsid w:val="5C49EAEE"/>
    <w:multiLevelType w:val="hybridMultilevel"/>
    <w:lvl w:ilvl="0">
      <w:lvlJc w:val="left"/>
      <w:lvlText w:val="(%1)"/>
      <w:numFmt w:val="lowerLetter"/>
      <w:start w:val="1"/>
    </w:lvl>
  </w:abstractNum>
  <w:abstractNum w:abstractNumId="174">
    <w:nsid w:val="64AF49B"/>
    <w:multiLevelType w:val="hybridMultilevel"/>
    <w:lvl w:ilvl="0">
      <w:lvlJc w:val="left"/>
      <w:lvlText w:val="(%1)"/>
      <w:numFmt w:val="lowerRoman"/>
      <w:start w:val="1"/>
    </w:lvl>
  </w:abstractNum>
  <w:abstractNum w:abstractNumId="175">
    <w:nsid w:val="397C46BC"/>
    <w:multiLevelType w:val="hybridMultilevel"/>
    <w:lvl w:ilvl="0">
      <w:lvlJc w:val="left"/>
      <w:lvlText w:val="(%1)"/>
      <w:numFmt w:val="lowerLetter"/>
      <w:start w:val="1"/>
    </w:lvl>
    <w:lvl w:ilvl="1">
      <w:lvlJc w:val="left"/>
      <w:lvlText w:val="(%2)"/>
      <w:numFmt w:val="lowerLetter"/>
      <w:start w:val="9"/>
    </w:lvl>
  </w:abstractNum>
  <w:abstractNum w:abstractNumId="176">
    <w:nsid w:val="7E448DE9"/>
    <w:multiLevelType w:val="hybridMultilevel"/>
    <w:lvl w:ilvl="0">
      <w:lvlJc w:val="left"/>
      <w:lvlText w:val="(%1)"/>
      <w:numFmt w:val="lowerRoman"/>
      <w:start w:val="2"/>
    </w:lvl>
  </w:abstractNum>
  <w:abstractNum w:abstractNumId="177">
    <w:nsid w:val="5A9CC3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178">
    <w:nsid w:val="1AFE362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79">
    <w:nsid w:val="3CA88ECF"/>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abstractNum>
  <w:abstractNum w:abstractNumId="180">
    <w:nsid w:val="6EBE4208"/>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81">
    <w:nsid w:val="C058DF5"/>
    <w:multiLevelType w:val="hybridMultilevel"/>
    <w:lvl w:ilvl="0">
      <w:lvlJc w:val="left"/>
      <w:lvlText w:val="(%1)"/>
      <w:numFmt w:val="lowerLetter"/>
      <w:start w:val="4"/>
    </w:lvl>
  </w:abstractNum>
  <w:abstractNum w:abstractNumId="182">
    <w:nsid w:val="CBE5BE9"/>
    <w:multiLevelType w:val="hybridMultilevel"/>
    <w:lvl w:ilvl="0">
      <w:lvlJc w:val="left"/>
      <w:lvlText w:val="(%1)"/>
      <w:numFmt w:val="lowerLetter"/>
      <w:start w:val="1"/>
    </w:lvl>
  </w:abstractNum>
  <w:abstractNum w:abstractNumId="183">
    <w:nsid w:val="3102BBE2"/>
    <w:multiLevelType w:val="hybridMultilevel"/>
    <w:lvl w:ilvl="0">
      <w:lvlJc w:val="left"/>
      <w:lvlText w:val="%1"/>
      <w:numFmt w:val="lowerLetter"/>
      <w:start w:val="1"/>
    </w:lvl>
    <w:lvl w:ilvl="1">
      <w:lvlJc w:val="left"/>
      <w:lvlText w:val="(%2)"/>
      <w:numFmt w:val="lowerLetter"/>
      <w:start w:val="2"/>
    </w:lvl>
  </w:abstractNum>
  <w:abstractNum w:abstractNumId="184">
    <w:nsid w:val="26A02C5E"/>
    <w:multiLevelType w:val="hybridMultilevel"/>
    <w:lvl w:ilvl="0">
      <w:lvlJc w:val="left"/>
      <w:lvlText w:val="(%1)"/>
      <w:numFmt w:val="lowerLetter"/>
      <w:start w:val="35"/>
    </w:lvl>
    <w:lvl w:ilvl="1">
      <w:lvlJc w:val="left"/>
      <w:lvlText w:val="%2"/>
      <w:numFmt w:val="lowerLetter"/>
      <w:start w:val="1"/>
    </w:lvl>
  </w:abstractNum>
  <w:abstractNum w:abstractNumId="185">
    <w:nsid w:val="541C8153"/>
    <w:multiLevelType w:val="hybridMultilevel"/>
    <w:lvl w:ilvl="0">
      <w:lvlJc w:val="left"/>
      <w:lvlText w:val="(%1)"/>
      <w:numFmt w:val="lowerLetter"/>
      <w:start w:val="2"/>
    </w:lvl>
  </w:abstractNum>
  <w:abstractNum w:abstractNumId="186">
    <w:nsid w:val="67906F60"/>
    <w:multiLevelType w:val="hybridMultilevel"/>
    <w:lvl w:ilvl="0">
      <w:lvlJc w:val="left"/>
      <w:lvlText w:val="(%1)"/>
      <w:numFmt w:val="lowerLetter"/>
      <w:start w:val="2"/>
    </w:lvl>
  </w:abstractNum>
  <w:abstractNum w:abstractNumId="187">
    <w:nsid w:val="10DB9DAA"/>
    <w:multiLevelType w:val="hybridMultilevel"/>
    <w:lvl w:ilvl="0">
      <w:lvlJc w:val="left"/>
      <w:lvlText w:val="(%1)"/>
      <w:numFmt w:val="lowerLetter"/>
      <w:start w:val="35"/>
    </w:lvl>
  </w:abstractNum>
  <w:abstractNum w:abstractNumId="188">
    <w:nsid w:val="697D2D2"/>
    <w:multiLevelType w:val="hybridMultilevel"/>
    <w:lvl w:ilvl="0">
      <w:lvlJc w:val="left"/>
      <w:lvlText w:val="(%1)"/>
      <w:numFmt w:val="lowerLetter"/>
      <w:start w:val="1"/>
    </w:lvl>
  </w:abstractNum>
  <w:abstractNum w:abstractNumId="189">
    <w:nsid w:val="6D68AB2"/>
    <w:multiLevelType w:val="hybridMultilevel"/>
    <w:lvl w:ilvl="0">
      <w:lvlJc w:val="left"/>
      <w:lvlText w:val="(%1)"/>
      <w:numFmt w:val="lowerLetter"/>
      <w:start w:val="2"/>
    </w:lvl>
  </w:abstractNum>
  <w:abstractNum w:abstractNumId="190">
    <w:nsid w:val="3A966CD0"/>
    <w:multiLevelType w:val="hybridMultilevel"/>
    <w:lvl w:ilvl="0">
      <w:lvlJc w:val="left"/>
      <w:lvlText w:val="(%1)"/>
      <w:numFmt w:val="lowerLetter"/>
      <w:start w:val="26"/>
    </w:lvl>
  </w:abstractNum>
  <w:abstractNum w:abstractNumId="191">
    <w:nsid w:val="63F37E85"/>
    <w:multiLevelType w:val="hybridMultilevel"/>
    <w:lvl w:ilvl="0">
      <w:lvlJc w:val="left"/>
      <w:lvlText w:val="(%1)"/>
      <w:numFmt w:val="lowerLetter"/>
      <w:start w:val="1"/>
    </w:lvl>
  </w:abstractNum>
  <w:abstractNum w:abstractNumId="192">
    <w:nsid w:val="5895F5FA"/>
    <w:multiLevelType w:val="hybridMultilevel"/>
    <w:lvl w:ilvl="0">
      <w:lvlJc w:val="left"/>
      <w:lvlText w:val="(%1)"/>
      <w:numFmt w:val="lowerLetter"/>
      <w:start w:val="1"/>
    </w:lvl>
  </w:abstractNum>
  <w:abstractNum w:abstractNumId="193">
    <w:nsid w:val="38A5D054"/>
    <w:multiLevelType w:val="hybridMultilevel"/>
    <w:lvl w:ilvl="0">
      <w:lvlJc w:val="left"/>
      <w:lvlText w:val="%1"/>
      <w:numFmt w:val="upperLetter"/>
      <w:start w:val="1"/>
    </w:lvl>
    <w:lvl w:ilvl="1">
      <w:lvlJc w:val="left"/>
      <w:lvlText w:val="(%2)"/>
      <w:numFmt w:val="lowerLetter"/>
      <w:start w:val="1"/>
    </w:lvl>
  </w:abstractNum>
  <w:abstractNum w:abstractNumId="194">
    <w:nsid w:val="F3F09D8"/>
    <w:multiLevelType w:val="hybridMultilevel"/>
    <w:lvl w:ilvl="0">
      <w:lvlJc w:val="left"/>
      <w:lvlText w:val="(%1)"/>
      <w:numFmt w:val="upperLetter"/>
      <w:start w:val="1"/>
    </w:lvl>
    <w:lvl w:ilvl="1">
      <w:lvlJc w:val="left"/>
      <w:lvlText w:val="(%2)"/>
      <w:numFmt w:val="lowerLetter"/>
      <w:start w:val="2"/>
    </w:lvl>
  </w:abstractNum>
  <w:abstractNum w:abstractNumId="195">
    <w:nsid w:val="4B793735"/>
    <w:multiLevelType w:val="hybridMultilevel"/>
    <w:lvl w:ilvl="0">
      <w:lvlJc w:val="left"/>
      <w:lvlText w:val="(%1)"/>
      <w:numFmt w:val="upperLetter"/>
      <w:start w:val="2"/>
    </w:lvl>
    <w:lvl w:ilvl="1">
      <w:lvlJc w:val="left"/>
      <w:lvlText w:val="(%2)"/>
      <w:numFmt w:val="lowerLetter"/>
      <w:start w:val="3"/>
    </w:lvl>
  </w:abstractNum>
  <w:abstractNum w:abstractNumId="196">
    <w:nsid w:val="4A10B4E8"/>
    <w:multiLevelType w:val="hybridMultilevel"/>
    <w:lvl w:ilvl="0">
      <w:lvlJc w:val="left"/>
      <w:lvlText w:val="(%1)"/>
      <w:numFmt w:val="lowerLetter"/>
      <w:start w:val="1"/>
    </w:lvl>
    <w:lvl w:ilvl="1">
      <w:lvlJc w:val="left"/>
      <w:lvlText w:val="(%2)"/>
      <w:numFmt w:val="lowerRoman"/>
      <w:start w:val="1"/>
    </w:lvl>
  </w:abstractNum>
  <w:abstractNum w:abstractNumId="197">
    <w:nsid w:val="43D3BCD4"/>
    <w:multiLevelType w:val="hybridMultilevel"/>
    <w:lvl w:ilvl="0">
      <w:lvlJc w:val="left"/>
      <w:lvlText w:val="(%1)"/>
      <w:numFmt w:val="lowerLetter"/>
      <w:start w:val="1"/>
    </w:lvl>
  </w:abstractNum>
  <w:abstractNum w:abstractNumId="198">
    <w:nsid w:val="4C2A7166"/>
    <w:multiLevelType w:val="hybridMultilevel"/>
    <w:lvl w:ilvl="0">
      <w:lvlJc w:val="left"/>
      <w:lvlText w:val="(%1)"/>
      <w:numFmt w:val="lowerLetter"/>
      <w:start w:val="7"/>
    </w:lvl>
  </w:abstractNum>
  <w:abstractNum w:abstractNumId="199">
    <w:nsid w:val="2E534A82"/>
    <w:multiLevelType w:val="hybridMultilevel"/>
    <w:lvl w:ilvl="0">
      <w:lvlJc w:val="left"/>
      <w:lvlText w:val="1"/>
      <w:numFmt w:val="bullet"/>
      <w:start w:val="1"/>
    </w:lvl>
  </w:abstractNum>
  <w:abstractNum w:abstractNumId="200">
    <w:nsid w:val="26F2D364"/>
    <w:multiLevelType w:val="hybridMultilevel"/>
    <w:lvl w:ilvl="0">
      <w:lvlJc w:val="left"/>
      <w:lvlText w:val="%1."/>
      <w:numFmt w:val="decimal"/>
      <w:start w:val="1"/>
    </w:lvl>
  </w:abstractNum>
  <w:abstractNum w:abstractNumId="201">
    <w:nsid w:val="71C1AF98"/>
    <w:multiLevelType w:val="hybridMultilevel"/>
    <w:lvl w:ilvl="0">
      <w:lvlJc w:val="left"/>
      <w:lvlText w:val="(%1)"/>
      <w:numFmt w:val="lowerLetter"/>
      <w:start w:val="1"/>
    </w:lvl>
  </w:abstractNum>
  <w:abstractNum w:abstractNumId="202">
    <w:nsid w:val="3D00B9D9"/>
    <w:multiLevelType w:val="hybridMultilevel"/>
    <w:lvl w:ilvl="0">
      <w:lvlJc w:val="left"/>
      <w:lvlText w:val="%1."/>
      <w:numFmt w:val="decimal"/>
      <w:start w:val="1"/>
    </w:lvl>
    <w:lvl w:ilvl="1">
      <w:lvlJc w:val="left"/>
      <w:lvlText w:val="(%2)"/>
      <w:numFmt w:val="lowerLetter"/>
      <w:start w:val="1"/>
    </w:lvl>
  </w:abstractNum>
  <w:abstractNum w:abstractNumId="203">
    <w:nsid w:val="15BCABA8"/>
    <w:multiLevelType w:val="hybridMultilevel"/>
    <w:lvl w:ilvl="0">
      <w:lvlJc w:val="left"/>
      <w:lvlText w:val="%1."/>
      <w:numFmt w:val="decimal"/>
      <w:start w:val="1"/>
    </w:lvl>
    <w:lvl w:ilvl="1">
      <w:lvlJc w:val="left"/>
      <w:lvlText w:val="(%2)"/>
      <w:numFmt w:val="lowerLetter"/>
      <w:start w:val="1"/>
    </w:lvl>
  </w:abstractNum>
  <w:abstractNum w:abstractNumId="204">
    <w:nsid w:val="4E0B9A87"/>
    <w:multiLevelType w:val="hybridMultilevel"/>
    <w:lvl w:ilvl="0">
      <w:lvlJc w:val="left"/>
      <w:lvlText w:val="(%1)"/>
      <w:numFmt w:val="decimal"/>
      <w:start w:val="1"/>
    </w:lvl>
  </w:abstractNum>
  <w:abstractNum w:abstractNumId="205">
    <w:nsid w:val="434BAE7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2021-05-11T07:54:50Z</dcterms:created>
  <dcterms:modified xsi:type="dcterms:W3CDTF">2021-05-11T07:54:50Z</dcterms:modified>
</cp:coreProperties>
</file>