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360045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376555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64770</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81915</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32"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2" w:lineRule="exact"/>
        <w:rPr>
          <w:sz w:val="24"/>
          <w:szCs w:val="24"/>
          <w:color w:val="auto"/>
        </w:rPr>
      </w:pPr>
    </w:p>
    <w:p>
      <w:pPr>
        <w:ind w:left="500" w:hanging="496"/>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6" w:lineRule="exact"/>
        <w:rPr>
          <w:sz w:val="24"/>
          <w:szCs w:val="24"/>
          <w:color w:val="auto"/>
        </w:rPr>
      </w:pPr>
    </w:p>
    <w:p>
      <w:pPr>
        <w:ind w:left="380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3820795</wp:posOffset>
            </wp:positionH>
            <wp:positionV relativeFrom="paragraph">
              <wp:posOffset>-3810</wp:posOffset>
            </wp:positionV>
            <wp:extent cx="912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86360</wp:posOffset>
            </wp:positionV>
            <wp:extent cx="143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APTEVO THERAPEUTICS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64135</wp:posOffset>
            </wp:positionV>
            <wp:extent cx="143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51" w:lineRule="exact"/>
        <w:rPr>
          <w:sz w:val="24"/>
          <w:szCs w:val="24"/>
          <w:color w:val="auto"/>
        </w:rPr>
      </w:pPr>
    </w:p>
    <w:tbl>
      <w:tblPr>
        <w:tblLayout w:type="fixed"/>
        <w:tblInd w:w="420" w:type="dxa"/>
        <w:tblCellMar>
          <w:top w:w="0" w:type="dxa"/>
          <w:left w:w="0" w:type="dxa"/>
          <w:bottom w:w="0" w:type="dxa"/>
          <w:right w:w="0" w:type="dxa"/>
        </w:tblCellMar>
      </w:tblPr>
      <w:tr>
        <w:trPr>
          <w:trHeight w:val="203"/>
        </w:trPr>
        <w:tc>
          <w:tcPr>
            <w:tcW w:w="4080" w:type="dxa"/>
            <w:vAlign w:val="bottom"/>
          </w:tcPr>
          <w:p>
            <w:pPr>
              <w:jc w:val="center"/>
              <w:ind w:left="619"/>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00" w:type="dxa"/>
            <w:vAlign w:val="bottom"/>
          </w:tcPr>
          <w:p>
            <w:pPr>
              <w:jc w:val="right"/>
              <w:ind w:right="1980"/>
              <w:spacing w:after="0"/>
              <w:rPr>
                <w:sz w:val="20"/>
                <w:szCs w:val="20"/>
                <w:color w:val="auto"/>
              </w:rPr>
            </w:pPr>
            <w:r>
              <w:rPr>
                <w:rFonts w:ascii="Times New Roman" w:cs="Times New Roman" w:eastAsia="Times New Roman" w:hAnsi="Times New Roman"/>
                <w:sz w:val="17"/>
                <w:szCs w:val="17"/>
                <w:b w:val="1"/>
                <w:bCs w:val="1"/>
                <w:color w:val="auto"/>
              </w:rPr>
              <w:t>81-1567056</w:t>
            </w:r>
          </w:p>
        </w:tc>
      </w:tr>
      <w:tr>
        <w:trPr>
          <w:trHeight w:val="142"/>
        </w:trPr>
        <w:tc>
          <w:tcPr>
            <w:tcW w:w="4080" w:type="dxa"/>
            <w:vAlign w:val="bottom"/>
          </w:tcPr>
          <w:p>
            <w:pPr>
              <w:jc w:val="center"/>
              <w:ind w:left="639"/>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100" w:type="dxa"/>
            <w:vAlign w:val="bottom"/>
          </w:tcPr>
          <w:p>
            <w:pPr>
              <w:jc w:val="center"/>
              <w:ind w:right="17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4080" w:type="dxa"/>
            <w:vAlign w:val="bottom"/>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10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48"/>
        </w:trPr>
        <w:tc>
          <w:tcPr>
            <w:tcW w:w="4080" w:type="dxa"/>
            <w:vAlign w:val="bottom"/>
          </w:tcPr>
          <w:p>
            <w:pPr>
              <w:jc w:val="center"/>
              <w:ind w:left="639"/>
              <w:spacing w:after="0"/>
              <w:rPr>
                <w:sz w:val="20"/>
                <w:szCs w:val="20"/>
                <w:color w:val="auto"/>
              </w:rPr>
            </w:pPr>
            <w:r>
              <w:rPr>
                <w:rFonts w:ascii="Times New Roman" w:cs="Times New Roman" w:eastAsia="Times New Roman" w:hAnsi="Times New Roman"/>
                <w:sz w:val="17"/>
                <w:szCs w:val="17"/>
                <w:b w:val="1"/>
                <w:bCs w:val="1"/>
                <w:color w:val="auto"/>
              </w:rPr>
              <w:t>2401 4</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7"/>
                <w:szCs w:val="17"/>
                <w:b w:val="1"/>
                <w:bCs w:val="1"/>
                <w:color w:val="auto"/>
              </w:rPr>
              <w:t xml:space="preserve"> Avenue, Suite 1050</w:t>
            </w:r>
          </w:p>
        </w:tc>
        <w:tc>
          <w:tcPr>
            <w:tcW w:w="2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03"/>
        </w:trPr>
        <w:tc>
          <w:tcPr>
            <w:tcW w:w="4080" w:type="dxa"/>
            <w:vAlign w:val="bottom"/>
          </w:tcPr>
          <w:p>
            <w:pPr>
              <w:jc w:val="center"/>
              <w:ind w:left="619"/>
              <w:spacing w:after="0"/>
              <w:rPr>
                <w:sz w:val="20"/>
                <w:szCs w:val="20"/>
                <w:color w:val="auto"/>
              </w:rPr>
            </w:pPr>
            <w:r>
              <w:rPr>
                <w:rFonts w:ascii="Times New Roman" w:cs="Times New Roman" w:eastAsia="Times New Roman" w:hAnsi="Times New Roman"/>
                <w:sz w:val="17"/>
                <w:szCs w:val="17"/>
                <w:b w:val="1"/>
                <w:bCs w:val="1"/>
                <w:color w:val="auto"/>
              </w:rPr>
              <w:t>Seattle, Washington</w:t>
            </w:r>
          </w:p>
        </w:tc>
        <w:tc>
          <w:tcPr>
            <w:tcW w:w="2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00" w:type="dxa"/>
            <w:vAlign w:val="bottom"/>
          </w:tcPr>
          <w:p>
            <w:pPr>
              <w:jc w:val="right"/>
              <w:ind w:right="2180"/>
              <w:spacing w:after="0"/>
              <w:rPr>
                <w:sz w:val="20"/>
                <w:szCs w:val="20"/>
                <w:color w:val="auto"/>
              </w:rPr>
            </w:pPr>
            <w:r>
              <w:rPr>
                <w:rFonts w:ascii="Times New Roman" w:cs="Times New Roman" w:eastAsia="Times New Roman" w:hAnsi="Times New Roman"/>
                <w:sz w:val="17"/>
                <w:szCs w:val="17"/>
                <w:b w:val="1"/>
                <w:bCs w:val="1"/>
                <w:color w:val="auto"/>
              </w:rPr>
              <w:t>98121</w:t>
            </w:r>
          </w:p>
        </w:tc>
      </w:tr>
      <w:tr>
        <w:trPr>
          <w:trHeight w:val="183"/>
        </w:trPr>
        <w:tc>
          <w:tcPr>
            <w:tcW w:w="4080" w:type="dxa"/>
            <w:vAlign w:val="bottom"/>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10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9"/>
        </w:trPr>
        <w:tc>
          <w:tcPr>
            <w:tcW w:w="105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(206) 838-0500</w:t>
            </w:r>
          </w:p>
        </w:tc>
      </w:tr>
      <w:tr>
        <w:trPr>
          <w:trHeight w:val="103"/>
        </w:trPr>
        <w:tc>
          <w:tcPr>
            <w:tcW w:w="408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3100" w:type="dxa"/>
            <w:vAlign w:val="bottom"/>
          </w:tcPr>
          <w:p>
            <w:pPr>
              <w:spacing w:after="0"/>
              <w:rPr>
                <w:sz w:val="8"/>
                <w:szCs w:val="8"/>
                <w:color w:val="auto"/>
              </w:rPr>
            </w:pPr>
          </w:p>
        </w:tc>
      </w:tr>
      <w:tr>
        <w:trPr>
          <w:trHeight w:val="265"/>
        </w:trPr>
        <w:tc>
          <w:tcPr>
            <w:tcW w:w="7400" w:type="dxa"/>
            <w:vAlign w:val="bottom"/>
            <w:gridSpan w:val="3"/>
          </w:tcPr>
          <w:p>
            <w:pPr>
              <w:jc w:val="center"/>
              <w:ind w:left="293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3100" w:type="dxa"/>
            <w:vAlign w:val="bottom"/>
          </w:tcPr>
          <w:p>
            <w:pPr>
              <w:spacing w:after="0"/>
              <w:rPr>
                <w:sz w:val="23"/>
                <w:szCs w:val="23"/>
                <w:color w:val="auto"/>
              </w:rPr>
            </w:pPr>
          </w:p>
        </w:tc>
      </w:tr>
      <w:tr>
        <w:trPr>
          <w:trHeight w:val="251"/>
        </w:trPr>
        <w:tc>
          <w:tcPr>
            <w:tcW w:w="4080" w:type="dxa"/>
            <w:vAlign w:val="bottom"/>
          </w:tcPr>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32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Trading Symbols(s)</w:t>
            </w:r>
          </w:p>
        </w:tc>
        <w:tc>
          <w:tcPr>
            <w:tcW w:w="3100" w:type="dxa"/>
            <w:vAlign w:val="bottom"/>
          </w:tcPr>
          <w:p>
            <w:pPr>
              <w:jc w:val="center"/>
              <w:ind w:left="4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tc>
      </w:tr>
      <w:tr>
        <w:trPr>
          <w:trHeight w:val="207"/>
        </w:trPr>
        <w:tc>
          <w:tcPr>
            <w:tcW w:w="4080" w:type="dxa"/>
            <w:vAlign w:val="bottom"/>
          </w:tcPr>
          <w:p>
            <w:pPr>
              <w:jc w:val="center"/>
              <w:ind w:right="839"/>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tc>
        <w:tc>
          <w:tcPr>
            <w:tcW w:w="332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w w:val="99"/>
              </w:rPr>
              <w:t>APVO</w:t>
            </w:r>
          </w:p>
        </w:tc>
        <w:tc>
          <w:tcPr>
            <w:tcW w:w="3100" w:type="dxa"/>
            <w:vAlign w:val="bottom"/>
          </w:tcPr>
          <w:p>
            <w:pPr>
              <w:jc w:val="center"/>
              <w:ind w:left="4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28"/>
        </w:trPr>
        <w:tc>
          <w:tcPr>
            <w:tcW w:w="40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100" w:type="dxa"/>
            <w:vAlign w:val="bottom"/>
          </w:tcPr>
          <w:p>
            <w:pPr>
              <w:jc w:val="center"/>
              <w:ind w:left="40"/>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r>
    </w:tbl>
    <w:p>
      <w:pPr>
        <w:spacing w:after="0" w:line="5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w:t>
      </w:r>
    </w:p>
    <w:p>
      <w:pPr>
        <w:spacing w:after="0" w:line="30"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ind w:firstLine="51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2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8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2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300" w:type="dxa"/>
            <w:vAlign w:val="bottom"/>
          </w:tcPr>
          <w:p>
            <w:pPr>
              <w:ind w:left="31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5"/>
        </w:trPr>
        <w:tc>
          <w:tcPr>
            <w:tcW w:w="18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00" w:type="dxa"/>
            <w:vAlign w:val="bottom"/>
          </w:tcPr>
          <w:p>
            <w:pPr>
              <w:ind w:left="318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1" w:lineRule="exact"/>
        <w:rPr>
          <w:sz w:val="24"/>
          <w:szCs w:val="24"/>
          <w:color w:val="auto"/>
        </w:rPr>
      </w:pPr>
    </w:p>
    <w:p>
      <w:pPr>
        <w:ind w:firstLine="51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right="1600"/>
        <w:spacing w:after="0" w:line="26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10, 2022, the number of shares of the registrant’s common stock outstanding was 5,091,758.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74930</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201930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230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b w:val="1"/>
                <w:bCs w:val="1"/>
                <w:color w:val="0000EE"/>
              </w:rPr>
              <w:t>FINANCIAL INFORMATION</w:t>
            </w:r>
          </w:p>
        </w:tc>
        <w:tc>
          <w:tcPr>
            <w:tcW w:w="7320" w:type="dxa"/>
            <w:vAlign w:val="bottom"/>
            <w:gridSpan w:val="10"/>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6"/>
        </w:trPr>
        <w:tc>
          <w:tcPr>
            <w:tcW w:w="1180" w:type="dxa"/>
            <w:vAlign w:val="bottom"/>
            <w:gridSpan w:val="2"/>
            <w:vMerge w:val="continue"/>
          </w:tcPr>
          <w:p>
            <w:pPr>
              <w:spacing w:after="0"/>
              <w:rPr>
                <w:sz w:val="14"/>
                <w:szCs w:val="14"/>
                <w:color w:val="auto"/>
              </w:rPr>
            </w:pPr>
          </w:p>
        </w:tc>
        <w:tc>
          <w:tcPr>
            <w:tcW w:w="2300" w:type="dxa"/>
            <w:vAlign w:val="bottom"/>
            <w:tcBorders>
              <w:bottom w:val="single" w:sz="8" w:color="0000EE"/>
            </w:tcBorders>
            <w:gridSpan w:val="10"/>
            <w:vMerge w:val="continue"/>
          </w:tcPr>
          <w:p>
            <w:pPr>
              <w:spacing w:after="0"/>
              <w:rPr>
                <w:sz w:val="14"/>
                <w:szCs w:val="14"/>
                <w:color w:val="auto"/>
              </w:rPr>
            </w:pPr>
          </w:p>
        </w:tc>
        <w:tc>
          <w:tcPr>
            <w:tcW w:w="7320" w:type="dxa"/>
            <w:vAlign w:val="bottom"/>
            <w:gridSpan w:val="10"/>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Condensed Consolidated Balance Sheets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Condensed Consolidated Statements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Condensed Consolidated Statements of Cash Flows</w:t>
            </w:r>
          </w:p>
        </w:tc>
        <w:tc>
          <w:tcPr>
            <w:tcW w:w="5680" w:type="dxa"/>
            <w:vAlign w:val="bottom"/>
            <w:gridSpan w:val="6"/>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Condensed Consolidated Statements of Changes in Stockholders’ Equity</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1180" w:type="dxa"/>
            <w:vAlign w:val="bottom"/>
            <w:tcBorders>
              <w:top w:val="single" w:sz="8" w:color="0000EE"/>
            </w:tcBorders>
          </w:tcPr>
          <w:p>
            <w:pPr>
              <w:spacing w:after="0"/>
              <w:rPr>
                <w:sz w:val="17"/>
                <w:szCs w:val="17"/>
                <w:color w:val="auto"/>
              </w:rPr>
            </w:pPr>
          </w:p>
        </w:tc>
        <w:tc>
          <w:tcPr>
            <w:tcW w:w="4220" w:type="dxa"/>
            <w:vAlign w:val="bottom"/>
            <w:gridSpan w:val="2"/>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62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3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5420" w:type="dxa"/>
            <w:vAlign w:val="bottom"/>
            <w:gridSpan w:val="4"/>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7900" w:type="dxa"/>
            <w:vAlign w:val="bottom"/>
            <w:gridSpan w:val="13"/>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42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EE"/>
              </w:rPr>
              <w:t>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9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7680" w:type="dxa"/>
            <w:vAlign w:val="bottom"/>
            <w:gridSpan w:val="12"/>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12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340" w:type="dxa"/>
            <w:vAlign w:val="bottom"/>
            <w:gridSpan w:val="15"/>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4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5440" w:type="dxa"/>
            <w:vAlign w:val="bottom"/>
            <w:gridSpan w:val="5"/>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7380" w:type="dxa"/>
            <w:vAlign w:val="bottom"/>
            <w:gridSpan w:val="11"/>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7920" w:type="dxa"/>
            <w:vAlign w:val="bottom"/>
            <w:gridSpan w:val="14"/>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0"/>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Exhibits</w:t>
            </w:r>
          </w:p>
        </w:tc>
        <w:tc>
          <w:tcPr>
            <w:tcW w:w="8360" w:type="dxa"/>
            <w:vAlign w:val="bottom"/>
            <w:gridSpan w:val="16"/>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0"/>
        </w:trPr>
        <w:tc>
          <w:tcPr>
            <w:tcW w:w="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4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Aptevo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 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60" w:type="dxa"/>
            <w:vAlign w:val="bottom"/>
            <w:tcBorders>
              <w:top w:val="single" w:sz="8" w:color="CFF0FC"/>
            </w:tcBorders>
            <w:shd w:val="clear" w:color="auto" w:fill="CFF0FC"/>
          </w:tcPr>
          <w:p>
            <w:pPr>
              <w:ind w:left="34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22,150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Royalty receivable</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76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31,695</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56,601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6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compensation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Liability related to the sale of royalties, net - short-term</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Liability related to the sale of royalties, net - long-term</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6,237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6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55,385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Preferred stock: $0.001 par value; 15,000,000 shares authorized, zero shares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issued or outstanding</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$0.001 par value; 500,000,000 shares authorized; 5,090,644 and</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4,898,143 shares issued and outstanding at September 30, 2022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2021, respectively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217,109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(201,394)</w:t>
            </w:r>
          </w:p>
        </w:tc>
        <w:tc>
          <w:tcPr>
            <w:tcW w:w="1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(214,063)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15,762</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31,695</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Aptevo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 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40" w:type="dxa"/>
            <w:vAlign w:val="bottom"/>
          </w:tcPr>
          <w:p>
            <w:pPr>
              <w:spacing w:after="0"/>
              <w:rPr>
                <w:sz w:val="14"/>
                <w:szCs w:val="14"/>
                <w:color w:val="auto"/>
              </w:rPr>
            </w:pPr>
          </w:p>
        </w:tc>
        <w:tc>
          <w:tcPr>
            <w:tcW w:w="31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5"/>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5"/>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Royalty revenue</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(4,477)</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(4,367)</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(13,208)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(14,451)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(3,307)</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(3,479)</w:t>
            </w:r>
          </w:p>
        </w:tc>
        <w:tc>
          <w:tcPr>
            <w:tcW w:w="2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(11,536)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(7,784)</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(20,957)</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(17,360)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expense from continuing operations, net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(2,327)</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(4,048)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extinguishment of liability related to</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 of royalties</w:t>
            </w: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income from continuing operations</w:t>
            </w:r>
          </w:p>
        </w:tc>
        <w:tc>
          <w:tcPr>
            <w:tcW w:w="2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(7,809)</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(7,077)</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12,177</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(7,644)</w:t>
            </w:r>
          </w:p>
        </w:tc>
        <w:tc>
          <w:tcPr>
            <w:tcW w:w="2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(6,997)</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3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 per share: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(1.50)</w:t>
            </w:r>
          </w:p>
        </w:tc>
        <w:tc>
          <w:tcPr>
            <w:tcW w:w="3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(1.43)</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FF0FC"/>
              <w:bottom w:val="single" w:sz="8" w:color="CFF0FC"/>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360" w:type="dxa"/>
            <w:vAlign w:val="bottom"/>
            <w:tcBorders>
              <w:bottom w:val="single" w:sz="8" w:color="CFF0FC"/>
            </w:tcBorders>
            <w:vMerge w:val="continue"/>
          </w:tcPr>
          <w:p>
            <w:pPr>
              <w:spacing w:after="0"/>
              <w:rPr>
                <w:sz w:val="20"/>
                <w:szCs w:val="20"/>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Shares used in calculation:</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5,090,592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4,891,881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5,017,684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4,617,357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5,090,592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4,891,881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5,019,552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4,617,357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Aptevo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Borders>
              <w:bottom w:val="single" w:sz="8" w:color="CFF0FC"/>
            </w:tcBorders>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340" w:type="dxa"/>
            <w:vAlign w:val="bottom"/>
            <w:gridSpan w:val="2"/>
          </w:tcPr>
          <w:p>
            <w:pPr>
              <w:jc w:val="right"/>
              <w:ind w:right="74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12,669</w:t>
            </w:r>
          </w:p>
        </w:tc>
        <w:tc>
          <w:tcPr>
            <w:tcW w:w="280" w:type="dxa"/>
            <w:vAlign w:val="bottom"/>
          </w:tcPr>
          <w:p>
            <w:pPr>
              <w:spacing w:after="0"/>
              <w:rPr>
                <w:sz w:val="19"/>
                <w:szCs w:val="19"/>
                <w:color w:val="auto"/>
              </w:rPr>
            </w:pPr>
          </w:p>
        </w:tc>
        <w:tc>
          <w:tcPr>
            <w:tcW w:w="900" w:type="dxa"/>
            <w:vAlign w:val="bottom"/>
          </w:tcPr>
          <w:p>
            <w:pPr>
              <w:jc w:val="right"/>
              <w:ind w:right="7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(22,185)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expense and other</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Gain on extinguishment of liability related to sale of royalties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(37,182)</w:t>
            </w: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Royalty receivable</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accrued compensation and other liabilities</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(1,383)</w:t>
            </w: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(15,083)</w:t>
            </w: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(17,799)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4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of long-term debt, including fees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(11,767)</w:t>
            </w: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(10,550)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Repayments under liability related to sale of royalties</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(6,779)</w:t>
            </w: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sale of royalties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Transaction costs from sale of royalties</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Value of equity awards withheld for tax liability</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9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milestones related to sale of royalties</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Transaction costs for milestones related to sale of royalties</w:t>
            </w:r>
          </w:p>
        </w:tc>
        <w:tc>
          <w:tcPr>
            <w:tcW w:w="1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14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4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(8,614)</w:t>
            </w:r>
          </w:p>
        </w:tc>
        <w:tc>
          <w:tcPr>
            <w:tcW w:w="28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(23,726)</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4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46,303</w:t>
            </w:r>
          </w:p>
        </w:tc>
        <w:tc>
          <w:tcPr>
            <w:tcW w:w="2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440" w:type="dxa"/>
            <w:vAlign w:val="bottom"/>
          </w:tcPr>
          <w:p>
            <w:pPr>
              <w:spacing w:after="0"/>
              <w:rPr>
                <w:sz w:val="22"/>
                <w:szCs w:val="22"/>
                <w:color w:val="auto"/>
              </w:rPr>
            </w:pPr>
          </w:p>
        </w:tc>
        <w:tc>
          <w:tcPr>
            <w:tcW w:w="90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280" w:type="dxa"/>
            <w:vAlign w:val="bottom"/>
          </w:tcPr>
          <w:p>
            <w:pPr>
              <w:spacing w:after="0"/>
              <w:rPr>
                <w:sz w:val="22"/>
                <w:szCs w:val="22"/>
                <w:color w:val="auto"/>
              </w:rPr>
            </w:pPr>
          </w:p>
        </w:tc>
        <w:tc>
          <w:tcPr>
            <w:tcW w:w="9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44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ROU asset and lease liability from lease remeasurement</w:t>
            </w:r>
          </w:p>
        </w:tc>
        <w:tc>
          <w:tcPr>
            <w:tcW w:w="2340" w:type="dxa"/>
            <w:vAlign w:val="bottom"/>
            <w:gridSpan w:val="2"/>
            <w:shd w:val="clear" w:color="auto" w:fill="CFF0FC"/>
          </w:tcPr>
          <w:p>
            <w:pPr>
              <w:jc w:val="right"/>
              <w:ind w:right="74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4,372</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Aptevo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5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 (Deficit)</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4,898,143</w:t>
            </w:r>
          </w:p>
        </w:tc>
        <w:tc>
          <w:tcPr>
            <w:tcW w:w="2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215,232</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(214,063)</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issued upon vesting of</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Commitment shares issued pursuant to</w:t>
            </w: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Lincoln Park Purchase Agreement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99,276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for the period</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(7,697)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(7,697)</w:t>
            </w:r>
          </w:p>
        </w:tc>
        <w:tc>
          <w:tcPr>
            <w:tcW w:w="0" w:type="dxa"/>
            <w:vAlign w:val="bottom"/>
          </w:tcPr>
          <w:p>
            <w:pPr>
              <w:spacing w:after="0"/>
              <w:rPr>
                <w:sz w:val="1"/>
                <w:szCs w:val="1"/>
                <w:color w:val="auto"/>
              </w:rPr>
            </w:pPr>
          </w:p>
        </w:tc>
      </w:tr>
      <w:tr>
        <w:trPr>
          <w:trHeight w:val="253"/>
        </w:trPr>
        <w:tc>
          <w:tcPr>
            <w:tcW w:w="3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5,007,241</w:t>
            </w:r>
          </w:p>
        </w:tc>
        <w:tc>
          <w:tcPr>
            <w:tcW w:w="26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215,829</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(221,760)</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Common stock issued upon vesting of</w:t>
            </w: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restricted stock units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78,285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Net income for the period</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5,089,852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216,750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(193,750)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23,047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Common stock issued upon vesting of</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76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Net loss for the period</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(7,644)</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5,090,644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217,109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(201,394)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5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4,410,909</w:t>
            </w:r>
          </w:p>
        </w:tc>
        <w:tc>
          <w:tcPr>
            <w:tcW w:w="2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202,154</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(185,606)</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16,594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27,828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for the period</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(7,256)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(7,256)</w:t>
            </w:r>
          </w:p>
        </w:tc>
        <w:tc>
          <w:tcPr>
            <w:tcW w:w="0" w:type="dxa"/>
            <w:vAlign w:val="bottom"/>
          </w:tcPr>
          <w:p>
            <w:pPr>
              <w:spacing w:after="0"/>
              <w:rPr>
                <w:sz w:val="1"/>
                <w:szCs w:val="1"/>
                <w:color w:val="auto"/>
              </w:rPr>
            </w:pPr>
          </w:p>
        </w:tc>
      </w:tr>
      <w:tr>
        <w:trPr>
          <w:trHeight w:val="253"/>
        </w:trPr>
        <w:tc>
          <w:tcPr>
            <w:tcW w:w="3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4,449,422</w:t>
            </w:r>
          </w:p>
        </w:tc>
        <w:tc>
          <w:tcPr>
            <w:tcW w:w="26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203,320</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(192,862)</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407,047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for the period</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(7,932)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(7,932)</w:t>
            </w:r>
          </w:p>
        </w:tc>
        <w:tc>
          <w:tcPr>
            <w:tcW w:w="0" w:type="dxa"/>
            <w:vAlign w:val="bottom"/>
          </w:tcPr>
          <w:p>
            <w:pPr>
              <w:spacing w:after="0"/>
              <w:rPr>
                <w:sz w:val="1"/>
                <w:szCs w:val="1"/>
                <w:color w:val="auto"/>
              </w:rPr>
            </w:pP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4,884,515</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60" w:type="dxa"/>
            <w:vAlign w:val="bottom"/>
            <w:vMerge w:val="continue"/>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11,244</w:t>
            </w: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Net loss for the period</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(6,997)</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2021</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4,895,759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215,036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(207,791)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Aptevo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1. Nature of Business and Significant Accounting Policies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Organization and Liquidity</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Aptevo Therapeutics Inc. (Aptevo, we, us, or the Company) is a 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are currently trading on the Nasdaq Capital Market under the symbol “APVO.”</w:t>
      </w:r>
    </w:p>
    <w:p>
      <w:pPr>
        <w:spacing w:after="0" w:line="11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and nine months ended September 30, 2022, we had a net loss of $7.6 million and a net income of $12.7 million, respectively. We had an accumulated deficit of $201.4 million as of September 30, 2022. For the nine months ended September 30, 2022, net cash used in our operating activities was $15.1 million. We have suffered recurring losses from operations and negative cash flows from operating activities. We believe that our existing cash resources, milestone payments related to the Royalty Purchase Agreement with HealthCare Royalty Management, LLC (HCR), funds available under the Purchase Agreement with Lincoln Park Capital Fund, LLC (Lincoln Park) and the Equity Distribution Agreement with Piper Sandler &amp; Co (Piper Sandler), cash to be generated from future deferred payments and milestones related to IXINITY sales and approvals by Medexus Pharmaceuticals Inc. (Medexus), and release of restricted cash securing letters of credit, will be sufficient to meet our projected operating requirements and debt service for at least twelve months from the date of issuance of these financial statements. We may choose to raise additional funds to support our operating and capital needs in the future.</w:t>
      </w:r>
    </w:p>
    <w:p>
      <w:pPr>
        <w:spacing w:after="0" w:line="7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(e) whether and to what extent future milestone payments are received under our Royalty Purchase Agreement; (f) macroeconomic conditions such as rising interest rates, inflation and costs; and (g) other items affecting our forecasted level of expenditures and use of cash resources. We may obtain additional funding through our existing equity Purchase Agreement with Lincoln Park or our Equity Distribution Agreement with Piper Sandler,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continuing global economic and geopolitical climate, including rising interest rates and stock market volatility, and direct and indirect effects from the ongoing COVID-19 pandemic, we may experience delays or difficulties in the financing environment and raising capital due to economic uncertainty.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2021, and the notes thereto, which are included in the Company’s Annual Report on Form 10-K for the year ended December 31, 2021.</w:t>
      </w:r>
    </w:p>
    <w:p>
      <w:pPr>
        <w:spacing w:after="0" w:line="6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7" w:name="page8"/>
    <w:bookmarkEnd w:id="7"/>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the Company and our wholly owned subsidiary, Aptevo Research and Development LLC. All intercompany balances and transactions have been eliminated.</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consolidated financial statements and accompanying notes. Estimates are used for, but not limited to, forecasted royalties, effective interest rates, clinical accruals, useful lives of equipment, commitments and contingencies, and stock-based compensation. Given the continuing global economic and geopolitical climate and effects from the ongoing COVID-19 pandemic, these estimates are becoming more challenging, and actual results could differ materially from those estimates.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Significant Accounting Policies</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Sale of Royalties and Non-Cash Interest Expense</w:t>
      </w:r>
    </w:p>
    <w:p>
      <w:pPr>
        <w:spacing w:after="0" w:line="119"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On March 30, 2021, we entered into and closed a Royalty Purchase Agreement (the Royalty Purchase Agreement) with an entity managed by HCR pursuant to which we sold to HCR the right to receive royalty payments made by Pfizer Inc. (Pfizer) in respect of net sales of RUXIENCE. Under the terms of the Royalty Purchase Agreement, we received $35 million (the Investment Amount) at closing and we are eligible to receive additional payments in the aggregate of up to an additional $32.5 million based on the achievement of sales milestones in 2021, 2022 and 2023 (collectively, the Milestone Amounts).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 milestones in 2022 and 2023.</w:t>
      </w:r>
    </w:p>
    <w:p>
      <w:pPr>
        <w:spacing w:after="0" w:line="72"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the date we entered into the transaction, we accounted for the Royalty Purchase Agreement with HCR as a debt-like instrument, amortized under the effective interest rate method over the life of the related expected royalty stream. The liabilities related to the sale of royalties and the debt amortization were based on our estimates of royalties expected to be paid over the life of the arrangement.</w:t>
      </w:r>
    </w:p>
    <w:p>
      <w:pPr>
        <w:spacing w:after="0" w:line="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On June 7, 2022, we entered into and closed an amendment to the Royalty Purchase Agreement (the Amendment to Royalty Purchase Agreement) (see Note 7) which removed all restrictions related to HCR’s rate of return, and it is no longer a sale of a specified percentage of royalty revenue. The Amendment to Royalty Purchase Agreement was accounted for under ASC 610-20</w:t>
      </w:r>
      <w:r>
        <w:rPr>
          <w:rFonts w:ascii="Times New Roman" w:cs="Times New Roman" w:eastAsia="Times New Roman" w:hAnsi="Times New Roman"/>
          <w:sz w:val="17"/>
          <w:szCs w:val="17"/>
          <w:i w:val="1"/>
          <w:iCs w:val="1"/>
          <w:color w:val="auto"/>
        </w:rPr>
        <w:t>, Gains and Losses from Derecognition of Nonfinancial Assets</w:t>
      </w:r>
      <w:r>
        <w:rPr>
          <w:rFonts w:ascii="Times New Roman" w:cs="Times New Roman" w:eastAsia="Times New Roman" w:hAnsi="Times New Roman"/>
          <w:sz w:val="17"/>
          <w:szCs w:val="17"/>
          <w:color w:val="auto"/>
        </w:rPr>
        <w:t xml:space="preserve"> and ASC 405-20, </w:t>
      </w:r>
      <w:r>
        <w:rPr>
          <w:rFonts w:ascii="Times New Roman" w:cs="Times New Roman" w:eastAsia="Times New Roman" w:hAnsi="Times New Roman"/>
          <w:sz w:val="17"/>
          <w:szCs w:val="17"/>
          <w:i w:val="1"/>
          <w:iCs w:val="1"/>
          <w:color w:val="auto"/>
        </w:rPr>
        <w:t>Liabilities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Extinguishment of Liabilities </w:t>
      </w:r>
      <w:r>
        <w:rPr>
          <w:rFonts w:ascii="Times New Roman" w:cs="Times New Roman" w:eastAsia="Times New Roman" w:hAnsi="Times New Roman"/>
          <w:sz w:val="17"/>
          <w:szCs w:val="17"/>
          <w:color w:val="auto"/>
        </w:rPr>
        <w:t>and the transaction is no longer considered a debt-like financing.</w:t>
      </w:r>
    </w:p>
    <w:p>
      <w:pPr>
        <w:spacing w:after="0" w:line="6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 xml:space="preserve">As a result of the Amendment to Royalty Purchase Agreement, the Company recognized a gain of $37.2 million, which was the total balance of liability related to the sale of royalties on the closing date. The Amendment to Royalty Purchase Agreement allowed us to regain full compliance with Nasdaq Listing Rule 5550(b)(1) in a way that was non-dilutive for our shareholders. We will not recognize royalty revenue on net sales of RUXIENCE that are paid to HCR going forward. The royalty revenue included in the consolidated statements of operations relates to the quarter ended March 31, 2022. Future Milestone Amounts will be accounted for as variable consideration and recognized as other income when such milestones are earned using the most likely method in accordance with ASC 610-20 </w:t>
      </w:r>
      <w:r>
        <w:rPr>
          <w:rFonts w:ascii="Times New Roman" w:cs="Times New Roman" w:eastAsia="Times New Roman" w:hAnsi="Times New Roman"/>
          <w:sz w:val="17"/>
          <w:szCs w:val="17"/>
          <w:i w:val="1"/>
          <w:iCs w:val="1"/>
          <w:color w:val="auto"/>
        </w:rPr>
        <w:t>Other Income — Gains and Losses from the Derecognition of Nonfinancial Assets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Royalty Revenue</w:t>
      </w:r>
    </w:p>
    <w:p>
      <w:pPr>
        <w:spacing w:after="0" w:line="117"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7"/>
          <w:szCs w:val="17"/>
          <w:color w:val="auto"/>
        </w:rPr>
        <w:t xml:space="preserve">We recognized revenue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RUXIENCE Royalty Revenue</w:t>
      </w:r>
    </w:p>
    <w:p>
      <w:pPr>
        <w:spacing w:after="0" w:line="117"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Aptevo’s royalty revenue exclusively related to royalties on Pfizer’s net sales of RUXIENCE. Royalty revenue for the period covered by this report reflects revenue recorded only in the first quarter of 2022 due to our Amendment to Royalty Purchase Agreement with HCR (see Note 7). As a result of the amendment, we ceased reporting as royalty revenue, royalties paid by Pfizer to HCR related to Pfizer’s sales of RUXIENCE.</w:t>
      </w:r>
    </w:p>
    <w:p>
      <w:pPr>
        <w:spacing w:after="0" w:line="58"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recognized royalty revenue under ASC 606, which provides revenue recognition constraints by requiring the recognition of revenue at the later of the following: 1) when the subsequent sale or usage occurs or 2) when the performance obligation to which some or all of the sales-based or usage-based royalty has been allocated has been satisfied (or partially satisfied). We satisfied our performance obligation prior to the period covered by this report, specifically in May 2011 when the original Collaboration and License Agreement between Trubion Pharmaceuticals and Wyeth was amended to remove the exclusivity/non-compete restrictions so that Pfizer could develop a CD20 biosimilar product in exchange for a one-time payment of $2.5 million and future royalties of 2.5% on any CD20 biosimilar product commercialized by Pfizer in the future. We do not have future performance obligations under this agreement. We applied the royalty recognition constraint required under the guidance for sales-based royalties, which requires a sales-based royalty to be recorded no sooner than the underlying sale. Therefore, royalties on sales of products commercialized by Pfizer were recognized in the quarter the product is sold.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 w:name="page9"/>
    <w:bookmarkEnd w:id="8"/>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Given royalty revenues were based on 2.5% of global net sales of RUXIENCE, the considerations were considered variable. Pfizer generally reported sales information to us within 60 days of quarter end. Unless we received finalized sales information for the respective quarter, we estimated the expected royalty proceeds based on an analysis of historical experience, analyst expectations, interim data provided by Pfizer, including their publicly announced sales, and other publicly available information. Differences between actual and estimated royalty revenues were adjusted for in the period in which they became known, typically the following quarter. Revenue recorded in the period covered by this report represents actual royalty revenue given the timing of RUXIENCE sales reports received from Pfizer. There was no significant financing component to the contract.</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Debt Modification</w:t>
      </w:r>
    </w:p>
    <w:p>
      <w:pPr>
        <w:spacing w:after="0" w:line="11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 xml:space="preserve">On March 30, 2021, we amended our Credit Agreement with MidCap Financial (First Amendment to Credit Agreement) and used $10 million of the proceeds received from the Royalty Purchase Agreement to pay down the outstanding principal under the Credit Agreement from $25 million to $15 million. The amended Credit Agreement was accounted for under ASC 470-50, </w:t>
      </w:r>
      <w:r>
        <w:rPr>
          <w:rFonts w:ascii="Times New Roman" w:cs="Times New Roman" w:eastAsia="Times New Roman" w:hAnsi="Times New Roman"/>
          <w:sz w:val="17"/>
          <w:szCs w:val="17"/>
          <w:i w:val="1"/>
          <w:iCs w:val="1"/>
          <w:color w:val="auto"/>
        </w:rPr>
        <w:t>Debt Modifications and Extinguishments</w:t>
      </w:r>
      <w:r>
        <w:rPr>
          <w:rFonts w:ascii="Times New Roman" w:cs="Times New Roman" w:eastAsia="Times New Roman" w:hAnsi="Times New Roman"/>
          <w:sz w:val="17"/>
          <w:szCs w:val="17"/>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71"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June 7, 2022, we further amended the Credit Agreement with MidCap Financial (Limited Consent and Second Amendment to Credit Agreement) to obtain MidCap Financial’s limited consent to amend the Royalty Purchase Agreement with HCR. The Limited Consent and Second Amendment to Credit Agreement did not change future cash flows or other terms of the Credit Agreement.</w:t>
      </w:r>
    </w:p>
    <w:p>
      <w:pPr>
        <w:spacing w:after="0" w:line="58"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Additionally, on August 30, 2022, we amended our Credit Agreement with MidCap Financial (Third Amendment to Credit Agreement) to replace the London Interbank Offered Rate (“LIBOR”) benchmark with the Secured Overnight Financing Rate plus 0.10% (“SOFR”), which is regulated by the Federal Reserve Bank of New York. Aptevo amended our Credit Agreement due to United Kingdom’s Financial Conduct Authority’s (“FCA”) planned phase-out of one-month US Dollar LIBOR settings in 2023. Our Credit Agreement continues to bear base interest at a rate of 6.25% per annum plus SOFR, subject to a 1.50% SOFR floor and a 2.50% SOFR cap.</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Other Significant Accounting Policies</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Our other significant accounting policies were reported in our Annual Report on Form 10-K for the year ended December 31, 2021 that was filed with the SEC on March 24, 2022. Our other significant accounting policies have not changed materially from the policies previously reported.</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In March 2020, the Financial Accounting Standards Board (FASB) issued Accounting Standard Update (ASU) 2020-04,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xml:space="preserve"> (Topic</w:t>
      </w:r>
    </w:p>
    <w:p>
      <w:pPr>
        <w:spacing w:after="0" w:line="32" w:lineRule="exact"/>
        <w:rPr>
          <w:sz w:val="20"/>
          <w:szCs w:val="20"/>
          <w:color w:val="auto"/>
        </w:rPr>
      </w:pPr>
    </w:p>
    <w:p>
      <w:pPr>
        <w:jc w:val="both"/>
        <w:ind w:firstLine="4"/>
        <w:spacing w:after="0" w:line="259" w:lineRule="auto"/>
        <w:tabs>
          <w:tab w:leader="none" w:pos="36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optional expedients and exceptions for applying GAAP to loan and lease agreements, derivative contracts, and other transactions affected by the anticipated transition away from LIBOR toward new interest rate benchmarks. The FCA, which regulates LIBOR, phased out one-week and two-month US Dollar LIBOR settings on December 31, 2021. All other US Dollar LIBOR settings, including the overnight, one-month, three-month, six-month and twelve-month, will be phased out on June 30, 2023.</w:t>
      </w:r>
    </w:p>
    <w:p>
      <w:pPr>
        <w:spacing w:after="0" w:line="68" w:lineRule="exact"/>
        <w:rPr>
          <w:sz w:val="20"/>
          <w:szCs w:val="20"/>
          <w:color w:val="auto"/>
        </w:rPr>
      </w:pPr>
    </w:p>
    <w:p>
      <w:pPr>
        <w:jc w:val="both"/>
        <w:ind w:firstLine="510"/>
        <w:spacing w:after="0" w:line="294" w:lineRule="auto"/>
        <w:rPr>
          <w:sz w:val="20"/>
          <w:szCs w:val="20"/>
          <w:color w:val="auto"/>
        </w:rPr>
      </w:pPr>
      <w:r>
        <w:rPr>
          <w:rFonts w:ascii="Times New Roman" w:cs="Times New Roman" w:eastAsia="Times New Roman" w:hAnsi="Times New Roman"/>
          <w:sz w:val="17"/>
          <w:szCs w:val="17"/>
          <w:color w:val="auto"/>
        </w:rPr>
        <w:t xml:space="preserve">We evaluated ASC 848,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as part of our August 30, 2022 amendment to Credit Agreement with MidCap Financial (see Note 6). The adoption of ASC 848 did not have a material impact on our consolidated financial statements.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2. Discontinued Operations</w:t>
      </w:r>
    </w:p>
    <w:p>
      <w:pPr>
        <w:spacing w:after="0" w:line="117"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discontinued operations from two separate transactions: the sale of our hyperimmune business to Saol International Limited in September 2017, from which we received a payment in March 2021 related to the collection of certain accounts receivable, and the sale of our Aptevo BioTherapeutics LLC business in February 2020.</w:t>
      </w:r>
    </w:p>
    <w:p>
      <w:pPr>
        <w:spacing w:after="0" w:line="58"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On February 28, 2020, we entered into an LLC Purchase Agreement with Medexus, pursuant to which we sold all of the issued and outstanding limited liability company interests of Aptevo BioTherapeutics LLC, a wholly owned subsidiary of Aptevo. As a result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of the transaction, Medexus obtained all rights, title and interest to the IXINITY product and the related Hemophilia B business and intellectual property.</w:t>
      </w:r>
    </w:p>
    <w:p>
      <w:pPr>
        <w:spacing w:after="0" w:line="115"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following table represents the components attributable to income from discontinued operations in the unaudited condensed consolidated statements of operations (in thousands):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20" w:type="dxa"/>
            <w:vAlign w:val="bottom"/>
            <w:gridSpan w:val="5"/>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8"/>
        </w:trPr>
        <w:tc>
          <w:tcPr>
            <w:tcW w:w="20" w:type="dxa"/>
            <w:vAlign w:val="bottom"/>
          </w:tcPr>
          <w:p>
            <w:pPr>
              <w:spacing w:after="0"/>
              <w:rPr>
                <w:sz w:val="12"/>
                <w:szCs w:val="12"/>
                <w:color w:val="auto"/>
              </w:rPr>
            </w:pPr>
          </w:p>
        </w:tc>
        <w:tc>
          <w:tcPr>
            <w:tcW w:w="3540" w:type="dxa"/>
            <w:vAlign w:val="bottom"/>
            <w:tcBorders>
              <w:bottom w:val="single" w:sz="8" w:color="CFF0FC"/>
            </w:tcBorders>
          </w:tcPr>
          <w:p>
            <w:pPr>
              <w:spacing w:after="0"/>
              <w:rPr>
                <w:sz w:val="12"/>
                <w:szCs w:val="12"/>
                <w:color w:val="auto"/>
              </w:rPr>
            </w:pPr>
          </w:p>
        </w:tc>
        <w:tc>
          <w:tcPr>
            <w:tcW w:w="520" w:type="dxa"/>
            <w:vAlign w:val="bottom"/>
            <w:tcBorders>
              <w:bottom w:val="single" w:sz="8" w:color="CFF0FC"/>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payment from Medexus</w:t>
            </w: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Gain on contingent consideration from Saol</w:t>
            </w:r>
          </w:p>
        </w:tc>
        <w:tc>
          <w:tcPr>
            <w:tcW w:w="5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FF0FC"/>
            </w:tcBorders>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5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LLC Purchase Agreement with Medexus entitles us to future deferred payments and milestones. For the nine months ended September 30, 2022, we collected $0.5 million in deferred payment from Medexus related to IXINITY sales. For the nine months ended September 30, 2021, we collected $0.2 million related to the sale of the hyperimmune business to Saol as a result of the collection of certain accounts receivable and a deferred payments of $0.4 million from Medexus related to IXINITY sales. Pursuant to our LLC Purchase Agreement, the rate for deferred payments increased from 2% to 5% of net sales as of June 30, 2022.</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3. Collaboration Agreements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Alligator Bioscience AB</w:t>
      </w:r>
    </w:p>
    <w:p>
      <w:pPr>
        <w:spacing w:after="0" w:line="11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66"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In accordance with ASC 808, we concluded that because the Collaboration Agreement is a cost sharing agreement, there is no revenue.</w:t>
      </w:r>
    </w:p>
    <w:p>
      <w:pPr>
        <w:spacing w:after="0" w:line="58"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For the three months ended September 30, 2022 and 2021, we recorded approximately $0.6 million and $0.1 million in our research and development expense related to the Collaboration Agreement, respectively.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4. Fair Value Measurements</w:t>
      </w:r>
    </w:p>
    <w:p>
      <w:pPr>
        <w:spacing w:after="0" w:line="117"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Level 1— Quoted prices in active markets for identical assets and liabilities;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Level 2— Inputs other than quoted prices in active markets that are either directly or indirectly observable; and</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 of the assets or liabilities.</w:t>
      </w:r>
    </w:p>
    <w:p>
      <w:pPr>
        <w:spacing w:after="0" w:line="115"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At September 30, 2022 and December 31, 2021, we had $18.4 million and $41.2 million in Level 1 money market funds, respectively. The carrying amounts of our money market funds approximate their fair value. At September 30, 2022 and December 31, 2021, we did not have any Level 2 or Level 3 assets.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7"/>
          <w:szCs w:val="17"/>
          <w:b w:val="1"/>
          <w:bCs w:val="1"/>
          <w:color w:val="auto"/>
        </w:rPr>
        <w:t>Note 5. Cash, Cash Equivalents, and Restricted Cash</w:t>
      </w:r>
    </w:p>
    <w:p>
      <w:pPr>
        <w:spacing w:after="0" w:line="130"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Company’s cash equivalents are highly liquid investments with a maturity of 90 days or less at the date of purchase and include time deposits and investments in money market funds. Restricted cash, which are time deposits, includes $0.4 million securing letters of credit.</w:t>
      </w:r>
    </w:p>
    <w:p>
      <w:pPr>
        <w:spacing w:after="0" w:line="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shows our cash, cash equivalents and restricted cash as of September 30, 2022 and December 31, 2021:</w:t>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7"/>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41,203</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shd w:val="clear" w:color="auto" w:fill="CFF0FC"/>
          </w:tcPr>
          <w:p>
            <w:pPr>
              <w:spacing w:after="0"/>
              <w:rPr>
                <w:sz w:val="19"/>
                <w:szCs w:val="19"/>
                <w:color w:val="auto"/>
              </w:rPr>
            </w:pPr>
          </w:p>
        </w:tc>
      </w:tr>
      <w:tr>
        <w:trPr>
          <w:trHeight w:val="213"/>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46,303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6. Debt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1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On August 5, 2020, we entered into a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Certain assets of the Company are pledged as collateral under the terms of the Credit Agreement. The FCA, which regulates LIBOR, phased out one-week and two-month US Dollar LIBOR settings on December 31, 2021. All other US Dollar LIBOR settings, including the overnight, one-month, three-month, six-month and twelve-month, will be phased out on June 30, 2023. Our 2020 Credit Agreement with MidCap Financial referenced one-month LIBOR and also provided that we may amend the Credit Agreement to reflect an alternative rate of interest upon the phase out of LIBOR.</w:t>
      </w:r>
    </w:p>
    <w:p>
      <w:pPr>
        <w:spacing w:after="0" w:line="7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7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was paid on March 29, 2022. Beginning March 1, 2022, monthly repayment of the remaining $5.0 million of principal commenced and will continue for the final 30 months of the loan term. The term loan facility includes additional payment provisions if milestones related to IXINITY under the LLC Purchase Agreement with Medexus or royalties related to RUXIENCE under the Royalty Purchase Agreement with HCR are sold during the term of the loan.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w:t>
      </w:r>
    </w:p>
    <w:p>
      <w:pPr>
        <w:spacing w:after="0" w:line="70"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The amended Credit Agreement was accounted for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58"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June 7, 2022, we further amended the Credit Agreement with MidCap Financial to obtain MidCap Financial’s limited consent to amend our Royalty Purchase Agreement with HCR. The Limited Consent and Second Amendment to Credit Agreement did not change future cash flows or other terms of the Credit Agreement.</w:t>
      </w:r>
    </w:p>
    <w:p>
      <w:pPr>
        <w:spacing w:after="0" w:line="58"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7"/>
          <w:szCs w:val="17"/>
          <w:color w:val="auto"/>
        </w:rPr>
        <w:t>Additionally, on August 30, 2022, we amended our Credit Agreement with MidCap Financial to replace the LIBOR benchmark with SOFR, which is regulated by the Federal Reserve Bank of New York. We amended our Credit Agreement due to FCA’s planned phase-out of one-month US Dollar LIBOR settings in 2023. Our Credit Agreement continues to bear base interest at a rate of 6.25% per annum plus SOFR, subject to a 1.50% SOFR floor and a 2.50% SOFR cap.</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1" w:name="page12"/>
    <w:bookmarkEnd w:id="11"/>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As of September 30, 2022, we classified $2.0 million of the remaining $3.9 million principal of the amended Credit Agreement to current portion of long-term debt on the unaudited condensed consolidated balance sheet.</w:t>
      </w:r>
    </w:p>
    <w:p>
      <w:pPr>
        <w:spacing w:after="0" w:line="44"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7. Liability Related to Sale of Royalties</w:t>
      </w:r>
    </w:p>
    <w:p>
      <w:pPr>
        <w:spacing w:after="0" w:line="11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In March 2021, we entered into and closed the Royalty Purchase Agreement with HCR pursuant to which we sold to HCR the right to receive royalty payments made by Pfizer in respect of global net sales of RUXIENCE. Under the terms of the agreement, we received $35.0 million at closing and we are eligible to receive additional payments in the aggregate of up to an additional $32.5 million based on the achievement of sales milestones in 2021, 2022 and 2023. We received the 2021 milestone payments in the collective amount of $10.0 million on March 8, 2022. The proceeds from these Milestone Amounts, net of transaction costs, were recorded as an additional liability related to the sale of royalties on the consolidated balance sheet as of March 31, 2022. We are eligible to receive additional Milestone Amounts in aggregate of up to $22.5 million based on achievement of sales milestones in 2022 and 2023.</w:t>
      </w:r>
    </w:p>
    <w:p>
      <w:pPr>
        <w:spacing w:after="0" w:line="71"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w:t>
      </w:r>
    </w:p>
    <w:p>
      <w:pPr>
        <w:spacing w:after="0" w:line="6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 xml:space="preserve">On April 1, 2022, the Company received a letter from Nasdaq indicating that it was not in compliance with Nasdaq Listing Rule 5550(b)(1). On June 7, 2022, we entered into and closed an amendment to our Royalty Purchase Agreement, resulting in the Company recognizing $37.2 million gain, which was the total balance of liability related to the sale of royalties on the closing date. The Amendment to Royalty Purchase Agreement allowed us to regain full compliance with Nasdaq Listing Rule 5550(b)(1) in a way that was non-dilutive for our shareholders. Pursuant to the Amendment to Royalty Purchase Agreement, we agreed to forego our right to receive 50% of RUXIENCE royalty revenue if HCR received aggregate royalty payments totaling 190% of the Investment Amount plus Milestone Amounts to the extent paid by HCR.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Times New Roman" w:cs="Times New Roman" w:eastAsia="Times New Roman" w:hAnsi="Times New Roman"/>
          <w:sz w:val="17"/>
          <w:szCs w:val="17"/>
          <w:i w:val="1"/>
          <w:iCs w:val="1"/>
          <w:color w:val="auto"/>
        </w:rPr>
        <w:t>Gains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Losses from Derecognition of Nonfinancial Assets </w:t>
      </w:r>
      <w:r>
        <w:rPr>
          <w:rFonts w:ascii="Times New Roman" w:cs="Times New Roman" w:eastAsia="Times New Roman" w:hAnsi="Times New Roman"/>
          <w:sz w:val="17"/>
          <w:szCs w:val="17"/>
          <w:color w:val="auto"/>
        </w:rPr>
        <w:t>and ASC 405-20,</w:t>
      </w:r>
      <w:r>
        <w:rPr>
          <w:rFonts w:ascii="Times New Roman" w:cs="Times New Roman" w:eastAsia="Times New Roman" w:hAnsi="Times New Roman"/>
          <w:sz w:val="17"/>
          <w:szCs w:val="17"/>
          <w:i w:val="1"/>
          <w:iCs w:val="1"/>
          <w:color w:val="auto"/>
        </w:rPr>
        <w:t xml:space="preserve"> Liabilities – Extinguishment of Liabilities</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 xml:space="preserve">The Amendment to Royalty Purchase Agreement continues to include the opportunity to earn up to $22.5 million of additional milestone payments (up to $12.5 million and $10 million for 2022 and 2023, respectively). The royalty revenue included in the consolidated statements of operations relates to the quarter ended March 31, 2022. Future milestone payments will be accounted for as variable consideration and recognized using the most likely method in accordance with ASC 610-20 </w:t>
      </w:r>
      <w:r>
        <w:rPr>
          <w:rFonts w:ascii="Times New Roman" w:cs="Times New Roman" w:eastAsia="Times New Roman" w:hAnsi="Times New Roman"/>
          <w:sz w:val="17"/>
          <w:szCs w:val="17"/>
          <w:i w:val="1"/>
          <w:iCs w:val="1"/>
          <w:color w:val="auto"/>
        </w:rPr>
        <w:t>Other Income — Gains and Losses from the Derecognition of Nonfinancial Assets</w:t>
      </w:r>
      <w:r>
        <w:rPr>
          <w:rFonts w:ascii="Times New Roman" w:cs="Times New Roman" w:eastAsia="Times New Roman" w:hAnsi="Times New Roman"/>
          <w:sz w:val="17"/>
          <w:szCs w:val="17"/>
          <w:color w:val="auto"/>
        </w:rPr>
        <w:t>.</w:t>
      </w:r>
    </w:p>
    <w:p>
      <w:pPr>
        <w:spacing w:after="0" w:line="66"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changes in the liability in the period related to the sale of royalties under the Royalty Purchase Agreement with HCR (in thousands):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For the Nine Months</w:t>
            </w: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For the Nine Months</w:t>
            </w:r>
          </w:p>
        </w:tc>
      </w:tr>
      <w:tr>
        <w:trPr>
          <w:trHeight w:val="155"/>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Ended September 30,</w:t>
            </w:r>
          </w:p>
        </w:tc>
        <w:tc>
          <w:tcPr>
            <w:tcW w:w="100" w:type="dxa"/>
            <w:vAlign w:val="bottom"/>
          </w:tcPr>
          <w:p>
            <w:pPr>
              <w:spacing w:after="0"/>
              <w:rPr>
                <w:sz w:val="13"/>
                <w:szCs w:val="13"/>
                <w:color w:val="auto"/>
              </w:rPr>
            </w:pPr>
          </w:p>
        </w:tc>
        <w:tc>
          <w:tcPr>
            <w:tcW w:w="150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Ended September 30,</w:t>
            </w:r>
          </w:p>
        </w:tc>
      </w:tr>
      <w:tr>
        <w:trPr>
          <w:trHeight w:val="167"/>
        </w:trPr>
        <w:tc>
          <w:tcPr>
            <w:tcW w:w="20" w:type="dxa"/>
            <w:vAlign w:val="bottom"/>
          </w:tcPr>
          <w:p>
            <w:pPr>
              <w:spacing w:after="0"/>
              <w:rPr>
                <w:sz w:val="14"/>
                <w:szCs w:val="14"/>
                <w:color w:val="auto"/>
              </w:rPr>
            </w:pPr>
          </w:p>
        </w:tc>
        <w:tc>
          <w:tcPr>
            <w:tcW w:w="574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Liability related to sale of royalties, beginning balance</w:t>
            </w: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sale of royalties, net of transaction costs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33,900</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Proceeds from milestone payments, net of transaction costs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5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Non-cash interest expense</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RUXIENCE royalties paid by Pfizer to HCR</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(6,779)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(5,529)</w:t>
            </w:r>
          </w:p>
        </w:tc>
      </w:tr>
      <w:tr>
        <w:trPr>
          <w:trHeight w:val="220"/>
        </w:trPr>
        <w:tc>
          <w:tcPr>
            <w:tcW w:w="20" w:type="dxa"/>
            <w:vAlign w:val="bottom"/>
          </w:tcPr>
          <w:p>
            <w:pPr>
              <w:spacing w:after="0"/>
              <w:rPr>
                <w:sz w:val="19"/>
                <w:szCs w:val="19"/>
                <w:color w:val="auto"/>
              </w:rPr>
            </w:pPr>
          </w:p>
        </w:tc>
        <w:tc>
          <w:tcPr>
            <w:tcW w:w="5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Gain from extinguishment of liability related to sale of royalties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20" w:type="dxa"/>
            <w:vAlign w:val="bottom"/>
          </w:tcPr>
          <w:p>
            <w:pPr>
              <w:spacing w:after="0"/>
              <w:rPr>
                <w:sz w:val="18"/>
                <w:szCs w:val="18"/>
                <w:color w:val="auto"/>
              </w:rPr>
            </w:pPr>
          </w:p>
        </w:tc>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Liability related to sale of royalties, ending balance</w:t>
            </w:r>
          </w:p>
        </w:tc>
        <w:tc>
          <w:tcPr>
            <w:tcW w:w="1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Current portion of liability related to sale of royalties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(13,369)</w:t>
            </w:r>
          </w:p>
        </w:tc>
      </w:tr>
      <w:tr>
        <w:trPr>
          <w:trHeight w:val="213"/>
        </w:trPr>
        <w:tc>
          <w:tcPr>
            <w:tcW w:w="20" w:type="dxa"/>
            <w:vAlign w:val="bottom"/>
          </w:tcPr>
          <w:p>
            <w:pPr>
              <w:spacing w:after="0"/>
              <w:rPr>
                <w:sz w:val="18"/>
                <w:szCs w:val="18"/>
                <w:color w:val="auto"/>
              </w:rPr>
            </w:pPr>
          </w:p>
        </w:tc>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Liability related to sale of royalties, non-current</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recorded non-cash interest expense through the date of the Amendment to Royalty Purchase Agreement.</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Office Space Lease - Operating</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we should not include any periods after the termination option when evaluating this amendment as we were not reasonably certain to not exercise the option, therefore we recorded our liability through April 30, 2023.</w:t>
      </w:r>
    </w:p>
    <w:p>
      <w:pPr>
        <w:spacing w:after="0" w:line="6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September 30, 2022, we are not reasonably certain to exercise the two options to extend the lease term. Therefore, pursuant to our May 26, 2022 amendment, we recorded our lease liability through April 30, 2030.</w:t>
      </w:r>
    </w:p>
    <w:p>
      <w:pPr>
        <w:spacing w:after="0" w:line="66" w:lineRule="exact"/>
        <w:rPr>
          <w:sz w:val="20"/>
          <w:szCs w:val="20"/>
          <w:color w:val="auto"/>
        </w:rPr>
      </w:pPr>
    </w:p>
    <w:p>
      <w:pPr>
        <w:jc w:val="both"/>
        <w:ind w:firstLine="510"/>
        <w:spacing w:after="0" w:line="265"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we recorded $0.2 million and $0.6 million related to variable lease expense, respectively.</w:t>
      </w: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Equipment Leases - Operating</w:t>
      </w:r>
    </w:p>
    <w:p>
      <w:pPr>
        <w:spacing w:after="0" w:line="119"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As of September 30, 2022, we had operating leases for four copiers in our Seattle, Washington headquarters. The future expense for these leases will be straight-line and will include any variable expenses that arise.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Equipment Lease – Financing</w:t>
      </w:r>
    </w:p>
    <w:p>
      <w:pPr>
        <w:spacing w:after="0" w:line="11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As of September 30, 2022, we did not have any lease classified as a financing lease. There were no financing lease payments in the three and nine months ended September 30, 2022. As of September 30, 2021, we had one equipment lease classified as a financing lease and the lease transferred ownership of the underlying asset to us at the end of the lease term in 2020. There were no financing lease payments in the three and nine months ended September 30, 2021.</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Components of lease expense:</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Nine Months</w:t>
            </w:r>
          </w:p>
        </w:tc>
        <w:tc>
          <w:tcPr>
            <w:tcW w:w="200" w:type="dxa"/>
            <w:vAlign w:val="bottom"/>
          </w:tcPr>
          <w:p>
            <w:pPr>
              <w:spacing w:after="0"/>
              <w:rPr>
                <w:sz w:val="13"/>
                <w:szCs w:val="13"/>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Three Months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For the Nine Months</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Ended September 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Ended September 30,</w:t>
            </w:r>
          </w:p>
        </w:tc>
        <w:tc>
          <w:tcPr>
            <w:tcW w:w="200" w:type="dxa"/>
            <w:vAlign w:val="bottom"/>
          </w:tcPr>
          <w:p>
            <w:pPr>
              <w:spacing w:after="0"/>
              <w:rPr>
                <w:sz w:val="13"/>
                <w:szCs w:val="13"/>
                <w:color w:val="auto"/>
              </w:rPr>
            </w:pPr>
          </w:p>
        </w:tc>
        <w:tc>
          <w:tcPr>
            <w:tcW w:w="13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Ended 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Ended September 30,</w:t>
            </w:r>
          </w:p>
        </w:tc>
        <w:tc>
          <w:tcPr>
            <w:tcW w:w="0" w:type="dxa"/>
            <w:vAlign w:val="bottom"/>
          </w:tcPr>
          <w:p>
            <w:pPr>
              <w:spacing w:after="0"/>
              <w:rPr>
                <w:sz w:val="1"/>
                <w:szCs w:val="1"/>
                <w:color w:val="auto"/>
              </w:rPr>
            </w:pPr>
          </w:p>
        </w:tc>
      </w:tr>
      <w:tr>
        <w:trPr>
          <w:trHeight w:val="16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40" w:type="dxa"/>
            <w:vAlign w:val="bottom"/>
            <w:gridSpan w:val="4"/>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40" w:type="dxa"/>
            <w:vAlign w:val="bottom"/>
          </w:tcPr>
          <w:p>
            <w:pPr>
              <w:spacing w:after="0"/>
              <w:rPr>
                <w:sz w:val="14"/>
                <w:szCs w:val="14"/>
                <w:color w:val="auto"/>
              </w:rPr>
            </w:pPr>
          </w:p>
        </w:tc>
        <w:tc>
          <w:tcPr>
            <w:tcW w:w="1200" w:type="dxa"/>
            <w:vAlign w:val="bottom"/>
            <w:gridSpan w:val="3"/>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right w:val="single" w:sz="8" w:color="CFF0FC"/>
            </w:tcBorders>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right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right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right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Total lease cost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2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Right of use assets acquired under operating leases:</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44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leases, excluding Seattle office lease</w:t>
            </w:r>
          </w:p>
        </w:tc>
        <w:tc>
          <w:tcPr>
            <w:tcW w:w="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Seattle office lease, including amendment</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5,406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leases</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0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440" w:type="dxa"/>
            <w:vAlign w:val="bottom"/>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Lease payments:</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21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For operating leases</w:t>
            </w:r>
          </w:p>
        </w:tc>
        <w:tc>
          <w:tcPr>
            <w:tcW w:w="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0"/>
        <w:spacing w:after="0" w:line="291" w:lineRule="auto"/>
        <w:rPr>
          <w:sz w:val="20"/>
          <w:szCs w:val="20"/>
          <w:color w:val="auto"/>
        </w:rPr>
      </w:pPr>
      <w:r>
        <w:rPr>
          <w:rFonts w:ascii="Times New Roman" w:cs="Times New Roman" w:eastAsia="Times New Roman" w:hAnsi="Times New Roman"/>
          <w:sz w:val="17"/>
          <w:szCs w:val="17"/>
          <w:color w:val="auto"/>
        </w:rPr>
        <w:t>The long-term portion of the lease liabilities is $6.2 million and the remainder of our lease liabilities are included in other current liabilities on our unaudited condensed consolidated balance sheets.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7"/>
          <w:szCs w:val="17"/>
          <w:color w:val="auto"/>
        </w:rPr>
        <w:t>As of September 30, 2022, the weighted average remaining lease term and weighted average discount rate for operating leases was 7.6 years and 12.03%.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2021, the weighted average remaining lease term and weighted average discount rate for operating leases was 1.6 years and 14.46%.</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9. Net Income (Loss) per Share</w:t>
      </w:r>
    </w:p>
    <w:p>
      <w:pPr>
        <w:spacing w:after="0" w:line="11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6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Common stock equivalents include warrants, stock options and unvested RSUs.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computation of basic and diluted net income (loss) per share (in thousands, except share and per share amounts):</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31"/>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income from continuing operations</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(7,077)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12,177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492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(6,997)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12,669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(22,185)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 and diluted net (loss) income per share from continuing operations: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w:t>
            </w:r>
          </w:p>
        </w:tc>
        <w:tc>
          <w:tcPr>
            <w:tcW w:w="4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(4.94)</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1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Basic and diluted net income per share from discontinued operations:</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0.10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Borders>
              <w:top w:val="single" w:sz="8" w:color="CFF0FC"/>
              <w:bottom w:val="single" w:sz="8" w:color="CFF0FC"/>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 w:type="dxa"/>
            <w:vAlign w:val="bottom"/>
          </w:tcPr>
          <w:p>
            <w:pPr>
              <w:spacing w:after="0"/>
              <w:rPr>
                <w:sz w:val="20"/>
                <w:szCs w:val="20"/>
                <w:color w:val="auto"/>
              </w:rPr>
            </w:pPr>
          </w:p>
        </w:tc>
        <w:tc>
          <w:tcPr>
            <w:tcW w:w="5160" w:type="dxa"/>
            <w:vAlign w:val="bottom"/>
            <w:tcBorders>
              <w:bottom w:val="single" w:sz="8" w:color="CFF0FC"/>
            </w:tcBorders>
            <w:vMerge w:val="continue"/>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0.10</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0" w:type="dxa"/>
            <w:vAlign w:val="bottom"/>
            <w:vMerge w:val="restart"/>
          </w:tcPr>
          <w:p>
            <w:pPr>
              <w:spacing w:after="0"/>
              <w:rPr>
                <w:sz w:val="17"/>
                <w:szCs w:val="17"/>
                <w:color w:val="auto"/>
              </w:rPr>
            </w:pPr>
          </w:p>
        </w:tc>
        <w:tc>
          <w:tcPr>
            <w:tcW w:w="5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Shares used in calculation: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5,090,592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4,891,881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5,017,684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4,617,357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4,891,881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5,019,552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4,617,357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represents all potentially dilutive shares: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4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Warrants</w:t>
            </w: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351</w:t>
            </w: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options to purchase common stock</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366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Unvested RSUs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227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use the treasury stock method when determining dilutive shares. As of September 30, 2022, we determined that outstanding warrants and options are not dilutive as the exercise prices were higher than our average share price for the three and nine months ended September 30, 2022. Unvested RSUs are the only dilutive shares included in the calculation of diluted earnings per share. For the three and nine months ended September 30, 2021, the Company was in a net loss position, therefore the share number used to calculate diluted earnings per share is the same as the basic earnings per share calculation.</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 10. Equity</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Equity Distribution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On December 14, 2020, we entered into an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In the nine months ended September 30, 2022, the Company issued 78,285 shares of common stock under the Equity Distribution Agreement. We received $0.4 million in proceeds from the issuance of these shares. We did not issue any shares under the Equity Distribution Agreement in the nine months ended September 30, 2021.</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Lincoln Park Purchase Agreement</w:t>
      </w:r>
    </w:p>
    <w:p>
      <w:pPr>
        <w:spacing w:after="0" w:line="117"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On February 16, 2022, we entered into a Purchase Agreement (2022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Purchase Agreement. We did not issue any shares of common stock for cash consideration to Lincoln Park under the Purchase Agreement in the nine months ended September 30, 2022. In the nine months ended September 30, 2021, we issued approximately 0.4 million shares of common stock to Lincoln Park under the 2018 Purchase Agreement and received $10.2 million in proceeds from issuance of these shares.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Rights Plan</w:t>
      </w:r>
    </w:p>
    <w:p>
      <w:pPr>
        <w:spacing w:after="0" w:line="117"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 and further amended on November 4, 2022 to extend the expiration of such agreement to November 4, 2023.</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2016 Stock Incentive Plan</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On August 1, 2016, the Company adopted the 2016 Stock Incentive Plan (2016 SIP). A total of 0.2 million shares of Aptevo common stock have been authorized for issuance under the 2016 SIP in the form of equity stock options.</w:t>
      </w:r>
    </w:p>
    <w:p>
      <w:pPr>
        <w:spacing w:after="0" w:line="44"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May 31, 2017, at the 2017 Annual Meeting of Stockholders,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our Board.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2018 Stock Incentive Plan</w:t>
      </w:r>
    </w:p>
    <w:p>
      <w:pPr>
        <w:spacing w:after="0" w:line="13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June 7, 2022, at the 2022 Annual Meeting of Stockholders, our stockholders approved the Amended and Restated 2018 SIP to increase the number of shares authorized for issuance under the 2018 SIP by 500,000 shares of common stock. As of September 30, 2022, there are approximately 0.4 million shares available to be granted under the 2018 SIP.</w:t>
      </w:r>
    </w:p>
    <w:p>
      <w:pPr>
        <w:spacing w:after="0" w:line="58"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19"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Stock-based compensation expense includes amortization of stock options and RSUs granted to employees and non-employees and has been reported in our unaudited condensed consolidated statements of operations as follows: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67"/>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960" w:type="dxa"/>
            <w:vAlign w:val="bottom"/>
            <w:gridSpan w:val="2"/>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cancelled.</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Aptevo utilizes the Black-Scholes valuation model for estimating the fair value of all stock options granted. Set forth below are the assumptions used in valuing the stock options granted:</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4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3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w:t>
            </w: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3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48"/>
        </w:trPr>
        <w:tc>
          <w:tcPr>
            <w:tcW w:w="20" w:type="dxa"/>
            <w:vAlign w:val="bottom"/>
          </w:tcPr>
          <w:p>
            <w:pPr>
              <w:spacing w:after="0"/>
              <w:rPr>
                <w:sz w:val="12"/>
                <w:szCs w:val="12"/>
                <w:color w:val="auto"/>
              </w:rPr>
            </w:pPr>
          </w:p>
        </w:tc>
        <w:tc>
          <w:tcPr>
            <w:tcW w:w="530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top w:val="single" w:sz="8" w:color="auto"/>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FF0FC"/>
            </w:tcBorders>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105.56%</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97.59%</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106.24%</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99.30%</w:t>
            </w:r>
          </w:p>
        </w:tc>
        <w:tc>
          <w:tcPr>
            <w:tcW w:w="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2.96%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0.96%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1.71%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Expected average life of options</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 years</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6 years</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5 years</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20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Management has applied an estimated forfeiture rate of 30% for the three and nine months ended September 30, 2022, and 20% and 22% for the three months and nine months ended September 30, 2021, respectively. Expected volatility increased as our stock price fluctuated from a low of $2.95 to a high of $4.59 for the three months ended September 30, 2022, compared to a low of $15.01 to a high of $22.16 for the three months ended September 30, 2021.</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option activity for the nine months ended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1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00" w:type="dxa"/>
            <w:vAlign w:val="bottom"/>
          </w:tcPr>
          <w:p>
            <w:pPr>
              <w:jc w:val="center"/>
              <w:ind w:right="19"/>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Remaining Term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0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334,412</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19.17</w:t>
            </w: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rPr>
              <w:t>8.70</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210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69,588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5.61</w:t>
            </w:r>
          </w:p>
        </w:tc>
        <w:tc>
          <w:tcPr>
            <w:tcW w:w="1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6.97</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(37,945)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25.82</w:t>
            </w:r>
          </w:p>
        </w:tc>
        <w:tc>
          <w:tcPr>
            <w:tcW w:w="1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Outstanding at September 30, 2022</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365,970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15.83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auto"/>
              </w:rPr>
              <w:t>Exercisable at September 30, 2022</w:t>
            </w: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00" w:type="dxa"/>
            <w:vAlign w:val="bottom"/>
            <w:gridSpan w:val="2"/>
            <w:vMerge w:val="continue"/>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185,256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13.74</w:t>
            </w: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6.52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Vested and expected to vest at September 30, 2022</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311,028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15.72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As of September 30, 2022, we had $2.1 million of unrecognized compensation expense related to options expected to vest over a weighted average remaining vesting period of 1.6 years. The weighted-average grant date fair value per share of options granted during the nine months ended September 30, 2022 and 2021 was $4.35 and $23.60, respectively. The aggregate intrinsic value of options exercised for the nine months ended September 30, 2022 and 2021 was $0 and $0.4 million, respectively. The total fair value of stock options vested for the nine months ended September 30, 2022 and 2021 was $1.3 million and $1.6 million, respectively.</w:t>
      </w:r>
    </w:p>
    <w:p>
      <w:pPr>
        <w:spacing w:after="0" w:line="6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(the difference between the closing stock price of Aptevo’s common stock on the last trading day of September 2022 and the exercise price, multiplied by the number of in the money options) that would have been received by the option holders had all the option holders exercised their options on the last trading day of the quarter.</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RSU activity for the nine months ended September 30, 2022:</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5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Value per Unit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56,810</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30.66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5.05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(15,699)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30.88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22.37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Outstanding and expected to vest at September 30,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227,439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As of September 30, 2022, there was $1.7 million unrecognized stock-based compensation expense related to unvested RSUs expected to vest over the weighted average period of 1.8 years. As of September 30, 2021, there was $1.7 million unrecognized stock-based compensation expense related to unvested RSUs expected to vest over the weighted average period of 2.4 years.</w:t>
      </w:r>
    </w:p>
    <w:p>
      <w:pPr>
        <w:spacing w:after="0" w:line="58"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fair value of each RSU has been determined to be the closing trading price of the Company’s common stock on the date of grant as quoted on the Nasdaq Capital Market.</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Warrants</w:t>
      </w:r>
    </w:p>
    <w:p>
      <w:pPr>
        <w:spacing w:after="0" w:line="11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These are therefore included within equity on our unaudited condensed consolidated balance sheet. For the three months ended September 30, 2022 and 2021, the Company did not have any of its warrants exercised. As of September 30, 2022 and 2021, there were warrants to purchase 350,589 shares of common stock outstanding.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royalty payments,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“pursuing,” “should”, “will,” “would” and similar expressions (including the negatives thereof) are intended to identify forward-looking statements, although not all forward-looking statements contain these identifying words.</w:t>
      </w:r>
    </w:p>
    <w:p>
      <w:pPr>
        <w:spacing w:after="0" w:line="66"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70"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7"/>
          <w:szCs w:val="17"/>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2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 Currently, APVO436 is being evaluated in an open-label, multi-center, multi-cohort Phase 1b expansion trial in the U.S. We filed an IND with the FDA for ALG.APV-527 in the second half of 2022 and received a “may proceed” notification, allowing us and our partner, Alligator, to initiate a multi-center Phase 1 clinical trial.</w:t>
      </w:r>
    </w:p>
    <w:p>
      <w:pPr>
        <w:spacing w:after="0" w:line="7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7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a preclinical candidate based on the ADAPTIR-FLEX platform which is advancing in our pipeline. We are developing our ADAPTIR and ADAPTIR-FLEX molecules by way of our protein engineering, preclinical development, process development, and clinical development capabilities.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Announced acceptance of a poster presentation at 64th American Society of Hematology (ASH) Annual Meeting and Exposition being held December 10-13 in New Orleans, Louisiana. The poster, entitled “</w:t>
      </w:r>
      <w:r>
        <w:rPr>
          <w:rFonts w:ascii="Times New Roman" w:cs="Times New Roman" w:eastAsia="Times New Roman" w:hAnsi="Times New Roman"/>
          <w:sz w:val="17"/>
          <w:szCs w:val="17"/>
          <w:i w:val="1"/>
          <w:iCs w:val="1"/>
          <w:color w:val="auto"/>
        </w:rPr>
        <w:t>Updated Results from a Phase 1 Study of APVO436, a Novel Bispecific Anti-CD123 x Anti-CD3 ADAPTIR™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Molecule, in Relapsed/Refractory Acute Myeloid Leukemia and Myelodysplastic Syndrome</w:t>
      </w:r>
      <w:r>
        <w:rPr>
          <w:rFonts w:ascii="Times New Roman" w:cs="Times New Roman" w:eastAsia="Times New Roman" w:hAnsi="Times New Roman"/>
          <w:sz w:val="17"/>
          <w:szCs w:val="17"/>
          <w:color w:val="auto"/>
        </w:rPr>
        <w:t>” will be presented on Sunday, December 11, 2022 from 6:00 PM-8:00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PM Central Time.</w:t>
      </w:r>
    </w:p>
    <w:p>
      <w:pPr>
        <w:spacing w:after="0" w:line="66"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We submitted an IND with the FDA for ALG.APV-527 and received a “may proceed” notification on September 19, 2022, allowing us to initiate a multi-center Phase 1 clinical trial evaluating the compound for the treatment of 5T4-expressing tumors in multiple solid tumor malignancies. We and our partner, Alligator, are working to initiate this trial in the US.</w:t>
      </w:r>
    </w:p>
    <w:p>
      <w:pPr>
        <w:spacing w:after="0" w:line="58"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Continued dosing patients in our Phase 1b expansion program evaluating APVO436 for the treatment of acute myeloid leukemia in both combination therapy and monotherapy.</w:t>
      </w:r>
    </w:p>
    <w:p>
      <w:pPr>
        <w:spacing w:after="0" w:line="44"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August 30, 2022, we amended our Credit Agreement with MidCap Financial to replace the LIBOR benchmark with SOFR, which is regulated by Federal Reserve Bank of New York. We amended our Credit Agreement due to FCA’s planned phase-out of one-month US Dollar LIBOR settings in 2023. Our Credit Agreement continues to bear base interest at a rate of 6.25% per annum plus SOFR, subject to a 1.50% SOFR floor and a 2.50% SOFR cap.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7"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financial statements for additional information.</w:t>
      </w:r>
    </w:p>
    <w:p>
      <w:pPr>
        <w:spacing w:after="0" w:line="160" w:lineRule="exact"/>
        <w:rPr>
          <w:sz w:val="20"/>
          <w:szCs w:val="20"/>
          <w:color w:val="auto"/>
        </w:rPr>
      </w:pPr>
    </w:p>
    <w:p>
      <w:pPr>
        <w:ind w:left="520" w:right="3740"/>
        <w:spacing w:after="0" w:line="382" w:lineRule="auto"/>
        <w:rPr>
          <w:sz w:val="20"/>
          <w:szCs w:val="20"/>
          <w:color w:val="auto"/>
        </w:rPr>
      </w:pPr>
      <w:r>
        <w:rPr>
          <w:rFonts w:ascii="Times New Roman" w:cs="Times New Roman" w:eastAsia="Times New Roman" w:hAnsi="Times New Roman"/>
          <w:sz w:val="17"/>
          <w:szCs w:val="17"/>
          <w:b w:val="1"/>
          <w:bCs w:val="1"/>
          <w:color w:val="auto"/>
        </w:rPr>
        <w:t>Comparison of the Three and Nine Months Ended September 30, 2022 and September 30, 2021 Royalty Revenue</w:t>
      </w:r>
    </w:p>
    <w:p>
      <w:pPr>
        <w:spacing w:after="0" w:line="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For the three and nine months ended September 30, 2022, royalty revenue was $0 and $3.1 million, respectively. Royalty revenue for the period covered by this report reflects revenue recorded only in the first quarter of 2022 due to our Amendment to Royalty Purchase Agreement with HCR (see Note 7). As a result of the amendment, we ceased reporting as royalty revenue, royalties paid by Pfizer to HCR related to Pfizer’s sales of RUXIENCE. For the three and nine month ended September 30, 2021, royalty revenue was $3.1 million and $8.6 million, respectively. The royalty revenue from Pfizer related to a Collaboration and License Agreement (Definitive Agreement) acquired by Aptevo as part of our spin-off from Emergent in 2016. The agreement was originally executed by Trubion Pharmaceuticals, which was subsequently acquired by Emergent, and Wyeth, a wholly owned subsidiary of Pfizer.</w:t>
      </w:r>
    </w:p>
    <w:p>
      <w:pPr>
        <w:spacing w:after="0" w:line="7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On March 30, 2021, we entered into and closed a Royalty Purchase Agreement with an entity managed by HCR pursuant to which we sold to HCR the right to receive royalty payments made by Pfizer in respect of net sales of RUXIENCE. Under the terms of the Royalty Purchase Agreement, the Company received $35 million at closing and we are eligible to receive additional payments in the aggregate of up to an additional $32.5 million based on the achievement of sales milestones in 2021, 2022 and 2023.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w:t>
      </w:r>
    </w:p>
    <w:p>
      <w:pPr>
        <w:spacing w:after="0" w:line="71"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w:t>
      </w:r>
    </w:p>
    <w:p>
      <w:pPr>
        <w:spacing w:after="0" w:line="6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 xml:space="preserve">In order to non-dilutively address a Nasdaq listing compliance matter, on June 7, 2022, we entered into and closed an amendment to the Royalty Purchase Agreement (the Amendment to Royalty Purchase Agreement), pursuant to which we agreed to forego our right to receive 50% of RUXIENCE royalty revenue if HCR received aggregate royalty payments totaling 190% of the Investment Amount plus Milestone Amounts to the extent paid by HCR. The Amendment to Royalty Purchase Agreement continues to include the opportunity to earn up to $22.5 million of additional Milestone Amounts (up to $12.5 million and $10 million for 2022 and 2023, respectively). The Amendment to Royalty Purchase Agreement eliminated all of our continuing involvement with the cash generating activities related to the royalties and removed all restrictions related to HCR’s rate of return and therefore was accounted for under ASC 610-20, </w:t>
      </w:r>
      <w:r>
        <w:rPr>
          <w:rFonts w:ascii="Times New Roman" w:cs="Times New Roman" w:eastAsia="Times New Roman" w:hAnsi="Times New Roman"/>
          <w:sz w:val="17"/>
          <w:szCs w:val="17"/>
          <w:i w:val="1"/>
          <w:iCs w:val="1"/>
          <w:color w:val="auto"/>
        </w:rPr>
        <w:t>Gains and Losses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from Derecognition of Nonfinancial Assets </w:t>
      </w:r>
      <w:r>
        <w:rPr>
          <w:rFonts w:ascii="Times New Roman" w:cs="Times New Roman" w:eastAsia="Times New Roman" w:hAnsi="Times New Roman"/>
          <w:sz w:val="17"/>
          <w:szCs w:val="17"/>
          <w:color w:val="auto"/>
        </w:rPr>
        <w:t>and ASC 405-20,</w:t>
      </w:r>
      <w:r>
        <w:rPr>
          <w:rFonts w:ascii="Times New Roman" w:cs="Times New Roman" w:eastAsia="Times New Roman" w:hAnsi="Times New Roman"/>
          <w:sz w:val="17"/>
          <w:szCs w:val="17"/>
          <w:i w:val="1"/>
          <w:iCs w:val="1"/>
          <w:color w:val="auto"/>
        </w:rPr>
        <w:t xml:space="preserve"> Liabilities – Extinguishment of Liabilities</w:t>
      </w:r>
      <w:r>
        <w:rPr>
          <w:rFonts w:ascii="Times New Roman" w:cs="Times New Roman" w:eastAsia="Times New Roman" w:hAnsi="Times New Roman"/>
          <w:sz w:val="17"/>
          <w:szCs w:val="17"/>
          <w:color w:val="auto"/>
        </w:rPr>
        <w:t>, resulting in recognition of $37.2 million gain, which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total balance of the liability related to the sale of royalties on the closing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expense research and development costs as incurred. These expenses consist primarily of the costs associated with our research and development activities, including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69" w:lineRule="exact"/>
        <w:rPr>
          <w:sz w:val="20"/>
          <w:szCs w:val="20"/>
          <w:color w:val="auto"/>
        </w:rPr>
      </w:pPr>
    </w:p>
    <w:p>
      <w:pPr>
        <w:ind w:left="1020" w:hanging="511"/>
        <w:spacing w:after="0" w:line="291"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salaries and related expenses, including stock-based compensation and benefits for our employees involved in our drug discovery and development activities;</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consulting costs related to our clinical and pre-clinical programs;</w:t>
      </w:r>
    </w:p>
    <w:p>
      <w:pPr>
        <w:spacing w:after="0" w:line="115"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research and development expense incurred under agreements with third-party contract research organizations (CRO’s) and investigative sites;</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material expense for third-party manufacturing; and,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overhead costs such as rent, utilities and depreciation.</w:t>
      </w:r>
    </w:p>
    <w:p>
      <w:pPr>
        <w:spacing w:after="0" w:line="115"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due to the ongoing COVID-19 pandemic.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research and development expenses by program for the three and nine months ended September 30, 2022 and 2021 are shown in the following table:</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September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Clinical programs:</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APVO436</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5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240" w:type="dxa"/>
            <w:vAlign w:val="bottom"/>
          </w:tcPr>
          <w:p>
            <w:pPr>
              <w:spacing w:after="0"/>
              <w:rPr>
                <w:sz w:val="19"/>
                <w:szCs w:val="19"/>
                <w:color w:val="auto"/>
              </w:rPr>
            </w:pP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Preclinical program, general research and discovery</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For the Nine Months Ended September 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Clinical programs:</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APVO436</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4,532</w:t>
            </w:r>
          </w:p>
        </w:tc>
        <w:tc>
          <w:tcPr>
            <w:tcW w:w="5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w:t>
            </w:r>
          </w:p>
        </w:tc>
        <w:tc>
          <w:tcPr>
            <w:tcW w:w="240" w:type="dxa"/>
            <w:vAlign w:val="bottom"/>
          </w:tcPr>
          <w:p>
            <w:pPr>
              <w:spacing w:after="0"/>
              <w:rPr>
                <w:sz w:val="19"/>
                <w:szCs w:val="19"/>
                <w:color w:val="auto"/>
              </w:rPr>
            </w:pP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Preclinical program, general research and discovery</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8,676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(2,112)</w:t>
            </w:r>
          </w:p>
        </w:tc>
        <w:tc>
          <w:tcPr>
            <w:tcW w:w="0" w:type="dxa"/>
            <w:vAlign w:val="bottom"/>
          </w:tcPr>
          <w:p>
            <w:pPr>
              <w:spacing w:after="0"/>
              <w:rPr>
                <w:sz w:val="1"/>
                <w:szCs w:val="1"/>
                <w:color w:val="auto"/>
              </w:rPr>
            </w:pPr>
          </w:p>
        </w:tc>
      </w:tr>
      <w:tr>
        <w:trPr>
          <w:trHeight w:val="213"/>
        </w:trPr>
        <w:tc>
          <w:tcPr>
            <w:tcW w:w="4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For the three months ended September 30, 2022, research and development expenses increased by $0.1 million, to $4.5 million from $4.4 million for September 30, 2021. The increase in the third quarter was primarily due to higher spending on our APVO436 clinical trial as we continue to advance that trial in our Phase 1b expansion program. For the nine months ended September 30, 2022, research and development expenses decreased by $1.2 million, to $13.2 million from $14.4 million for September 30, 2021. The decrease was primarily due to lower spending on preclinical projects and employee costs. The decrease was partially offset by higher spending on our APVO436 clinical trial as we continue to dose patients in our Phase 1b expansion program.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p>
      <w:pPr>
        <w:spacing w:after="0" w:line="117"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For the three months ended September 30, 2022, general and administrative expenses decreased by $0.2 million, to $3.3 million from $3.5 million for September 30, 2021. The decrease in the third quarter is primarily due to lower employee and consulting costs. For the nine months ended September 30, 2022, general and administrative expenses decreased by $0.6 million, to $10.9 million from $11.5 million for September 30, 2021. The decrease is primarily due to lower employee costs and lower costs related to responding to stockholder activism matters.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Other income (expense), net consists primarily of gain on extinguishment of liabilities, costs related to debt extinguishment, accrued exit fees on debt, non-cash interest on financing agreements, and interest on debt.</w: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Other Expense, Net</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Other expense, net was $0.3 million and $4.0 million for the three and nine months ended September 30, 2022, respectively. Other expense, net was $2.3 million and $5.5 million for the three and nine months ended September 30, 2021, respectively. This decrease is primarily due to significant decrease of non-cash interest expenses recorded for the same periods in 2022. We no longer record non-cash interest expense due to our Amendment to the Royalty Purchase Agreement in the second quarter of 2022, which eliminated liability related to the sale of royalties. Additionally, interest expense on our MidCap Credit Agreement has decreased due to principal payments made in 2022.</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Gain on Extinguishment of Liability Related to Royalties</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We recorded $37.2 million in other income for the nine months ended September 30, 2022, due to our Amendment to Royalty Purchase Agreement (see Note 7). We did not have any such gain for the comparative period in the prior year.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Discontinued Operations</w:t>
      </w:r>
    </w:p>
    <w:p>
      <w:pPr>
        <w:spacing w:after="0" w:line="117"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58"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following table represents the components attributable to income from discontinued operations in the unaudited condensed consolidated statements of operations (in thousands):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20" w:type="dxa"/>
            <w:vAlign w:val="bottom"/>
            <w:gridSpan w:val="4"/>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1020" w:type="dxa"/>
            <w:vAlign w:val="bottom"/>
            <w:gridSpan w:val="2"/>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payment from Medexus</w:t>
            </w:r>
          </w:p>
        </w:tc>
        <w:tc>
          <w:tcPr>
            <w:tcW w:w="1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2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top w:val="single" w:sz="8" w:color="CFF0FC"/>
            </w:tcBorders>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Gain on contingent consideration from Saol</w:t>
            </w:r>
          </w:p>
        </w:tc>
        <w:tc>
          <w:tcPr>
            <w:tcW w:w="1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Borders>
              <w:bottom w:val="single" w:sz="8" w:color="CFF0FC"/>
            </w:tcBorders>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1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2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For the nine months ended September 30, 2022, we collected $0.5 million in deferred payments from Medexus related to IXINITY sales. For the nine months ended September 30, 2021, we collected $0.2 million related to the sale of the hyperimmune business to Saol as a result of the collection of certain accounts receivable and a deferred payment of $0.4 million received from Medexus related IXINITY sales. Pursuant to our LLC Purchase Agreement, the rate for deferred payments increased from 2% to 5% of net sales as of June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1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Refer to Note 1 for discussion of our accounting policies, significant judgments, and estimates.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The following table provides information regarding our cash flows for the nine months ended September 30, </w:t>
      </w:r>
      <w:r>
        <w:rPr>
          <w:rFonts w:ascii="Times New Roman" w:cs="Times New Roman" w:eastAsia="Times New Roman" w:hAnsi="Times New Roman"/>
          <w:sz w:val="17"/>
          <w:szCs w:val="17"/>
          <w:color w:val="231F20"/>
        </w:rPr>
        <w:t>2022 and 2021:</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8"/>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99"/>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(15,083)</w:t>
            </w:r>
          </w:p>
        </w:tc>
        <w:tc>
          <w:tcPr>
            <w:tcW w:w="42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(17,799)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10,843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Net cash used in operating activities of $15.1 million for the nine months ended September 30, 2022 was primarily due to changes in working capital accounts and our operating cash burn. Net cash used in operating activities of $17.8 million for the nine months ended September 30, 2021, was primarily due to our net loss of $22.2 million and changes in working capital accounts.</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2022 and 2021, was due to purchases of property and equipment.</w:t>
      </w:r>
    </w:p>
    <w:p>
      <w:pPr>
        <w:spacing w:after="0" w:line="115"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Net cash used in financing activities for the nine months ended September 30, 2022 was primarily due to the $11.8 million of repayments of the MidCap Financial term loan, and $6.8 million royalties received from Pfizer by HCR pursuant to our Royalty Purchase Agreement. This was offset by the $10 million milestone received by Aptevo from HCR related to the sale of royalties, net of $0.5 million transaction costs, and $0.4 million proceeds received from issuance of common stock pursuant to our Equity Distribution Agreement with Piper Sandler. Net cash provided by financing activities for the nine months ended September 30, 2021, was primarily due to the $35.0 million received from HCR related to the Royalty Purchase Agreement, net of $1.1 million transaction costs, $10.2 million received from the common stock sold to Lincoln Park, and $1.3 million proceeds received from exercise of warrants and stock options. This was offset by the $10.5 million repayment of the MidCap Financial term loan and $5.5 million royalties received from Pfizer by HCR pursuant to our Royalty Purchase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Royalty Purchase Agreement and Milestone Payments</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On March 30, 2021, we entered into Royalty Purchase Agreement with HCR pursuant to which we sold HCR the right to receive royalty payments made by Pfizer in respect to net sale of RUXIENCE. Under the Royalty Purchase Agreement, we received $35 million at closing and incurred $1.1 million in transaction costs. We are eligible to receive additional payments in aggregate of up to an additional $32.5 million based on achievement of sales milestones in 2021, 2022 and 2023. The Company received the 2021 milestone payments in the collective amount of $10 million in March, 2022 and is eligible to receive additional payments in aggregate of up to $22.5 million based on achievement of sales milestones in 2022 and 2023.</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IXINITY Royalty Payments</w:t>
      </w:r>
    </w:p>
    <w:p>
      <w:pPr>
        <w:spacing w:after="0" w:line="11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On February 28, 2020, Aptevo entered into an LLC Purchase Agreement with Medexus, pursuant to which we sold all of the issued and outstanding limited liability company interests of Aptevo BioTherapeutics LLC, a wholly owned subsidiary of Aptevo. In addition to the payment received at closing, the Company receives deferred payments based on quarterly net sales of IXINITY and may also earn milestones from Medexus in the future. Pursuant to our LLC Purchase Agreement, the rate for deferred payments increased from 2% to 5% of net sales as of June 30, 2022. For the nine months ended September 30, 2022, Aptevo received $0.5 million in deferred payments from Medexus related to IXINITY sales.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Equity Distribution Agreement</w:t>
      </w:r>
    </w:p>
    <w:p>
      <w:pPr>
        <w:spacing w:after="0" w:line="117"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In the nine months ended September 30, 2022, the Company issued 78,285 shares of common stock under the Equity Distribution Agreement. We received $0.4 million in proceeds from issuance of these shares. We did not issue any shares under the Equity Distribution Agreement in the three or nine months ended September 30, 2021.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22" w:name="page23"/>
    <w:bookmarkEnd w:id="22"/>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Registration Statement</w:t>
      </w:r>
    </w:p>
    <w:p>
      <w:pPr>
        <w:spacing w:after="0" w:line="11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On December 14, 2020, we filed a Registration Statement on Form S-3 covering the offering, issuance, and sale of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Equity Distribution Agreement and the prospectus, we will file another amendment to the prospectus supplement prior to making additional sales. The limitations of General Instruction I.B.6 do not apply to sales of our shares under our Purchase Agreement with Lincoln Park Financial LLC as those sales were committed prior to us being subject to the limitations of General Instruction I.B.6.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Lincoln Park Purchase Agreement</w:t>
      </w:r>
    </w:p>
    <w:p>
      <w:pPr>
        <w:spacing w:after="0" w:line="234"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On February 16, 2022, we entered into a new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issued 99,276 shares of our common stock to Lincoln Park for no cash consideration as an initial fee for its commitment to purchase shares of our common stock under the Purchase Agreement. The Company did not issue any shares of common stock for cash consideration to Lincoln Park under the Purchase Agreement in the nine months ended September 30, 2022.</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u w:val="single" w:color="auto"/>
          <w:color w:val="auto"/>
        </w:rPr>
        <w:t>Warrants</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On March 11, 2019, we completed a public offering of common stock and warrants, as follows:</w:t>
      </w:r>
    </w:p>
    <w:p>
      <w:pPr>
        <w:spacing w:after="0" w:line="115" w:lineRule="exact"/>
        <w:rPr>
          <w:sz w:val="20"/>
          <w:szCs w:val="20"/>
          <w:color w:val="auto"/>
        </w:rPr>
      </w:pPr>
    </w:p>
    <w:p>
      <w:pPr>
        <w:ind w:left="1020" w:hanging="511"/>
        <w:spacing w:after="0" w:line="291"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6"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26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For the nine months ended September 30, 2022, the Company did not have any of its warrants exercised. For the nine months ended September 30, 2021, certain holders of the Company’s warrants exercised warrants with strike price of $18.20 per share, resulting in the issuance of 54,105 shares of the Company’s common stock and aggregate proceeds to the Company of approximately $1.0 million. As of September 30, 2022 and 2021, there were warrants to purchase 350,589 shares of common stock outstanding.</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1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cash and cash equivalents of $22.1 million, restricted cash of $0.4 million and an accumulated deficit of $201.4 million as of September 30,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7"/>
          <w:szCs w:val="17"/>
          <w:color w:val="auto"/>
        </w:rPr>
        <w:t>For the nine months ended September 30, 2022, net cash used in our operating activities was $15.1 million.</w:t>
      </w:r>
    </w:p>
    <w:p>
      <w:pPr>
        <w:spacing w:after="0" w:line="115"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7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Due to the ongoing COVID-19 pandemic, including if any new variants emerge, and macroeconomic environment, we may experience delays in opportunities to partner our product candidates, due to financial and other impacts on potential partners. Additionally, we may experience potential impacts on our future deferred payments and milestones from Medexus due to effects of macroeconomic impacts, including, but not limited to, the ongoing COVID-19 pandemic, and rising inflation, which may impact Medexus’ ability to continue to successfully commercialize the IXINITY businesses. Additionally, we may experience potential impacts on our future milestones, which are based on global net sales of RUXIENCE, from HCR due to the effects of the ongoing COVID-19 pandemic and macroeconomic environment, which may impact Pfizer’s ability to continue to successfully commercialize the RUXIENCE business. We believe that our existing cash resources, milestone payments related to the Royalty Purchase Agreement with HCR, funds available under Purchase Agreement with Lincoln Park and the Equity Distribution Agreement with Piper Sandler, cash to be generated from future deferred payments and milestones related to IXINITY sales and approvals by Medexus, and release of restricted cash securing letters of credit, will be sufficient to meet our projected operating requirements and debt service for at least twelve months from the date of filing this Quarterly Report on Form 10-Q.</w:t>
      </w:r>
    </w:p>
    <w:p>
      <w:pPr>
        <w:spacing w:after="0" w:line="74"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44" w:lineRule="exact"/>
        <w:rPr>
          <w:sz w:val="20"/>
          <w:szCs w:val="20"/>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when needed or on acceptable terms;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profitability given our historical losses;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motivate and retain key personnel;</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ongoing COVID-19 pandemic to our business, including clinical trials;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the costs involved in, completing our clinical trials, and obtaining regulatory approvals for our product candidates;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regulatory clearance to commence clinical trials for product candidates;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partnerships, licensing or other arrangements and the financial terms of such agreements;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macroeconomic conditions, including rising inflation, interest rates and supply chain constraints;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our ADAPTIR or ADAPTIR-FLEX platforms;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our credit agreement and potential restrictions to our operations and availability of cash for investment in our business operations;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current and planned preclinical studies and clinical trials;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effectively conduct our clinical and non-clinical trials, and to effectively carry out their contractual duties, comply with regulatory requirements or meet expected deadlines;</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preparing, filing, prosecuting, maintaining, defending and enforcing patent claims, including litigation costs and the outcome of such litigation;</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commercialization activities if any of our product candidates are approved for sale, including marketing, sales, and distribution costs;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to what extent future milestones are received under our Royalty Purchase Agreement with HCR;</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ind w:left="1020" w:hanging="511"/>
        <w:spacing w:after="0"/>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amount of any milestone payments and deferred payments from Medexus with respect to IXINITY.</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we are unable to raise substantial additional capital in the next year, whether on terms that are acceptable to us or at all, then we may be required to:</w:t>
      </w:r>
    </w:p>
    <w:p>
      <w:pPr>
        <w:spacing w:after="0" w:line="115" w:lineRule="exact"/>
        <w:rPr>
          <w:sz w:val="20"/>
          <w:szCs w:val="20"/>
          <w:color w:val="auto"/>
        </w:rPr>
      </w:pPr>
    </w:p>
    <w:p>
      <w:pPr>
        <w:ind w:left="1020" w:hanging="511"/>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limit, reduce or terminate our clinical trials or other development activities for one or more of our product candidates; and/or,</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limit, reduce or terminate our establishment of other activities that may be necessary to commercialize our product candidates, if approved.</w:t>
      </w:r>
    </w:p>
    <w:p>
      <w:pPr>
        <w:spacing w:after="0" w:line="14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ongoing COVID-19 pandemic, including if any new variants emerge, and macroeconomic factors, we may experience delays in clinical trials and non-clinical work, and opportunities to partner our product candidates, due to financial and other impacts on potential partners.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119"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7"/>
          <w:szCs w:val="17"/>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on the date of the amendment.</w:t>
      </w:r>
    </w:p>
    <w:p>
      <w:pPr>
        <w:spacing w:after="0" w:line="62"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On August 5, 2020, we entered into a new Credit Agreement, with MidCap Financial which was subsequently amended. The Credit Agreement provided us with up to $25 million of available borrowing capacity. The MidCap Financial loan has a 48 month term, is interest-only for the first 18 months, with straight-line amortization for the remaining 30 months and bears interest at a rate of one month LIBOR plus 6.25% per annum, subject to a 1.50% LIBOR floor and a 2.50% LIBOR cap. On March 30, 2021, we amended our Credit Agreement with MidCap Financial and used $10 million of the proceeds received from the Royalty Purchase Agreement with HCR to pay down the outstanding principal under this agreement from $25 million to $15 million. Additionally, the Company used the $10 million milestone payment received on March 8, 2022, pursuant to our Royalty Purchase Agreement with HCR to further pay down the outstanding principal down to $5 million.</w:t>
      </w:r>
    </w:p>
    <w:p>
      <w:pPr>
        <w:spacing w:after="0" w:line="72"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On June 7, 2022, the Company further amended its Credit Agreement with MidCap Financial to obtain MidCap Financial’s limited consent to amend its Royalty Purchase Agreement with HCR. The Limited Consent and Second Amendment to Credit Agreement did not change future cash flows or other terms of the Credit Agreement.</w:t>
      </w:r>
    </w:p>
    <w:p>
      <w:pPr>
        <w:spacing w:after="0" w:line="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Additionally, on August 30, 2022, we amended our Credit Agreement with MidCap Financial to replace the LIBOR benchmark with SOFR, which is regulated by the Federal Reserve Bank of New York. Aptevo amended our Credit Agreement due to FCA’s planned phase-out of one-month US Dollar LIBOR settings in 2023. Our Credit Agreement continues to bear base interest at a rate of 6.25% per annum plus SOFR, subject to a 1.50% SOFR floor and a 2.50% SOFR cap.</w:t>
      </w:r>
    </w:p>
    <w:p>
      <w:pPr>
        <w:spacing w:after="0" w:line="6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As of September 30, 2022, there were no material changes to the information provided under Item 7A, Quantitative and Qualitative Disclosures About Market Risk in our Annual Report on Form 10-K for the year ended December 31, 2021 filed on March 24,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u w:val="single" w:color="auto"/>
          <w:color w:val="auto"/>
        </w:rPr>
        <w:t>Evaluation of Disclosure Controls and Procedures</w:t>
      </w:r>
    </w:p>
    <w:p>
      <w:pPr>
        <w:spacing w:after="0" w:line="117"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As of September 30, 2022,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September 30, 2022,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u w:val="single" w:color="auto"/>
          <w:color w:val="auto"/>
        </w:rPr>
        <w:t>Changes in Internal Control Over Financial Reporting</w:t>
      </w:r>
    </w:p>
    <w:p>
      <w:pPr>
        <w:spacing w:after="0" w:line="117"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44"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7"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5"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7"/>
          <w:szCs w:val="17"/>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the material risks to our business, operations, and ownership of our common stock:</w:t>
      </w:r>
    </w:p>
    <w:p>
      <w:pPr>
        <w:spacing w:after="0" w:line="115" w:lineRule="exact"/>
        <w:rPr>
          <w:sz w:val="20"/>
          <w:szCs w:val="20"/>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additional capital and may be unable to raise capital when needed or on acceptable terms.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losses and may not be profitable in the future.</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is dependent on our continued ability to attract, motivate and retain key personnel, and any failure to attract or retain key personnel may negatively affect our business.</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COVID-19 pandemic, including the identification of new variants of the COVID-19 virus, could adversely impact our business, including our clinical trials.</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success depends, in part, upon our ability to develop, receive regulatory approval for and commercialize our product candidates.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establishing and maintaining collaborations that leverage our capabilities in pursuit of developing and commercializing our product candidates.</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and will continue to face substantial competition and our failure to effectively compete may prevent us from achieving significant market penetration for our product candidates, if approved.</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affected by macroeconomic conditions, including rising inflation, interest rates, market volatility, economic uncertainty, and supply chain constraints.</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our efforts to use and further develop our ADAPTIR or ADAPTIR-FLEX platforms.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our intellectual proprietary rights, our business could be harmed.</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activist stockholders against us have been and could be disruptive and costly and may cause uncertainty about the strategic direction of our business.</w:t>
      </w:r>
    </w:p>
    <w:p>
      <w:pPr>
        <w:spacing w:after="0" w:line="43"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8"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58"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7" w:name="page28"/>
    <w:bookmarkEnd w:id="27"/>
    <w:p>
      <w:pPr>
        <w:jc w:val="both"/>
        <w:ind w:left="1020" w:hanging="511"/>
        <w:spacing w:after="0" w:line="273"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58"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may be volatile.</w:t>
      </w:r>
    </w:p>
    <w:p>
      <w:pPr>
        <w:spacing w:after="0" w:line="141"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58"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periodic litigation, which could result in losses or unexpected expenditure of time and resources.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income will depend, in part, on the ability of Medexus to successfully further develop, market and commercialize IXINITY, resulting in milestone payments and deferred payments to the Company by Medexus.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may not be profitable in the future.</w:t>
      </w:r>
    </w:p>
    <w:p>
      <w:pPr>
        <w:spacing w:after="0" w:line="11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have experienced significant operating losses in the past. For the nine months ended September 30, 2022, we had net income of $12.2 million compared to $22.2 million net loss for the same period in 2021. The net income for the nine months ended September 30, 2022 was due to a one-time $37.2 million gain recognized as a result of Amendment to Royalty Purchase Agreement with HCR. As of September 30, 2022, we had an accumulated deficit of $201.4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IXINITY deferred payment streams, the ability to receive Milestone Amounts under the Royalty Purchase Agreement with HCR, access to credit under the Credit Agreement with MidCap Financial, our ability to issue securities under the Equity Distribution Agreement with Piper Sandler and our Purchase Agreement with Lincoln Park Capital, and exercises of warrants will provide us with sufficient liquidity to meet our cash requirements through at least next twelve months, our future success and ability to attain profitability will depend upon our ability to develop and take to market our product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require additional capital and may be unable to raise capital when needed or on acceptable terms.</w:t>
      </w:r>
    </w:p>
    <w:p>
      <w:pPr>
        <w:spacing w:after="0" w:line="11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As of September 30, 2022, we had cash, cash equivalents, and restricted cash in the amount of $22.6 million. We will require additional funding to grow our business including to support the ongoing clinical development of APVO436,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71" w:lineRule="exact"/>
        <w:rPr>
          <w:sz w:val="20"/>
          <w:szCs w:val="20"/>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timing and receipt of any milestone or deferred payments under our agreement with Medexus with respect to the sales of IXINITY;</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to what extent future milestone payments are received under our Amendment to Royalty Purchase Agreement with HCR;</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invest in products or technologies;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satisfy the payment obligations and covenants under any future indebtedness;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secure partnerships and/or collaborations that generate additional cash;</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improvements to our facilities;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our development activities;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development costs, timing, and other requirements to complete dosing of our Phase 1b clinical trial for APVO436, as well as future clinical trials; and</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preparing, filing and prosecuting patent applications, obtaining, maintaining, enforcing and protecting our intellectual property rights and defending intellectual property-related claims.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interest rates, economic uncertainty and volatility in the capital market. Future issuances of common stock may include, but not be limited to, (i) any sale of up to the remaining $50.0 million worth of shares of our common stock pursuant to our Equity Distribution Agreement with Piper Sandler, (ii) any sale of up to $35 million worth of shares of our common stock to issue from our Purchase Agreement with Lincoln Park, (iii) the issuance of up to 350,589 remaining outstanding shares of common stock upon the exercise of warrants issued in connection with our March 2019 public offering of common stock and warrants or (iv) the issuance of common stock in a firm commitment offering.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7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Further, SEC regulations limit the amount of funds we can raise during any 12-month period pursuant to our shelf registration statement on Form S-3. On March 29, 2022, we filed an amendment to the prospectus related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1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business is affected by macroeconomic conditions, including rising inflation, interest rates, market volatility, economic uncertainty, and supply chain constraints.</w:t>
      </w:r>
    </w:p>
    <w:p>
      <w:pPr>
        <w:spacing w:after="0" w:line="4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Actions of activist stockholders against us have been and could be disruptive and costly and may cause uncertainty about the strategic direction of our business.</w:t>
      </w:r>
    </w:p>
    <w:p>
      <w:pPr>
        <w:spacing w:after="0" w:line="304"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7"/>
          <w:szCs w:val="17"/>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jc w:val="both"/>
        <w:spacing w:after="0" w:line="291" w:lineRule="auto"/>
        <w:rPr>
          <w:sz w:val="20"/>
          <w:szCs w:val="20"/>
          <w:color w:val="auto"/>
        </w:rPr>
      </w:pPr>
      <w:r>
        <w:rPr>
          <w:rFonts w:ascii="Times New Roman" w:cs="Times New Roman" w:eastAsia="Times New Roman" w:hAnsi="Times New Roman"/>
          <w:sz w:val="17"/>
          <w:szCs w:val="17"/>
          <w:color w:val="auto"/>
        </w:rPr>
        <w:t>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4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40"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7"/>
          <w:szCs w:val="17"/>
          <w:color w:val="auto"/>
        </w:rPr>
        <w:t>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royalty rate on net revenue of IXINITY increased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ongoing COVID-19 pandemic on the current and future environment for clinical development and regulatory approval, Medexus’ ability to continue to successfully commercialize the IXINITY business may be affected, and we may experience potential impacts on our future deferred payments from Medexus due to the macroeconomic environment and ongoing COVID-19 pandemic.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are unpredictable and may fluctuate.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operating results are difficult to predict and will likely fluctuate from quarter to quarter and year to year, as a result of a variety of factors, including:</w:t>
      </w:r>
    </w:p>
    <w:p>
      <w:pPr>
        <w:spacing w:after="0" w:line="115" w:lineRule="exact"/>
        <w:rPr>
          <w:sz w:val="20"/>
          <w:szCs w:val="20"/>
          <w:color w:val="auto"/>
        </w:rPr>
      </w:pPr>
    </w:p>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and timing of any milestone or deferred payments with respect to sales of IXINITY by Medexus;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to what extent future milestone payments are received under our Amendment to Royalty Purchase Agreement with HCR;</w:t>
      </w:r>
    </w:p>
    <w:p>
      <w:pPr>
        <w:spacing w:after="0" w:line="115"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58"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cost, and level of investment in our research and development and clinical activities as well as expenditures we will or may incur to acquire or develop additional technologies, products and product candidates.</w:t>
      </w:r>
    </w:p>
    <w:p>
      <w:pPr>
        <w:spacing w:after="0" w:line="4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Due to the ongoing COVID-19 pandemic and macroeconomic environment,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future cash flow will depend, in part, on the ability of Pfizer to successfully sell RUXIENCE and our receipt of milestone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Although the agreement was terminated in 2012, the royalty obligation thereunder survived.</w:t>
      </w:r>
    </w:p>
    <w:p>
      <w:pPr>
        <w:spacing w:after="0" w:line="7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at closing and we are eligible to receive additional payments in aggregate of up to an additional $32.5 million based on the achievement of sales milestones in 2021, 2022 and 2023. The Company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jc w:val="both"/>
        <w:spacing w:after="0" w:line="263" w:lineRule="auto"/>
        <w:rPr>
          <w:sz w:val="20"/>
          <w:szCs w:val="20"/>
          <w:color w:val="auto"/>
        </w:rPr>
      </w:pPr>
      <w:r>
        <w:rPr>
          <w:rFonts w:ascii="Times New Roman" w:cs="Times New Roman" w:eastAsia="Times New Roman" w:hAnsi="Times New Roman"/>
          <w:sz w:val="17"/>
          <w:szCs w:val="17"/>
          <w:color w:val="auto"/>
        </w:rPr>
        <w:t>milestones in 2022 and 2023. In order to non-dilutively address a Nasdaq listing compliance matter, on June 7, 2022, we entered into and closed an amendment to the Royalty Purchase Agreement (the Amendment to Royalty Purchase Agreement), pursuant to which we agreed to forego our right to receive 50% of RUXIENCE royalty revenue if HCR received aggregate royalty payments totaling 190% of the Investment Amount plus Milestone Amounts to the extent paid by HCR. The Amendment to Royalty Purchase Agreement continues to include the opportunity to earn up to $22.5 million of additional Milestone Amounts (up to $12.5 million and $10 million for 2022 and 2023, respectively).</w:t>
      </w:r>
    </w:p>
    <w:p>
      <w:pPr>
        <w:spacing w:after="0" w:line="6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We have no control over the sales of RUXIENCE and are therefore dependent on the efforts and ability of Pfizer to generate net sales of RUXIENCE sufficient for us to receive Milestone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face product liability exposure, which could cause us to incur substantial liabilities and negatively affect our business, financial condition, and results of operations.</w:t>
      </w:r>
    </w:p>
    <w:p>
      <w:pPr>
        <w:spacing w:after="0" w:line="40"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we cannot successfully defend ourselves against future claims that our product candidates caused injuries, we may incur substantial liabilities.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Regardless of merit or eventual outcome, product liability claims may result in:</w:t>
      </w:r>
    </w:p>
    <w:p>
      <w:pPr>
        <w:spacing w:after="0" w:line="97" w:lineRule="exact"/>
        <w:rPr>
          <w:sz w:val="20"/>
          <w:szCs w:val="20"/>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and/or injury to our reputation;</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or withdrawal of an approved product;</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commercialize products that we may develop.</w:t>
      </w:r>
    </w:p>
    <w:p>
      <w:pPr>
        <w:spacing w:after="0" w:line="14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4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General Counsel, SoYoung Kwon, our Senior Vice President of Finance, Daphne Taylor, or other key employees, our ability to implement our business strategy could be materially harmed. We face intense competition for qualified employees from biotechnology and pharmaceutical companies, research organizations and academic institutions. Moreover, we have experienced increased levels of attrition.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In addition, we have experienced and may experience an impact on the health of key personnel due to the ongoing COVID-19 pandemic.</w:t>
      </w:r>
    </w:p>
    <w:p>
      <w:pPr>
        <w:spacing w:after="0" w:line="381"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ongoing COVID-19 pandemic, including the identification of new variants of the COVID-19 virus, could adversely impact our business, including our clinical trials.</w:t>
      </w:r>
    </w:p>
    <w:p>
      <w:pPr>
        <w:spacing w:after="0" w:line="4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Since March of 2020, a novel strain of coronavirus, COVID-19, has spread through the world, including the United States. The COVID-19 pandemic has caused severe global economic and societal disruptions and uncertainties, and we have experienced disruptions that have impacted our business and clinical trials. Although nearly all of the restrictions placed to reduce the spread of COVID-19 have been lifted and COVID-19 vaccines are available, we may continue to experience disruptions in the future, or additional disruptions that could severely impact our business, such as delays or difficulties to the financing environment and raising capital due to economic 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or Pfizer to successfully commercialize RUXIENCE; and negative impacts on suppliers and licensees. In addition, global recovery has been inconsistent. For example, the People’s Republic of China continues to have lock-downs which is impacting the macroeconomic environment.</w:t>
      </w:r>
    </w:p>
    <w:p>
      <w:pPr>
        <w:spacing w:after="0" w:line="7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The extent to which the direct and indirect effects of the ongoing COVID-19 pandemic may impact our business and clinical trials will depend on future developments, which are highly uncertain and cannot be predicted with confidence. For example, new variants may emerge and may result in the need to delay initiation of trial sites,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7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The ongoing COVID-19 pandemic may further impact our suppliers and manufacturers. If any of our suppliers or manufacturers are adversely impacted by the COVID-19 pandemic,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7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The ongoing COVID-19 pandemic may result in changes in laws, policies, and regulations. By example, due to the potential impact of the COVID-19 pandemic on clinical trials, drug development, and manufacturing, FDA issued guidance several times concerning how sponsors and investigators may address these challenges. FDA’s guidance is continually evolving. This and any future changes in law may require that we change our internal processes and procedures to ensure continued compliance.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The terms of our credit agreement may restrict the operation of our business and limit the cash available for investment in our business operations.</w:t>
      </w:r>
    </w:p>
    <w:p>
      <w:pPr>
        <w:spacing w:after="0" w:line="11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58" w:lineRule="exact"/>
        <w:rPr>
          <w:sz w:val="20"/>
          <w:szCs w:val="20"/>
          <w:color w:val="auto"/>
        </w:rPr>
      </w:pPr>
    </w:p>
    <w:p>
      <w:pPr>
        <w:ind w:left="1020" w:hanging="511"/>
        <w:spacing w:after="0" w:line="291"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any cash flow from operations to payment on our debt, which would reduce the amounts available to fund other corporate initiatives;</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amount of interest that we have to pay on borrowings under the Credit Agreement if market rates of interest increase;</w:t>
      </w:r>
    </w:p>
    <w:p>
      <w:pPr>
        <w:spacing w:after="0" w:line="141"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58"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compliance with affirmative covenants including payment and reporting covenants; and</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competitive disadvantage compared to our competitors that have less debt, better debt servicing options or stronger debt servicing capacity.</w:t>
      </w:r>
    </w:p>
    <w:p>
      <w:pPr>
        <w:spacing w:after="0" w:line="4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5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7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1" w:lineRule="exact"/>
        <w:rPr>
          <w:sz w:val="20"/>
          <w:szCs w:val="20"/>
          <w:color w:val="auto"/>
        </w:rPr>
      </w:pPr>
    </w:p>
    <w:p>
      <w:pPr>
        <w:jc w:val="both"/>
        <w:ind w:firstLine="531"/>
        <w:spacing w:after="0" w:line="263" w:lineRule="auto"/>
        <w:rPr>
          <w:sz w:val="20"/>
          <w:szCs w:val="20"/>
          <w:color w:val="auto"/>
        </w:rPr>
      </w:pPr>
      <w:r>
        <w:rPr>
          <w:rFonts w:ascii="Times New Roman" w:cs="Times New Roman" w:eastAsia="Times New Roman" w:hAnsi="Times New Roman"/>
          <w:sz w:val="17"/>
          <w:szCs w:val="17"/>
          <w:color w:val="auto"/>
        </w:rPr>
        <w:t>As of December 31, 2021, we had approximately $159.6 million and $70.3 million of federal and state net operating loss carryforwards, respectively, available to reduce future taxable income that will begin to expire in 2037 for federal income tax purposes. These net operating loss carryforwards could expire unused and be unavailable to offset future income tax liabilities. Federal net operating loss carryforwards incurred in 2018 and in future years may be carried forward indefinitely, but the usage of such federal net operating loss carryforwards is limited. We completed an IRC Section 382 study on our federal tax attributes in connection to the ownership change in 2020 and determined that the annual utilization of federal net operating loss and certain other tax attribute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33" w:name="page34"/>
    <w:bookmarkEnd w:id="33"/>
    <w:p>
      <w:pPr>
        <w:jc w:val="both"/>
        <w:spacing w:after="0" w:line="291" w:lineRule="auto"/>
        <w:rPr>
          <w:sz w:val="20"/>
          <w:szCs w:val="20"/>
          <w:color w:val="auto"/>
        </w:rPr>
      </w:pPr>
      <w:r>
        <w:rPr>
          <w:rFonts w:ascii="Times New Roman" w:cs="Times New Roman" w:eastAsia="Times New Roman" w:hAnsi="Times New Roman"/>
          <w:sz w:val="17"/>
          <w:szCs w:val="17"/>
          <w:color w:val="auto"/>
        </w:rPr>
        <w:t>carryforwards is limited. It is not expected that the annual limitations will result in the expiration of tax attribute carryforwards prior to utilization assuming sufficient income.</w:t>
      </w:r>
    </w:p>
    <w:p>
      <w:pPr>
        <w:spacing w:after="0" w:line="4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6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40"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Although there is proposed legislation that would defer the capitalization requirement to later years, we have no assurance that the provision will be repealed or otherwise modified. Such change to the deductibility of our research and development expenditures could increase the amount of taxes to which we are subject and our effective tax rate.</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4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increases these risks, potentially resulting in other-than-temporary impairment of assets in our investment portfolio. The impact of geopolitical tension, such as a deterioration in the bilateral relationship between the US and China or Russia’s invasion of Ukraine, including any additional sanctions, export controls or other restrictive actions that may be imposed by the US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Product Development Risks</w:t>
      </w:r>
    </w:p>
    <w:p>
      <w:pPr>
        <w:spacing w:after="0" w:line="12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5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7"/>
          <w:szCs w:val="17"/>
          <w:color w:val="auto"/>
        </w:rPr>
        <w:t>We are conducting our Phase 1b clinical trial with APVO436 and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either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w:t>
      </w:r>
    </w:p>
    <w:p>
      <w:pPr>
        <w:spacing w:after="0" w:line="70"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For example, we released preliminary data regarding our APVO436 Phase 1b clinical trial study which may change or be inconsistent with future results.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8"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58" w:lineRule="exact"/>
        <w:rPr>
          <w:sz w:val="20"/>
          <w:szCs w:val="20"/>
          <w:color w:val="auto"/>
        </w:rPr>
      </w:pPr>
    </w:p>
    <w:p>
      <w:pPr>
        <w:jc w:val="both"/>
        <w:ind w:left="1020" w:hanging="511"/>
        <w:spacing w:after="0" w:line="284"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262"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fail to reach, agreement on acceptable clinical trial contracts or clinical trial protocols with prospective trial sites and our contract research organizations (CROs);</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produce negative or inconclusive results, or our studies may fail to reach the necessary level of statistical significance;</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marketing approval policies, laws, regulations, or the regulatory review process during the development period rendering our data insufficient to obtain marketing approval;</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reach an agreement with regulators or IRBs regarding the scope, design, or implementation of our clinical trials;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delays in adding new investigators or clinical trial sites, or we may experience a withdrawal of clinical trial sites;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regulatory questions or disagreements regarding interpretations of data and results, or new information may emerge regarding our product candidates;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left="1020" w:hanging="511"/>
        <w:spacing w:after="0" w:line="291"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not accept data from studies with clinical trial sites in foreign countries;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regulatory authorities may disagree with our intended indications;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43"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that a product candidate provides an advantage over current standards of care or current or future competitive therapies in development.</w:t>
      </w:r>
    </w:p>
    <w:p>
      <w:pPr>
        <w:spacing w:after="0" w:line="4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file investigational new drug applications, or INDs, or IND amendments to commence additional clinical trials on the timelines we expect, and even if we are able to, the FDA may not permit us to proceed.</w:t>
      </w:r>
    </w:p>
    <w:p>
      <w:pPr>
        <w:spacing w:after="0" w:line="40"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We submitted an IND for ALG.APV-527 to the FDA in the second half of 2022 for which we received a “may proceed” notification from FDA.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3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4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AML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 In addition, the global spread of the COVID-19 pandemic makes it more difficult to initiate clinical trials and enroll patients and the process of finding and diagnosing eligible patients under these conditions may prove costly.</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Patient enrollment is affected by other factors including:</w:t>
      </w:r>
    </w:p>
    <w:p>
      <w:pPr>
        <w:spacing w:after="0" w:line="115" w:lineRule="exact"/>
        <w:rPr>
          <w:sz w:val="20"/>
          <w:szCs w:val="20"/>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disease under investigation;</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clinical trial, including the patient eligibility criteria for the study in question;</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product candidate under study;</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payments for conducting clinical trials;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referral practices of physicians;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clinical trial investigators with the appropriate competencies and experiences;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patient consents;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of preliminary results of any of our clinical trial sites;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 and</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we may not be able to control that may limit patients, principal investigators or staff or clinical site availability, such as the ongoing COVID-19 pandemic.</w:t>
      </w:r>
    </w:p>
    <w:p>
      <w:pPr>
        <w:spacing w:after="0" w:line="4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4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7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may need to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71" w:lineRule="exact"/>
        <w:rPr>
          <w:sz w:val="20"/>
          <w:szCs w:val="20"/>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us to conduct additional clinical trials or abandon our research efforts for our other product candidates;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on the label or impose distribution or use restrictions;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one or more post-market studies;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medication guide outlining the risks of such side effects for distribution to patients;</w:t>
      </w:r>
    </w:p>
    <w:p>
      <w:pPr>
        <w:spacing w:after="0" w:line="141" w:lineRule="exact"/>
        <w:rPr>
          <w:rFonts w:ascii="Times New Roman" w:cs="Times New Roman" w:eastAsia="Times New Roman" w:hAnsi="Times New Roman"/>
          <w:sz w:val="17"/>
          <w:szCs w:val="17"/>
          <w:color w:val="auto"/>
        </w:rPr>
      </w:pPr>
    </w:p>
    <w:p>
      <w:pPr>
        <w:jc w:val="both"/>
        <w:ind w:left="1020" w:hanging="511"/>
        <w:spacing w:after="0" w:line="273"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58"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 and</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37" w:name="page38"/>
    <w:bookmarkEnd w:id="37"/>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5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do not have the ability to independently conduct the clinical and preclinical trials required to obtain regulatory approval for our product candidates. We depend on third parties, such as independent clinical investigators, contract research organizations, or CROs, and other third-party service providers to conduct the clinical and preclinical trials of our product candidates, and we expect to continue to do so. For example, Dr. Dirk Huebner, Consultant and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6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28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ongoing COVID-19 pandemic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74"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6"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38" w:name="page39"/>
    <w:bookmarkEnd w:id="38"/>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40"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6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58"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58"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70"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5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the ongoing COVID-19 pandemic, our third-party manufacturers may experience difficulties, such as supply shortages, that impact our product candidates and production timelines.</w:t>
      </w:r>
    </w:p>
    <w:p>
      <w:pPr>
        <w:spacing w:after="0" w:line="72"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7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product candidate manufacturing or formulation may result in additional costs or delay.</w:t>
      </w:r>
    </w:p>
    <w:p>
      <w:pPr>
        <w:spacing w:after="0" w:line="11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4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the direct and indirect effects of the ongoing COVID-19 pandemic,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262"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58"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6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66"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conduct clinical trials for our product candidates outside the United States, and the FDA or non-U.S. regulatory authorities may not accept data from such trials in the development or approval of our product candidates in those jurisdictions.</w:t>
      </w:r>
    </w:p>
    <w:p>
      <w:pPr>
        <w:spacing w:after="0" w:line="4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7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plan, and which may result in our product candidates not receiving marketing approval for commercialization in the applicable jurisdiction.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Commercialization Risks</w:t>
      </w:r>
    </w:p>
    <w:p>
      <w:pPr>
        <w:spacing w:after="0" w:line="11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ability to grow revenues and execute on our long-term strategy depends heavily on our ability to discover, develop, and obtain marketing approval for our product candidates.</w:t>
      </w:r>
    </w:p>
    <w:p>
      <w:pPr>
        <w:spacing w:after="0" w:line="4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use and further develop our ADAPTIR or ADAPTIR-FLEX platforms.</w:t>
      </w:r>
    </w:p>
    <w:p>
      <w:pPr>
        <w:spacing w:after="0" w:line="11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69" w:lineRule="exact"/>
        <w:rPr>
          <w:sz w:val="20"/>
          <w:szCs w:val="20"/>
          <w:color w:val="auto"/>
        </w:rPr>
      </w:pPr>
    </w:p>
    <w:p>
      <w:pPr>
        <w:jc w:val="both"/>
        <w:ind w:firstLine="51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40"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7"/>
          <w:szCs w:val="17"/>
          <w:color w:val="auto"/>
        </w:rPr>
        <w:t>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66"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believe that our most significant competitors in the oncology market include: AbbVie Inc., Affimed, Amgen Inc., AnaptysBio, Inc., Astellas Pharma Inc., Bayer AG, Biogen Idec Inc., Boehringer Ingelheim GmbH, Bristol Myers Squibb, Cellectis, Chinook Therapeutics, F-Star Biotechnology Ltd., Genentech Inc. (a subsidiary of F. Hoffmann-La Roche Ltd.), Genmab A/S, Gilead Sciences, Inc., GlaxoSmithKline plc, Grifols USA LLC, Harpoon Therapeutics, ImmunoGen, Inc., Immunomedics, Inc., Inhibrx Inc., Janssen BioTech Inc., Johnson &amp; Johnson, Macrogenics, Inc., Pieris Pharmaceuticals, Inc., ProMab Biotechnologies, Sanofi-Aventis US LLC, Strike Pharma, Takeda Pharmaceuticals U.S.A., Inc., Xencor, Inc., Y-mAbs Therapeutics,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7"/>
          <w:szCs w:val="17"/>
          <w:b w:val="1"/>
          <w:bCs w:val="1"/>
          <w:color w:val="auto"/>
        </w:rPr>
        <w:t>.</w:t>
      </w:r>
    </w:p>
    <w:p>
      <w:pPr>
        <w:spacing w:after="0" w:line="4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Legislative or healthcare reform measures may have a material adverse effect on our business and results of operations.</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71" w:lineRule="exact"/>
        <w:rPr>
          <w:sz w:val="20"/>
          <w:szCs w:val="20"/>
          <w:color w:val="auto"/>
        </w:rPr>
      </w:pPr>
    </w:p>
    <w:p>
      <w:pPr>
        <w:jc w:val="both"/>
        <w:ind w:left="1020" w:hanging="511"/>
        <w:spacing w:after="0" w:line="263"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will resume on July 1, 2022.</w:t>
      </w:r>
    </w:p>
    <w:p>
      <w:pPr>
        <w:spacing w:after="0" w:line="68" w:lineRule="exact"/>
        <w:rPr>
          <w:rFonts w:ascii="Times New Roman" w:cs="Times New Roman" w:eastAsia="Times New Roman" w:hAnsi="Times New Roman"/>
          <w:sz w:val="17"/>
          <w:szCs w:val="17"/>
          <w:color w:val="auto"/>
        </w:rPr>
      </w:pPr>
    </w:p>
    <w:p>
      <w:pPr>
        <w:jc w:val="both"/>
        <w:ind w:left="1020" w:hanging="511"/>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7"/>
          <w:szCs w:val="17"/>
          <w:color w:val="auto"/>
        </w:rPr>
        <w:t>obligation for a pharmaceutical manufacturer to make its drug products available to eligible patients as a result of the Right to Try Act.</w:t>
      </w:r>
    </w:p>
    <w:p>
      <w:pPr>
        <w:spacing w:after="0" w:line="14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After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overturn some of the prior Trump administration initiatives. However, the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0"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Regulatory and Compliance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long-term success depends, in part, upon our ability to develop, receive regulatory approval for and commercialize our product candidates.</w:t>
      </w:r>
    </w:p>
    <w:p>
      <w:pPr>
        <w:spacing w:after="0" w:line="11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6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66"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jc w:val="both"/>
        <w:spacing w:after="0" w:line="291" w:lineRule="auto"/>
        <w:rPr>
          <w:sz w:val="20"/>
          <w:szCs w:val="20"/>
          <w:color w:val="auto"/>
        </w:rPr>
      </w:pPr>
      <w:r>
        <w:rPr>
          <w:rFonts w:ascii="Times New Roman" w:cs="Times New Roman" w:eastAsia="Times New Roman" w:hAnsi="Times New Roman"/>
          <w:sz w:val="17"/>
          <w:szCs w:val="17"/>
          <w:color w:val="auto"/>
        </w:rPr>
        <w:t>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4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6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1"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44"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70"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40"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74"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6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69" w:lineRule="exact"/>
        <w:rPr>
          <w:sz w:val="20"/>
          <w:szCs w:val="20"/>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manufacturing or distribution, or marketing of such products;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modifications to promotional pieces and product labels;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corrective information;</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other clinical trials;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 or termination of clinical trials;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similar strategy;</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way the product is administered;</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harm caused to patients or subjects;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harm;</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becoming less competitive;</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untitled, or cyber letters;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marketing or withdrawal of the products from the market;</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authority issuance of safety alerts, Dear Healthcare Provider letters, press releases, or other communications containing warnings or other safety information about the product;</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of products;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6" w:name="page47"/>
    <w:bookmarkEnd w:id="46"/>
    <w:p>
      <w:pPr>
        <w:ind w:left="1020" w:hanging="511"/>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including imprisonment.</w:t>
      </w:r>
    </w:p>
    <w:p>
      <w:pPr>
        <w:spacing w:after="0" w:line="14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6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279"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4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4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6" w:lineRule="exact"/>
        <w:rPr>
          <w:sz w:val="20"/>
          <w:szCs w:val="20"/>
          <w:color w:val="auto"/>
        </w:rPr>
      </w:pPr>
    </w:p>
    <w:p>
      <w:pPr>
        <w:jc w:val="both"/>
        <w:ind w:left="1020" w:hanging="498"/>
        <w:spacing w:after="0" w:line="26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279" w:lineRule="exact"/>
        <w:rPr>
          <w:rFonts w:ascii="Times New Roman" w:cs="Times New Roman" w:eastAsia="Times New Roman" w:hAnsi="Times New Roman"/>
          <w:sz w:val="17"/>
          <w:szCs w:val="17"/>
          <w:color w:val="auto"/>
        </w:rPr>
      </w:pPr>
    </w:p>
    <w:p>
      <w:pPr>
        <w:jc w:val="both"/>
        <w:ind w:left="1020" w:hanging="498"/>
        <w:spacing w:after="0" w:line="263"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68" w:lineRule="exact"/>
        <w:rPr>
          <w:rFonts w:ascii="Times New Roman" w:cs="Times New Roman" w:eastAsia="Times New Roman" w:hAnsi="Times New Roman"/>
          <w:sz w:val="17"/>
          <w:szCs w:val="17"/>
          <w:color w:val="auto"/>
        </w:rPr>
      </w:pPr>
    </w:p>
    <w:p>
      <w:pPr>
        <w:jc w:val="both"/>
        <w:ind w:left="1020" w:hanging="498"/>
        <w:spacing w:after="0" w:line="260"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7"/>
          <w:szCs w:val="17"/>
          <w:color w:val="auto"/>
        </w:rPr>
      </w:pPr>
    </w:p>
    <w:p>
      <w:pPr>
        <w:jc w:val="both"/>
        <w:ind w:left="1020" w:hanging="498"/>
        <w:spacing w:after="0" w:line="261"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jc w:val="both"/>
        <w:ind w:left="1020" w:hanging="511"/>
        <w:spacing w:after="0" w:line="263"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68" w:lineRule="exact"/>
        <w:rPr>
          <w:rFonts w:ascii="Times New Roman" w:cs="Times New Roman" w:eastAsia="Times New Roman" w:hAnsi="Times New Roman"/>
          <w:sz w:val="17"/>
          <w:szCs w:val="17"/>
          <w:color w:val="auto"/>
        </w:rPr>
      </w:pPr>
    </w:p>
    <w:p>
      <w:pPr>
        <w:jc w:val="both"/>
        <w:ind w:left="1020" w:hanging="511"/>
        <w:spacing w:after="0" w:line="260"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1"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40"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jc w:val="both"/>
        <w:spacing w:after="0" w:line="260" w:lineRule="auto"/>
        <w:rPr>
          <w:sz w:val="20"/>
          <w:szCs w:val="20"/>
          <w:color w:val="auto"/>
        </w:rPr>
      </w:pPr>
      <w:r>
        <w:rPr>
          <w:rFonts w:ascii="Times New Roman" w:cs="Times New Roman" w:eastAsia="Times New Roman" w:hAnsi="Times New Roman"/>
          <w:sz w:val="17"/>
          <w:szCs w:val="17"/>
          <w:color w:val="auto"/>
        </w:rPr>
        <w:t>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4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Intellectual Property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proprietary rights, our business could be harmed.</w:t>
      </w:r>
    </w:p>
    <w:p>
      <w:pPr>
        <w:spacing w:after="0" w:line="11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69" w:lineRule="exact"/>
        <w:rPr>
          <w:sz w:val="20"/>
          <w:szCs w:val="20"/>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maintain U.S. and foreign patents, that are meaningful to our products, including defending those patents against adverse claims;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patent term extension for the patents covering our approved products;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trade secrets;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without infringing the proprietary rights of others; and,</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others from infringing our proprietary rights.</w:t>
      </w:r>
    </w:p>
    <w:p>
      <w:pPr>
        <w:spacing w:after="0" w:line="141"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74"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9"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jc w:val="both"/>
        <w:spacing w:after="0" w:line="291" w:lineRule="auto"/>
        <w:rPr>
          <w:sz w:val="20"/>
          <w:szCs w:val="20"/>
          <w:color w:val="auto"/>
        </w:rPr>
      </w:pPr>
      <w:r>
        <w:rPr>
          <w:rFonts w:ascii="Times New Roman" w:cs="Times New Roman" w:eastAsia="Times New Roman" w:hAnsi="Times New Roman"/>
          <w:sz w:val="17"/>
          <w:szCs w:val="17"/>
          <w:color w:val="auto"/>
        </w:rPr>
        <w:t>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44"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27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6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6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6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If approved, our products regulated as biologics may face competition from biosimilars approved through an abbreviated regulatory pathway.</w:t>
      </w:r>
    </w:p>
    <w:p>
      <w:pPr>
        <w:spacing w:after="0" w:line="119"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8"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 parties may choose to file patent infringement claims against us.</w:t>
      </w:r>
    </w:p>
    <w:p>
      <w:pPr>
        <w:spacing w:after="0" w:line="119"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72"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6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66"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from the initiation and continuation of patent litigation or other proceedings could have a material adverse effect on our ability to compete in the marketplace.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litigation and other proceedings may also absorb significant management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Aptevo trademarks may be opposed which could have a material and adverse effect on our business.</w:t>
      </w:r>
    </w:p>
    <w:p>
      <w:pPr>
        <w:spacing w:after="0" w:line="119"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We have an application pending that covers the APTEVO THERAPEUTICS trademark and received a notice of allowance from the USPTO for the APTEVO BIOTHERAPEUTICS and APTEVO RESEARCH AND DEVELOPMENT trademarks in August 2022.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have wrongfully used or disclosed alleged trade secrets of their former employers.</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our obligations in our intellectual property licenses with third parties, could result in loss of license rights or other damages.</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proprietary information and know-how, the value of our technology and product candidates could be adversely affected.</w:t>
      </w:r>
    </w:p>
    <w:p>
      <w:pPr>
        <w:spacing w:after="0" w:line="4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Collaborations and Other Transactions</w:t>
      </w:r>
    </w:p>
    <w:p>
      <w:pPr>
        <w:spacing w:after="0" w:line="1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5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7"/>
          <w:szCs w:val="17"/>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74"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risks that we are subject to in any of our collaborations include, among others:</w:t>
      </w:r>
    </w:p>
    <w:p>
      <w:pPr>
        <w:spacing w:after="0" w:line="115" w:lineRule="exact"/>
        <w:rPr>
          <w:sz w:val="20"/>
          <w:szCs w:val="20"/>
          <w:color w:val="auto"/>
        </w:rPr>
      </w:pPr>
    </w:p>
    <w:p>
      <w:pPr>
        <w:ind w:left="1020" w:hanging="511"/>
        <w:spacing w:after="0" w:line="291"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collaborative partners may not commit adequate resources to the development, marketing and distribution of any collaboration products, limiting our potential revenues from these products;</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collaborative partners may experience financial difficulties and may therefore be unable to meet their commitments to us;</w:t>
      </w:r>
    </w:p>
    <w:p>
      <w:pPr>
        <w:spacing w:after="0" w:line="14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collaborative partners may pursue a competing product candidate developed either independently or in collaboration with others, including our competitors; and,</w:t>
      </w:r>
    </w:p>
    <w:p>
      <w:pPr>
        <w:spacing w:after="0" w:line="43"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collaborative partners may terminate our relationship.</w:t>
      </w:r>
    </w:p>
    <w:p>
      <w:pPr>
        <w:spacing w:after="0" w:line="141"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ongoing COVID-19 pandemic and macroeconomic factors, we may experience delays in opportunities to develop our product candidates, due to financial and other impacts on potential partners.</w:t>
      </w:r>
    </w:p>
    <w:p>
      <w:pPr>
        <w:spacing w:after="0" w:line="72"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57"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53" w:name="page54"/>
    <w:bookmarkEnd w:id="53"/>
    <w:p>
      <w:pPr>
        <w:jc w:val="both"/>
        <w:spacing w:after="0" w:line="291" w:lineRule="auto"/>
        <w:rPr>
          <w:sz w:val="20"/>
          <w:szCs w:val="20"/>
          <w:color w:val="auto"/>
        </w:rPr>
      </w:pPr>
      <w:r>
        <w:rPr>
          <w:rFonts w:ascii="Times New Roman" w:cs="Times New Roman" w:eastAsia="Times New Roman" w:hAnsi="Times New Roman"/>
          <w:sz w:val="17"/>
          <w:szCs w:val="17"/>
          <w:color w:val="auto"/>
        </w:rPr>
        <w:t>we are held liable, we may be temporarily required to bear these losses ourselves. Each of these risks could negatively affect our business, results of operations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Stock and General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w:t>
      </w:r>
    </w:p>
    <w:p>
      <w:pPr>
        <w:spacing w:after="0" w:line="119" w:lineRule="exact"/>
        <w:rPr>
          <w:sz w:val="20"/>
          <w:szCs w:val="20"/>
          <w:color w:val="auto"/>
        </w:rPr>
      </w:pPr>
    </w:p>
    <w:p>
      <w:pPr>
        <w:jc w:val="both"/>
        <w:ind w:firstLine="510"/>
        <w:spacing w:after="0" w:line="260" w:lineRule="auto"/>
        <w:rPr>
          <w:sz w:val="20"/>
          <w:szCs w:val="20"/>
          <w:color w:val="auto"/>
        </w:rPr>
      </w:pPr>
      <w:r>
        <w:rPr>
          <w:rFonts w:ascii="Times New Roman" w:cs="Times New Roman" w:eastAsia="Times New Roman" w:hAnsi="Times New Roman"/>
          <w:sz w:val="17"/>
          <w:szCs w:val="17"/>
          <w:color w:val="auto"/>
        </w:rPr>
        <w:t>Our stock price has fluctuated in the past and is likely to be volatile in the future. Since August 1, 2016 and up to September 30, 2022, the reported closing price of our common stock has fluctuated between $2.95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macroeconomic conditions, including rising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72" w:lineRule="exact"/>
        <w:rPr>
          <w:sz w:val="20"/>
          <w:szCs w:val="20"/>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estimated by securities analysts or management, or our ability to meet those estimates;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or negative announcements by our competitors, suppliers, or partners regarding their own performance;</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expenses, and results of clinical and preclinical trials of our product candidates;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regarding clinical trial results and product introductions by us or our competitors;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acquisitions, collaborations, financings or other transactions by us or our competitors;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as to the safety of our product candidates;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delay of a development program;</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or actual sales of IXINITY by Medexus;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to what extent future milestone payments are received under our Amendment to Royalty Purchase Agreement with HCR;</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cash flows or results of operations;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comparable companies;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ongoing COVID-19 pandemic or similar global health challenges;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industry conditions and domestic and global financial, economic, and geopolitical instability; and,</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pacing w:after="0" w:line="141"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58" w:lineRule="exact"/>
        <w:rPr>
          <w:sz w:val="20"/>
          <w:szCs w:val="20"/>
          <w:color w:val="auto"/>
        </w:rPr>
      </w:pPr>
    </w:p>
    <w:p>
      <w:pPr>
        <w:jc w:val="both"/>
        <w:ind w:firstLine="510"/>
        <w:spacing w:after="0" w:line="291" w:lineRule="auto"/>
        <w:rPr>
          <w:sz w:val="20"/>
          <w:szCs w:val="20"/>
          <w:color w:val="auto"/>
        </w:rPr>
      </w:pPr>
      <w:r>
        <w:rPr>
          <w:rFonts w:ascii="Times New Roman" w:cs="Times New Roman" w:eastAsia="Times New Roman" w:hAnsi="Times New Roman"/>
          <w:sz w:val="17"/>
          <w:szCs w:val="17"/>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5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such as the Tang Ownership Change, could increase the cost to us of our directors’ and officers’ liability insurance coverage or the coverage thereunder may be reduced or terminated in full. In the event that the coverage under our directors’ and officers’ liability insurance is reduced or terminated,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7"/>
          <w:szCs w:val="17"/>
          <w:color w:val="auto"/>
        </w:rPr>
        <w:t>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maintain effective internal controls, we may not be able to accurately report our financial results and our business could be harmed.</w:t>
      </w:r>
    </w:p>
    <w:p>
      <w:pPr>
        <w:spacing w:after="0" w:line="119" w:lineRule="exact"/>
        <w:rPr>
          <w:sz w:val="20"/>
          <w:szCs w:val="20"/>
          <w:color w:val="auto"/>
        </w:rPr>
      </w:pPr>
    </w:p>
    <w:p>
      <w:pPr>
        <w:jc w:val="both"/>
        <w:ind w:firstLine="510"/>
        <w:spacing w:after="0" w:line="257" w:lineRule="auto"/>
        <w:rPr>
          <w:sz w:val="20"/>
          <w:szCs w:val="20"/>
          <w:color w:val="auto"/>
        </w:rPr>
      </w:pPr>
      <w:r>
        <w:rPr>
          <w:rFonts w:ascii="Times New Roman" w:cs="Times New Roman" w:eastAsia="Times New Roman" w:hAnsi="Times New Roman"/>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availed ourselves of the exemption from the requirement that our independent registered public accounting firm attest to the effectiveness of our internal control over financial reporting under Section 404. However, we will no longer avail ourselves of this exemption since we ceased to be an emerging growth company since August 2021.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7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public announcement of data from clinical trials or news of any developments related to our product pipeline may cause significant volatility in our stock price.</w:t>
      </w:r>
    </w:p>
    <w:p>
      <w:pPr>
        <w:spacing w:after="0" w:line="40"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40"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Our common stock is currently listed on the Nasdaq Capital Market LLC (“Nasdaq”). The Nasdaq Stock Market LLC has minimum requirements that a company must meet in order to remain listed on Nasdaq, including corporate governance standards and a requirement that we maintain a minimum closing bid price of $1.00 per share.</w:t>
      </w:r>
    </w:p>
    <w:p>
      <w:pPr>
        <w:spacing w:after="0" w:line="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On April 1, 2022, the Company received a letter from Nasdaq indicating that it was not in compliance with Nasdaq Listing Rule 5550(b)(1), which requires companies listed on The Nasdaq Capital Market to maintain a minimum of $2,500,000 in stockholders’ equity for continued listing. On its annual report for the year ended December 31, 2021, the Company reported stockholders’ equity of $1,216,000, and, as a result, did not satisfy Listing Rule 5550(b)(1). In the second quarter of 2022, the Company regained compliance with the Nasdaq Listing Rule.</w:t>
      </w:r>
    </w:p>
    <w:p>
      <w:pPr>
        <w:spacing w:after="0" w:line="66"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of ownership in Aptevo may be diluted in the future.</w:t>
      </w:r>
    </w:p>
    <w:p>
      <w:pPr>
        <w:spacing w:after="0" w:line="11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In the future, your percentage ownership in Aptevo may be diluted because of equity issuances for acquisitions, capital market transactions or otherwise, including, but not limited to, equity issuances under our existing Purchase Agreement with Lincoln Park,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6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4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These provisions include:</w:t>
      </w:r>
    </w:p>
    <w:p>
      <w:pPr>
        <w:spacing w:after="0" w:line="115" w:lineRule="exact"/>
        <w:rPr>
          <w:sz w:val="20"/>
          <w:szCs w:val="20"/>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classification of our directors;</w:t>
      </w:r>
    </w:p>
    <w:p>
      <w:pPr>
        <w:spacing w:after="0" w:line="141"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removal of directors;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filling vacancies on the board;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stockholder nominations of candidates for election to the Board of Directors and other proposals;</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stockholders to act by written consent;</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stockholders to call special meetings; and,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designate the terms of and issue a new series of preferred stock without stockholder approval.</w:t>
      </w:r>
    </w:p>
    <w:p>
      <w:pPr>
        <w:spacing w:after="0" w:line="11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6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6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Moreover, we currently have a short-term stockholder rights agreement in effect. This rights agreement was amended on November 4, 2021 to extend the expiration date of such agreement from November 8, 2021 to November 5, 2022 and further amended on November 4, 2022 to extend the expiration of such agreement to November 4, 2023.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jc w:val="both"/>
        <w:spacing w:after="0" w:line="291" w:lineRule="auto"/>
        <w:rPr>
          <w:sz w:val="20"/>
          <w:szCs w:val="20"/>
          <w:color w:val="auto"/>
        </w:rPr>
      </w:pPr>
      <w:r>
        <w:rPr>
          <w:rFonts w:ascii="Times New Roman" w:cs="Times New Roman" w:eastAsia="Times New Roman" w:hAnsi="Times New Roman"/>
          <w:sz w:val="17"/>
          <w:szCs w:val="17"/>
          <w:color w:val="auto"/>
        </w:rPr>
        <w:t>other business combination approved by our Board. Nor does the rights agreement prevent our Board from considering any offer that it considers to be in the best interest of our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by-laws include a forum selection clause, which may impact your ability to bring actions against us.</w:t>
      </w:r>
    </w:p>
    <w:p>
      <w:pPr>
        <w:spacing w:after="0" w:line="119"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7"/>
          <w:szCs w:val="17"/>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74"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periodic litigation, which could result in losses or unexpected expenditure of time and resources.</w:t>
      </w:r>
    </w:p>
    <w:p>
      <w:pPr>
        <w:spacing w:after="0" w:line="119"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40"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7" w:name="page58"/>
    <w:bookmarkEnd w:id="57"/>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4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ongoing COVID-19 pandemic also poses an increased security risk, due to the remote working environment.</w:t>
      </w:r>
    </w:p>
    <w:p>
      <w:pPr>
        <w:spacing w:after="0" w:line="6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69" w:lineRule="exact"/>
        <w:rPr>
          <w:sz w:val="20"/>
          <w:szCs w:val="20"/>
          <w:color w:val="auto"/>
        </w:rPr>
      </w:pPr>
    </w:p>
    <w:p>
      <w:pPr>
        <w:jc w:val="both"/>
        <w:ind w:firstLine="510"/>
        <w:spacing w:after="0" w:line="273" w:lineRule="auto"/>
        <w:rPr>
          <w:sz w:val="20"/>
          <w:szCs w:val="20"/>
          <w:color w:val="auto"/>
        </w:rPr>
      </w:pPr>
      <w:r>
        <w:rPr>
          <w:rFonts w:ascii="Times New Roman" w:cs="Times New Roman" w:eastAsia="Times New Roman" w:hAnsi="Times New Roman"/>
          <w:sz w:val="17"/>
          <w:szCs w:val="17"/>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6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7"/>
          <w:szCs w:val="17"/>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6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significant portion of our shares may be sold into the market at any time which could depress our stock price.</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perception that such sales may occur, whether under the Lincoln Park Purchase Agreement or otherwise, could decrease the market price of our common stock.</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disclosure is intended to satisfy any obligation to provide disclosures pursuant to Item 5.03 of Form 8-K.</w:t>
      </w:r>
    </w:p>
    <w:p>
      <w:pPr>
        <w:spacing w:after="0" w:line="115"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7"/>
          <w:szCs w:val="17"/>
          <w:color w:val="auto"/>
        </w:rPr>
        <w:t>On November 8, 2022, in connection with the new Securities and Exchange Commission rules and changes to the Securities Exchange Act of 1934, as amended (the "Exchange Act") regarding universal proxy cards, certain recent changes to the Delaware General Corporation Law (the "DGCL"), the discontinuation of the practice of discretionary broker voting of uninstructed shares by several major brokerage firms and the Company’s increased levels of retail ownership, the Board of Directors (the “Board”) of Aptevo Therapeutics Inc. (the “Company”) approved amendments to the Company’s Amended and Restated By-laws (the “By-laws”), effective immediately.</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amendments to the By-laws, among other things:</w:t>
      </w:r>
    </w:p>
    <w:p>
      <w:pPr>
        <w:spacing w:after="0" w:line="115" w:lineRule="exact"/>
        <w:rPr>
          <w:sz w:val="20"/>
          <w:szCs w:val="20"/>
          <w:color w:val="auto"/>
        </w:rPr>
      </w:pPr>
    </w:p>
    <w:p>
      <w:pPr>
        <w:ind w:left="720" w:hanging="354"/>
        <w:spacing w:after="0" w:line="291"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provisions relating to adjournment procedures and availability of lists of stockholders entitled to vote at stockholder meetings, in each case, to reflect recent amendments to the DGCL;</w:t>
      </w:r>
    </w:p>
    <w:p>
      <w:pPr>
        <w:spacing w:after="0" w:line="43" w:lineRule="exact"/>
        <w:rPr>
          <w:rFonts w:ascii="Times New Roman" w:cs="Times New Roman" w:eastAsia="Times New Roman" w:hAnsi="Times New Roman"/>
          <w:sz w:val="17"/>
          <w:szCs w:val="17"/>
          <w:color w:val="auto"/>
        </w:rPr>
      </w:pPr>
    </w:p>
    <w:p>
      <w:pPr>
        <w:jc w:val="both"/>
        <w:ind w:left="720" w:hanging="354"/>
        <w:spacing w:after="0" w:line="261"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provisions for determining the presence of a quorum at all meetings of stockholders, to provide that: (i) the presence, in person, by remote communication, if applicable, or by proxy, of the holders of one-third of the voting power of the capital stock issued and outstanding and entitled to vote on one or more matters to be voted on at the meeting shall constitute a quorum; and (ii) where a separate vote by a class or classes or series is required, except where otherwise provided by law or by the Company’s Restated Certificate of Incorporation or the By-laws, the presence, in person, by remote communication, if applicable, or represented by proxy duly authorized of one-third of the voting power of the outstanding shares of such class or classes or series, shall constitute a quorum entitled to take action with respect to that vote on that matter;</w:t>
      </w:r>
    </w:p>
    <w:p>
      <w:pPr>
        <w:spacing w:after="0" w:line="71" w:lineRule="exact"/>
        <w:rPr>
          <w:rFonts w:ascii="Times New Roman" w:cs="Times New Roman" w:eastAsia="Times New Roman" w:hAnsi="Times New Roman"/>
          <w:sz w:val="17"/>
          <w:szCs w:val="17"/>
          <w:color w:val="auto"/>
        </w:rPr>
      </w:pPr>
    </w:p>
    <w:p>
      <w:pPr>
        <w:jc w:val="both"/>
        <w:ind w:left="720" w:hanging="354"/>
        <w:spacing w:after="0" w:line="273"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matters relating to Rule 14a-19 under the Exchange Act (the "Universal Proxy Rules"), including providing the Company a remedy if a stockholder fails to satisfy the Universal Proxy Rule requirements and adding a requirement to notify the Company as to whether the stockholder intends to solicit proxies for at least 67% of the voting power of the Company’s capital stock;</w:t>
      </w:r>
    </w:p>
    <w:p>
      <w:pPr>
        <w:spacing w:after="0" w:line="58" w:lineRule="exact"/>
        <w:rPr>
          <w:rFonts w:ascii="Times New Roman" w:cs="Times New Roman" w:eastAsia="Times New Roman" w:hAnsi="Times New Roman"/>
          <w:sz w:val="17"/>
          <w:szCs w:val="17"/>
          <w:color w:val="auto"/>
        </w:rPr>
      </w:pPr>
    </w:p>
    <w:p>
      <w:pPr>
        <w:jc w:val="both"/>
        <w:ind w:left="720" w:hanging="354"/>
        <w:spacing w:after="0" w:line="266"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informational and procedural requirements in connection with stockholder nominations of directors at stockholder meetings, including (i) implementing the requirement that proposed nominees complete a questionnaire with respect to their background and qualifications and (ii) mandating that the number of nominees a shareholder may nominate for election at the annual meeting of the stockholders may not exceed the number of directors to be elected at such annual meeting; and</w:t>
      </w:r>
    </w:p>
    <w:p>
      <w:pPr>
        <w:spacing w:after="0" w:line="65" w:lineRule="exact"/>
        <w:rPr>
          <w:rFonts w:ascii="Times New Roman" w:cs="Times New Roman" w:eastAsia="Times New Roman" w:hAnsi="Times New Roman"/>
          <w:sz w:val="17"/>
          <w:szCs w:val="17"/>
          <w:color w:val="auto"/>
        </w:rPr>
      </w:pPr>
    </w:p>
    <w:p>
      <w:pPr>
        <w:ind w:left="720" w:hanging="354"/>
        <w:spacing w:after="0"/>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any proxies received for disqualified or withdrawn Board nominees will be treated as abstentions.</w:t>
      </w:r>
    </w:p>
    <w:p>
      <w:pPr>
        <w:spacing w:after="0" w:line="141" w:lineRule="exact"/>
        <w:rPr>
          <w:sz w:val="20"/>
          <w:szCs w:val="20"/>
          <w:color w:val="auto"/>
        </w:rPr>
      </w:pPr>
    </w:p>
    <w:p>
      <w:pPr>
        <w:ind w:firstLine="510"/>
        <w:spacing w:after="0" w:line="291" w:lineRule="auto"/>
        <w:rPr>
          <w:sz w:val="20"/>
          <w:szCs w:val="20"/>
          <w:color w:val="auto"/>
        </w:rPr>
      </w:pPr>
      <w:r>
        <w:rPr>
          <w:rFonts w:ascii="Times New Roman" w:cs="Times New Roman" w:eastAsia="Times New Roman" w:hAnsi="Times New Roman"/>
          <w:sz w:val="17"/>
          <w:szCs w:val="17"/>
          <w:color w:val="auto"/>
        </w:rPr>
        <w:t>The foregoing description of the Company’s amended By-laws is qualified in its entirety by the full text of the By-laws, as amended, filed as Exhibit 3.1 hereto and incorporated herein by reference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51"/>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1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60" w:type="dxa"/>
            <w:vAlign w:val="bottom"/>
          </w:tcPr>
          <w:p>
            <w:pPr>
              <w:spacing w:after="0"/>
              <w:rPr>
                <w:sz w:val="24"/>
                <w:szCs w:val="24"/>
                <w:color w:val="auto"/>
              </w:rPr>
            </w:pPr>
          </w:p>
        </w:tc>
        <w:tc>
          <w:tcPr>
            <w:tcW w:w="6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Amended and Restated By-laws of the Company, as amended and restated on November 8, 2022.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60" w:type="dxa"/>
            <w:vAlign w:val="bottom"/>
          </w:tcPr>
          <w:p>
            <w:pPr>
              <w:spacing w:after="0"/>
              <w:rPr>
                <w:sz w:val="24"/>
                <w:szCs w:val="24"/>
                <w:color w:val="auto"/>
              </w:rPr>
            </w:pPr>
          </w:p>
        </w:tc>
        <w:tc>
          <w:tcPr>
            <w:tcW w:w="5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Third Amendment to Credit and Security Agreement dated August 30, 2022.</w:t>
            </w:r>
          </w:p>
        </w:tc>
        <w:tc>
          <w:tcPr>
            <w:tcW w:w="5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tcBorders>
              <w:bottom w:val="single" w:sz="8" w:color="0000EE"/>
            </w:tcBorders>
            <w:gridSpan w:val="3"/>
          </w:tcPr>
          <w:p>
            <w:pPr>
              <w:spacing w:after="0" w:line="187" w:lineRule="exact"/>
              <w:rPr>
                <w:sz w:val="20"/>
                <w:szCs w:val="20"/>
                <w:color w:val="auto"/>
              </w:rPr>
            </w:pPr>
            <w:r>
              <w:rPr>
                <w:rFonts w:ascii="Times New Roman" w:cs="Times New Roman" w:eastAsia="Times New Roman" w:hAnsi="Times New Roman"/>
                <w:sz w:val="17"/>
                <w:szCs w:val="17"/>
                <w:color w:val="0000EE"/>
              </w:rPr>
              <w:t>Pursuant to Section 302 of the Sarbanes Oxley Act of 2002.</w:t>
            </w:r>
          </w:p>
        </w:tc>
        <w:tc>
          <w:tcPr>
            <w:tcW w:w="6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300" w:type="dxa"/>
            <w:vAlign w:val="bottom"/>
            <w:gridSpan w:val="6"/>
          </w:tcPr>
          <w:p>
            <w:pPr>
              <w:spacing w:after="0" w:line="187" w:lineRule="exact"/>
              <w:rPr>
                <w:sz w:val="20"/>
                <w:szCs w:val="20"/>
                <w:color w:val="auto"/>
              </w:rPr>
            </w:pPr>
            <w:r>
              <w:rPr>
                <w:rFonts w:ascii="Times New Roman" w:cs="Times New Roman" w:eastAsia="Times New Roman" w:hAnsi="Times New Roman"/>
                <w:sz w:val="17"/>
                <w:szCs w:val="17"/>
                <w:color w:val="0000EE"/>
              </w:rPr>
              <w:t>Pursuant to Section 302 of the Sarbanes Oxley Act of 2002.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32.1*</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of Principal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44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17"/>
                <w:szCs w:val="17"/>
                <w:color w:val="0000EE"/>
                <w:w w:val="93"/>
              </w:rPr>
              <w:t>2002.</w:t>
            </w: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of Principal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44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17"/>
                <w:szCs w:val="17"/>
                <w:color w:val="0000EE"/>
                <w:w w:val="93"/>
              </w:rPr>
              <w:t>2002.</w:t>
            </w: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6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tcPr>
          <w:p>
            <w:pPr>
              <w:spacing w:after="0"/>
              <w:rPr>
                <w:sz w:val="19"/>
                <w:szCs w:val="19"/>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1192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143" w:lineRule="exact"/>
        <w:rPr>
          <w:sz w:val="20"/>
          <w:szCs w:val="20"/>
          <w:color w:val="auto"/>
        </w:rPr>
      </w:pPr>
    </w:p>
    <w:p>
      <w:pPr>
        <w:ind w:left="500" w:hanging="496"/>
        <w:spacing w:after="0"/>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51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APTEVO THERAPEUTICS INC.</w:t>
      </w:r>
    </w:p>
    <w:p>
      <w:pPr>
        <w:spacing w:after="0" w:line="284" w:lineRule="exact"/>
        <w:rPr>
          <w:sz w:val="20"/>
          <w:szCs w:val="20"/>
          <w:color w:val="auto"/>
        </w:rPr>
      </w:pPr>
    </w:p>
    <w:p>
      <w:pPr>
        <w:spacing w:after="0"/>
        <w:tabs>
          <w:tab w:leader="none" w:pos="6180" w:val="left"/>
          <w:tab w:leader="none" w:pos="8240" w:val="left"/>
        </w:tabs>
        <w:rPr>
          <w:sz w:val="20"/>
          <w:szCs w:val="20"/>
          <w:color w:val="auto"/>
        </w:rPr>
      </w:pPr>
      <w:r>
        <w:rPr>
          <w:rFonts w:ascii="Times New Roman" w:cs="Times New Roman" w:eastAsia="Times New Roman" w:hAnsi="Times New Roman"/>
          <w:sz w:val="17"/>
          <w:szCs w:val="17"/>
          <w:color w:val="auto"/>
        </w:rPr>
        <w:t>Date: November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19050</wp:posOffset>
            </wp:positionV>
            <wp:extent cx="2919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9095" cy="8255"/>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7"/>
          <w:szCs w:val="17"/>
          <w:b w:val="1"/>
          <w:bCs w:val="1"/>
          <w:color w:val="auto"/>
        </w:rPr>
        <w:t>Marvin L. White</w:t>
      </w:r>
    </w:p>
    <w:p>
      <w:pPr>
        <w:spacing w:after="0" w:line="3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265" w:lineRule="exact"/>
        <w:rPr>
          <w:sz w:val="20"/>
          <w:szCs w:val="20"/>
          <w:color w:val="auto"/>
        </w:rPr>
      </w:pPr>
    </w:p>
    <w:p>
      <w:pPr>
        <w:spacing w:after="0"/>
        <w:tabs>
          <w:tab w:leader="none" w:pos="6180" w:val="left"/>
          <w:tab w:leader="none" w:pos="8140" w:val="left"/>
        </w:tabs>
        <w:rPr>
          <w:sz w:val="20"/>
          <w:szCs w:val="20"/>
          <w:color w:val="auto"/>
        </w:rPr>
      </w:pPr>
      <w:r>
        <w:rPr>
          <w:rFonts w:ascii="Times New Roman" w:cs="Times New Roman" w:eastAsia="Times New Roman" w:hAnsi="Times New Roman"/>
          <w:sz w:val="17"/>
          <w:szCs w:val="17"/>
          <w:color w:val="auto"/>
        </w:rPr>
        <w:t>Date: November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19050</wp:posOffset>
            </wp:positionV>
            <wp:extent cx="2919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9095" cy="8255"/>
                    </a:xfrm>
                    <a:prstGeom prst="rect">
                      <a:avLst/>
                    </a:prstGeom>
                    <a:noFill/>
                  </pic:spPr>
                </pic:pic>
              </a:graphicData>
            </a:graphic>
          </wp:anchor>
        </w:drawing>
      </w:r>
    </w:p>
    <w:p>
      <w:pPr>
        <w:spacing w:after="0" w:line="1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7"/>
          <w:szCs w:val="17"/>
          <w:b w:val="1"/>
          <w:bCs w:val="1"/>
          <w:color w:val="auto"/>
        </w:rPr>
        <w:t>Jeffrey G. Lamothe</w:t>
      </w:r>
    </w:p>
    <w:p>
      <w:pPr>
        <w:spacing w:after="0" w:line="3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40"/>
          </w:cols>
          <w:pgMar w:left="320" w:top="53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b w:val="1"/>
          <w:bCs w:val="1"/>
          <w:color w:val="auto"/>
        </w:rPr>
        <w:t>APTEVO THERAPEUTICS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196850</wp:posOffset>
            </wp:positionV>
            <wp:extent cx="717994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0120"/>
          </w:cols>
          <w:pgMar w:left="1440" w:top="31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71"/>
        </w:trPr>
        <w:tc>
          <w:tcPr>
            <w:tcW w:w="1420" w:type="dxa"/>
            <w:vAlign w:val="bottom"/>
          </w:tcPr>
          <w:p>
            <w:pPr>
              <w:spacing w:after="0"/>
              <w:rPr>
                <w:sz w:val="23"/>
                <w:szCs w:val="23"/>
                <w:color w:val="auto"/>
              </w:rPr>
            </w:pPr>
          </w:p>
        </w:tc>
        <w:tc>
          <w:tcPr>
            <w:tcW w:w="9440" w:type="dxa"/>
            <w:vAlign w:val="bottom"/>
          </w:tcPr>
          <w:p>
            <w:pPr>
              <w:ind w:left="3160"/>
              <w:spacing w:after="0"/>
              <w:rPr>
                <w:sz w:val="20"/>
                <w:szCs w:val="20"/>
                <w:color w:val="auto"/>
              </w:rPr>
            </w:pPr>
            <w:r>
              <w:rPr>
                <w:rFonts w:ascii="Times New Roman" w:cs="Times New Roman" w:eastAsia="Times New Roman" w:hAnsi="Times New Roman"/>
                <w:sz w:val="21"/>
                <w:szCs w:val="21"/>
                <w:color w:val="auto"/>
              </w:rPr>
              <w:t>TABLE OF CONTENTS</w:t>
            </w: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w w:val="97"/>
              </w:rPr>
              <w:t>Page</w:t>
            </w: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1420" w:type="dxa"/>
            <w:vAlign w:val="bottom"/>
          </w:tcPr>
          <w:p>
            <w:pPr>
              <w:spacing w:after="0"/>
              <w:rPr>
                <w:sz w:val="20"/>
                <w:szCs w:val="20"/>
                <w:color w:val="auto"/>
              </w:rPr>
            </w:pPr>
            <w:r>
              <w:rPr>
                <w:rFonts w:ascii="Times New Roman" w:cs="Times New Roman" w:eastAsia="Times New Roman" w:hAnsi="Times New Roman"/>
                <w:sz w:val="21"/>
                <w:szCs w:val="21"/>
                <w:color w:val="auto"/>
              </w:rPr>
              <w:t>ARTICLE I</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STOCKHOLDERS</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1.1</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Place of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1.2</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Annual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1.3</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Special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1.4</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Notice of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1.5</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Stockholder List</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1.6</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Quorum</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1.7</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Adjournments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1.8</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Voting and Proxies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1.9</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Action at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1.10</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Nomination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1.11</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Notice of Business at Annual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1.12</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Conduct of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1.13</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Action by Consent in Lieu of a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spacing w:after="0"/>
              <w:rPr>
                <w:sz w:val="20"/>
                <w:szCs w:val="20"/>
                <w:color w:val="auto"/>
              </w:rPr>
            </w:pPr>
            <w:r>
              <w:rPr>
                <w:rFonts w:ascii="Times New Roman" w:cs="Times New Roman" w:eastAsia="Times New Roman" w:hAnsi="Times New Roman"/>
                <w:sz w:val="21"/>
                <w:szCs w:val="21"/>
                <w:color w:val="auto"/>
              </w:rPr>
              <w:t>ARTICLE II</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General Powers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2.2</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Number, Election and Qualification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2.3</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Chairman of the Board; Vice Chairman of the Board</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2.4</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Classes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2.5</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Terms of Office</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2.6</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Quorum</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2.7</w:t>
            </w:r>
          </w:p>
        </w:tc>
        <w:tc>
          <w:tcPr>
            <w:tcW w:w="94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Action at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2.8</w:t>
            </w:r>
          </w:p>
        </w:tc>
        <w:tc>
          <w:tcPr>
            <w:tcW w:w="9440" w:type="dxa"/>
            <w:vAlign w:val="bottom"/>
          </w:tcPr>
          <w:p>
            <w:pPr>
              <w:ind w:left="720"/>
              <w:spacing w:after="0"/>
              <w:rPr>
                <w:sz w:val="20"/>
                <w:szCs w:val="20"/>
                <w:color w:val="auto"/>
              </w:rPr>
            </w:pPr>
            <w:r>
              <w:rPr>
                <w:rFonts w:ascii="Times New Roman" w:cs="Times New Roman" w:eastAsia="Times New Roman" w:hAnsi="Times New Roman"/>
                <w:sz w:val="21"/>
                <w:szCs w:val="21"/>
                <w:color w:val="auto"/>
              </w:rPr>
              <w:t>Removal</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420" w:type="dxa"/>
            <w:vAlign w:val="bottom"/>
          </w:tcPr>
          <w:p>
            <w:pPr>
              <w:spacing w:after="0"/>
              <w:rPr>
                <w:sz w:val="24"/>
                <w:szCs w:val="24"/>
                <w:color w:val="auto"/>
              </w:rPr>
            </w:pPr>
          </w:p>
        </w:tc>
        <w:tc>
          <w:tcPr>
            <w:tcW w:w="9440" w:type="dxa"/>
            <w:vAlign w:val="bottom"/>
          </w:tcPr>
          <w:p>
            <w:pPr>
              <w:ind w:left="4160"/>
              <w:spacing w:after="0"/>
              <w:rPr>
                <w:sz w:val="20"/>
                <w:szCs w:val="20"/>
                <w:color w:val="auto"/>
              </w:rPr>
            </w:pPr>
            <w:r>
              <w:rPr>
                <w:rFonts w:ascii="Times New Roman" w:cs="Times New Roman" w:eastAsia="Times New Roman" w:hAnsi="Times New Roman"/>
                <w:sz w:val="21"/>
                <w:szCs w:val="21"/>
                <w:color w:val="auto"/>
              </w:rPr>
              <w:t>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42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27"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1"/>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2.9</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Vacancies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2.10</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Resignation</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2.11</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Regular Meetings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2.12</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Special Meetings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2.13</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Notice of Special Meetings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2.14</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Meetings by Conference Communications Equipment</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2.15</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Action by Consent</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2.16</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Committees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2.17</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Compensation of Directors</w:t>
            </w:r>
          </w:p>
        </w:tc>
      </w:tr>
      <w:tr>
        <w:trPr>
          <w:trHeight w:val="440"/>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ARTICLE III</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OFFICERS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3.1</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Titles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3.2</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Election</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3.3</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Qualification</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3.4</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Tenure</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3.5</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Resignation and Removal</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3.6</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Vacancies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3.7</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President; Chief Executive Officer</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3.8</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Vice Presidents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3.9</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Secretary and Assistant Secretaries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3.10</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Treasurer and Assistant Treasurers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3.11</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Salaries</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3.12</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Delegation of Authority</w:t>
            </w:r>
          </w:p>
        </w:tc>
      </w:tr>
      <w:tr>
        <w:trPr>
          <w:trHeight w:val="440"/>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ARTICLE IV</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CAPITAL STOCK</w:t>
            </w:r>
          </w:p>
        </w:tc>
      </w:tr>
      <w:tr>
        <w:trPr>
          <w:trHeight w:val="440"/>
        </w:trPr>
        <w:tc>
          <w:tcPr>
            <w:tcW w:w="156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4.1</w:t>
            </w:r>
          </w:p>
        </w:tc>
        <w:tc>
          <w:tcPr>
            <w:tcW w:w="9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Issuance of Stock</w:t>
            </w:r>
          </w:p>
        </w:tc>
      </w:tr>
      <w:tr>
        <w:trPr>
          <w:trHeight w:val="648"/>
        </w:trPr>
        <w:tc>
          <w:tcPr>
            <w:tcW w:w="1560" w:type="dxa"/>
            <w:vAlign w:val="bottom"/>
          </w:tcPr>
          <w:p>
            <w:pPr>
              <w:spacing w:after="0"/>
              <w:rPr>
                <w:sz w:val="24"/>
                <w:szCs w:val="24"/>
                <w:color w:val="auto"/>
              </w:rPr>
            </w:pPr>
          </w:p>
        </w:tc>
        <w:tc>
          <w:tcPr>
            <w:tcW w:w="9720" w:type="dxa"/>
            <w:vAlign w:val="bottom"/>
          </w:tcPr>
          <w:p>
            <w:pPr>
              <w:ind w:left="4020"/>
              <w:spacing w:after="0"/>
              <w:rPr>
                <w:sz w:val="20"/>
                <w:szCs w:val="20"/>
                <w:color w:val="auto"/>
              </w:rPr>
            </w:pPr>
            <w:r>
              <w:rPr>
                <w:rFonts w:ascii="Times New Roman" w:cs="Times New Roman" w:eastAsia="Times New Roman" w:hAnsi="Times New Roman"/>
                <w:sz w:val="21"/>
                <w:szCs w:val="21"/>
                <w:color w:val="auto"/>
              </w:rPr>
              <w:t>3</w:t>
            </w:r>
          </w:p>
        </w:tc>
      </w:tr>
      <w:tr>
        <w:trPr>
          <w:trHeight w:val="307"/>
        </w:trPr>
        <w:tc>
          <w:tcPr>
            <w:tcW w:w="156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27"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71"/>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4.2</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Stock Certificates; Uncertificated Shares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4.3</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Transfers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4.4</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Lost, Stolen or Destroyed Certificates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4.5</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Record Date</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4.6</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Regulations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0"/>
        </w:trPr>
        <w:tc>
          <w:tcPr>
            <w:tcW w:w="1520" w:type="dxa"/>
            <w:vAlign w:val="bottom"/>
          </w:tcPr>
          <w:p>
            <w:pPr>
              <w:jc w:val="center"/>
              <w:ind w:right="336"/>
              <w:spacing w:after="0"/>
              <w:rPr>
                <w:sz w:val="20"/>
                <w:szCs w:val="20"/>
                <w:color w:val="auto"/>
              </w:rPr>
            </w:pPr>
            <w:r>
              <w:rPr>
                <w:rFonts w:ascii="Times New Roman" w:cs="Times New Roman" w:eastAsia="Times New Roman" w:hAnsi="Times New Roman"/>
                <w:sz w:val="21"/>
                <w:szCs w:val="21"/>
                <w:color w:val="auto"/>
                <w:w w:val="98"/>
              </w:rPr>
              <w:t>ARTICLE V</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GENERAL PROVISIONS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5.1</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Fiscal Year</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5.2</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Corporate Seal</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5.3</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Waiver of Notice</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5.4</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Voting of Securities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5.5</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Evidence of Authority</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5.6</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Certificate of Incorporation</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5.7</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Severability</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5.8</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Pronouns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0"/>
        </w:trPr>
        <w:tc>
          <w:tcPr>
            <w:tcW w:w="1520" w:type="dxa"/>
            <w:vAlign w:val="bottom"/>
          </w:tcPr>
          <w:p>
            <w:pPr>
              <w:jc w:val="center"/>
              <w:ind w:right="276"/>
              <w:spacing w:after="0"/>
              <w:rPr>
                <w:sz w:val="20"/>
                <w:szCs w:val="20"/>
                <w:color w:val="auto"/>
              </w:rPr>
            </w:pPr>
            <w:r>
              <w:rPr>
                <w:rFonts w:ascii="Times New Roman" w:cs="Times New Roman" w:eastAsia="Times New Roman" w:hAnsi="Times New Roman"/>
                <w:sz w:val="21"/>
                <w:szCs w:val="21"/>
                <w:color w:val="auto"/>
                <w:w w:val="98"/>
              </w:rPr>
              <w:t>5.9</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Exclusive Forum</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40"/>
        </w:trPr>
        <w:tc>
          <w:tcPr>
            <w:tcW w:w="1520" w:type="dxa"/>
            <w:vAlign w:val="bottom"/>
          </w:tcPr>
          <w:p>
            <w:pPr>
              <w:spacing w:after="0"/>
              <w:rPr>
                <w:sz w:val="20"/>
                <w:szCs w:val="20"/>
                <w:color w:val="auto"/>
              </w:rPr>
            </w:pPr>
            <w:r>
              <w:rPr>
                <w:rFonts w:ascii="Times New Roman" w:cs="Times New Roman" w:eastAsia="Times New Roman" w:hAnsi="Times New Roman"/>
                <w:sz w:val="21"/>
                <w:szCs w:val="21"/>
                <w:color w:val="auto"/>
              </w:rPr>
              <w:t>ARTICLE VI</w:t>
            </w:r>
          </w:p>
        </w:tc>
        <w:tc>
          <w:tcPr>
            <w:tcW w:w="39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AMENDMENTS</w:t>
            </w:r>
          </w:p>
        </w:tc>
        <w:tc>
          <w:tcPr>
            <w:tcW w:w="5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881"/>
        </w:trPr>
        <w:tc>
          <w:tcPr>
            <w:tcW w:w="15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860" w:type="dxa"/>
            <w:vAlign w:val="bottom"/>
          </w:tcPr>
          <w:p>
            <w:pPr>
              <w:jc w:val="right"/>
              <w:ind w:right="5496"/>
              <w:spacing w:after="0"/>
              <w:rPr>
                <w:sz w:val="20"/>
                <w:szCs w:val="20"/>
                <w:color w:val="auto"/>
              </w:rPr>
            </w:pPr>
            <w:r>
              <w:rPr>
                <w:rFonts w:ascii="Times New Roman" w:cs="Times New Roman" w:eastAsia="Times New Roman" w:hAnsi="Times New Roman"/>
                <w:sz w:val="21"/>
                <w:szCs w:val="21"/>
                <w:color w:val="auto"/>
              </w:rPr>
              <w:t>4</w:t>
            </w:r>
          </w:p>
        </w:tc>
      </w:tr>
      <w:tr>
        <w:trPr>
          <w:trHeight w:val="307"/>
        </w:trPr>
        <w:tc>
          <w:tcPr>
            <w:tcW w:w="15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734" w:right="299" w:bottom="1440" w:gutter="0" w:footer="0" w:header="0"/>
        </w:sectPr>
      </w:pPr>
    </w:p>
    <w:bookmarkStart w:id="65" w:name="page66"/>
    <w:bookmarkEnd w:id="65"/>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STOCKHOLDERS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Place of Meetings</w:t>
      </w:r>
      <w:r>
        <w:rPr>
          <w:rFonts w:ascii="Times New Roman" w:cs="Times New Roman" w:eastAsia="Times New Roman" w:hAnsi="Times New Roman"/>
          <w:sz w:val="21"/>
          <w:szCs w:val="21"/>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w:t>
      </w:r>
    </w:p>
    <w:p>
      <w:pPr>
        <w:spacing w:after="0" w:line="16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The annual meeting of stockholders for the election of directors to succeed those whose terms expire and for the transaction of such other business as may properly be brought before the meeting shall be held on a date and at a time designated by the Board of Directors, the Chairman of the Board, the Chief Executive Officer or the President. The corporation may postpone, reschedule or cancel any previously scheduled annual meeting of stockholders.</w:t>
      </w:r>
    </w:p>
    <w:p>
      <w:pPr>
        <w:spacing w:after="0" w:line="17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stockholders for any purpose or purposes may be called at any time by only the Board of Directors, the Chairman of the Board, the Chief Executive Officer or, if no person then holds the title Chief Executive Officer, the President, and may not be called by any other person or persons. Business transacted at any special meeting of stockholders shall be limited to matters relating to the purpose or purposes stated in the notice of meeting. The corporation may postpone, reschedule or cancel any previously scheduled special meeting of stockholders.</w:t>
      </w:r>
    </w:p>
    <w:p>
      <w:pPr>
        <w:spacing w:after="0" w:line="1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color w:val="auto"/>
        </w:rPr>
        <w:t>. Except as otherwise provided by law, the Certificate of Incorporation or these By-laws,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70"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Stockholder List</w:t>
      </w:r>
      <w:r>
        <w:rPr>
          <w:rFonts w:ascii="Times New Roman" w:cs="Times New Roman" w:eastAsia="Times New Roman" w:hAnsi="Times New Roman"/>
          <w:sz w:val="21"/>
          <w:szCs w:val="21"/>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ending on the date before the meeting date: (a) on a reasonably accessible electronic network, provided that the information required to gain access to such list is provided with the notice of the meeting, or</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00"/>
          </w:cols>
          <w:pgMar w:left="320" w:top="525" w:right="379" w:bottom="1440" w:gutter="0" w:footer="0" w:header="0"/>
        </w:sectPr>
      </w:pPr>
    </w:p>
    <w:bookmarkStart w:id="66" w:name="page67"/>
    <w:bookmarkEnd w:id="66"/>
    <w:p>
      <w:pPr>
        <w:jc w:val="both"/>
        <w:ind w:right="40" w:firstLine="4"/>
        <w:spacing w:after="0" w:line="246" w:lineRule="auto"/>
        <w:tabs>
          <w:tab w:leader="none" w:pos="29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ordinary business hours, at the principal place of business of the corporation. Except as otherwise provided by law, the stock ledger shall be the only evidence as to who are the stockholders entitled to examine the list of stockholders required by this Section 1.5 or to vote in person or by proxy at any meeting of stockholders.</w:t>
      </w:r>
    </w:p>
    <w:p>
      <w:pPr>
        <w:spacing w:after="0" w:line="16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Except as otherwise provided by law, the Certificate of Incorporation or these By-laws, the holders of shares of capital stock representing one-third of the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shares of capital stock representing one-third of the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74" w:lineRule="exact"/>
        <w:rPr>
          <w:sz w:val="20"/>
          <w:szCs w:val="20"/>
          <w:color w:val="auto"/>
        </w:rPr>
      </w:pPr>
    </w:p>
    <w:p>
      <w:pPr>
        <w:ind w:right="20"/>
        <w:spacing w:after="0" w:line="238" w:lineRule="exact"/>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Adjournments</w:t>
      </w:r>
      <w:r>
        <w:rPr>
          <w:rFonts w:ascii="Times New Roman" w:cs="Times New Roman" w:eastAsia="Times New Roman" w:hAnsi="Times New Roman"/>
          <w:sz w:val="21"/>
          <w:szCs w:val="21"/>
          <w:color w:val="auto"/>
        </w:rPr>
        <w:t>. Any meeting of stockholders may be adjourned from time to time to any other time and to any other place at which a meeting of stockholders may be held under these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laws by the chairman of the meeting or by the stockholders present or represented at the meeting and entitled to vote, although less than a quorum. It shall not be necessary to notify any stockholder of any adjournment of less than 30 days (including an adjournment taken to address a technical failure to convene or continue a meeting using remote communication) if the time and place of the adjourned meeting, and the means of remote communication, if any, by which stockholders and proxyholders may be deemed to be present in person and vote at such adjourned meeting, are (i) announced at the meeting at which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1.4, unless after the adjournment a new record date is fixed for the adjourned meeting. At the adjourned meeting, the corporation may transact any business which might have been transacted at the original meeting.</w:t>
      </w:r>
    </w:p>
    <w:p>
      <w:pPr>
        <w:spacing w:after="0" w:line="17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u w:val="single" w:color="auto"/>
          <w:color w:val="auto"/>
        </w:rPr>
        <w:t>Voting and Proxies</w:t>
      </w:r>
      <w:r>
        <w:rPr>
          <w:rFonts w:ascii="Times New Roman" w:cs="Times New Roman" w:eastAsia="Times New Roman" w:hAnsi="Times New Roman"/>
          <w:sz w:val="21"/>
          <w:szCs w:val="21"/>
          <w:color w:val="auto"/>
        </w:rPr>
        <w:t>. Each stockholder shall have one vote for each share of stock entitled to vote and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 In the event the corporation receives proxies for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7" w:name="page68"/>
    <w:bookmarkEnd w:id="67"/>
    <w:p>
      <w:pPr>
        <w:ind w:right="100"/>
        <w:spacing w:after="0" w:line="260" w:lineRule="auto"/>
        <w:rPr>
          <w:sz w:val="20"/>
          <w:szCs w:val="20"/>
          <w:color w:val="auto"/>
        </w:rPr>
      </w:pPr>
      <w:r>
        <w:rPr>
          <w:rFonts w:ascii="Times New Roman" w:cs="Times New Roman" w:eastAsia="Times New Roman" w:hAnsi="Times New Roman"/>
          <w:sz w:val="21"/>
          <w:szCs w:val="21"/>
          <w:color w:val="auto"/>
        </w:rPr>
        <w:t>disqualified or withdrawn nominees for the Board of Directors, such votes for such disqualified or withdrawn nominees in the proxies will be treated as abstentions.</w:t>
      </w:r>
    </w:p>
    <w:p>
      <w:pPr>
        <w:spacing w:after="0" w:line="1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Action at Meeting</w:t>
      </w:r>
      <w:r>
        <w:rPr>
          <w:rFonts w:ascii="Times New Roman" w:cs="Times New Roman" w:eastAsia="Times New Roman" w:hAnsi="Times New Roman"/>
          <w:sz w:val="21"/>
          <w:szCs w:val="21"/>
          <w:color w:val="auto"/>
        </w:rPr>
        <w:t>. When a quorum is present at any meeting, any matter other than the election of directors to be voted upon by the stockholders at such meeting shall be decided by the vote of the holders of shares of capital stock representing a majority in voting power of the votes cast by the holders of all of the shares of capital stock present or represented at the meeting and voting affirmatively or negatively on such matter (or if there are two or more classes or series of capital stock entitled to vote as separate classes, then in the case of each such class or series, the holders of shares of capital stock representing a majority in voting power of the votes cast by the holders of all of the shares of capital stock of that class or series present or represented at the meeting and voting affirmatively or negatively on such matter), except when a different vote is required by law, the Certificate of Incorporation or these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laws. When a quorum is present at any meeting, any election by stockholders of directors shall be determined by a plurality of the votes cast by the stockholders entitled to vote on the 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u w:val="single" w:color="auto"/>
          <w:color w:val="auto"/>
        </w:rPr>
        <w:t>Nomination of Directors</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(a)Except for (1) any directors entitled to be elected by the holders of preferred stock, (2) any directors elected in accordance with Section 2.9 hereof by the Board of Directors to fill a vacancy or newly-created directorship or (3) as otherwise required by applicable law or stock exchange regulation, at any meeting of stockholders, only persons who are nominated in accordance with the procedures in this Section 1.10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1.10(b), (y) is a stockholder of record on the date of the giving of such notice and on the record date for the determination of stockholders entitled to vote at such meeting and (z) is entitled to vote at such meeting.</w:t>
      </w:r>
    </w:p>
    <w:p>
      <w:pPr>
        <w:spacing w:after="0" w:line="16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(b)To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or if no annual meeting was held in the preceding year,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Chairman of the Board, the Chief Executive Officer or the President has determined, in accordance with Section 1.3, that directors shall be elected at such special meeting and provided further that the nomination made by the stockholder is for one of the director positions that the Board of Directors, the Chairman of the Board, the Chief Executive Officer or the President, as the case may be, has determined will be filled at such special meeting, not earlier than the 120th day prior to such special meeting and not later than the close of business on the later of (x) the 90th day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68" w:name="page69"/>
    <w:bookmarkEnd w:id="68"/>
    <w:p>
      <w:pPr>
        <w:spacing w:after="0" w:line="241" w:lineRule="auto"/>
        <w:rPr>
          <w:sz w:val="20"/>
          <w:szCs w:val="20"/>
          <w:color w:val="auto"/>
        </w:rPr>
      </w:pPr>
      <w:r>
        <w:rPr>
          <w:rFonts w:ascii="Times New Roman" w:cs="Times New Roman" w:eastAsia="Times New Roman" w:hAnsi="Times New Roman"/>
          <w:sz w:val="21"/>
          <w:szCs w:val="21"/>
          <w:color w:val="auto"/>
        </w:rPr>
        <w:t>prior to such special meeting and (y)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70"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1"/>
          <w:szCs w:val="21"/>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(5) a questionnaire with respect to the background and qualifications of the proposed nominee completed by the nominee in the form required by the corporation (which questionnaire shall be provided by the Secretary upon written request), and (6) any other information concerning such person that must be disclosed as to nominees in proxy solicitations pursuant to Regulation 14A under the Securities Exchange Act of 1934, as amended (the “Exchange Act”); and (B) as to the stockholder giving the notice and the beneficial owner, if any, on whose behalf the nomination is being made (1) the name and address of such stockholder, as they appear on the corporation’s books, and of such beneficial owner, (2) the class or series and number of shares of stock of the corporation that are, directly or indirectly, owned, beneficially or of record, by such stockholder and such beneficial owner, (3) a 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(5) 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(7) a representation as to whether such stockholder intends to solicit proxies in support of director nominees other than the corporation’s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9" w:name="page70"/>
    <w:bookmarkEnd w:id="69"/>
    <w:p>
      <w:pPr>
        <w:spacing w:after="0" w:line="234" w:lineRule="auto"/>
        <w:rPr>
          <w:sz w:val="20"/>
          <w:szCs w:val="20"/>
          <w:color w:val="auto"/>
        </w:rPr>
      </w:pPr>
      <w:r>
        <w:rPr>
          <w:rFonts w:ascii="Times New Roman" w:cs="Times New Roman" w:eastAsia="Times New Roman" w:hAnsi="Times New Roman"/>
          <w:sz w:val="21"/>
          <w:szCs w:val="21"/>
          <w:color w:val="auto"/>
        </w:rPr>
        <w:t>director nominees in accordance with Rule 14a-19 promulgated under the Exchange Act and (8) a representation whether such stockholder and/or such beneficial owner intends or is part of a group which intends (x) to deliver a proxy statement and/or form of proxy to holders of shares of capital stock representing at least 67% of voting power of all of the shares of capital stock of the corporation outstanding and entitled to vote on the election of directors as of the record date of the meeting (and such representation shall be included in any such proxy statement and form of proxy) and/or (y) otherwise to solicit proxies or votes from stockholders in support of such nomination (and such representation shall be included in any such solicitation materials). Not later than 10 days after the record date for the meeting, the information required by Items (A)(1)-(5) and (B)(1)-(5) of the prior sentence shall be supplemented by the stockholder giving the notice to provide updated information as of the record date. In addition, to be effective, the stockholder’s notice must be accompanied by the written consent of the proposed nominee to serve as a director if elected. 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1.10(b)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w:t>
      </w:r>
    </w:p>
    <w:p>
      <w:pPr>
        <w:spacing w:after="0" w:line="17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(c)The chairman of any meeting shall have the power and duty to determine whether a nomination was made in accordance with the provisions of this Section 1.10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Section 1.10), and if the chairman should determine that a nomination was not made in accordance with the provisions of this Section 1.10, the chairman shall so declare to the meeting and such nomination shall not be brought before the meeting. Further, if a stockholder fails to comply with any applicable requirements of the Exchange Act, including, but not limited to, Rule 14a-19 promulgated thereunder, such stockholder’s proposed nomination shall be deemed to have not been made in compliance with these By-laws and shall be disregarded.</w:t>
      </w:r>
    </w:p>
    <w:p>
      <w:pPr>
        <w:spacing w:after="0" w:line="16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(d)Except as otherwise required by law, nothing in this Section 1.10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6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1"/>
          <w:szCs w:val="21"/>
          <w:color w:val="auto"/>
        </w:rPr>
        <w:t>(e)Notwithstanding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color w:val="auto"/>
        </w:rPr>
        <w:t>electronic transmission, or a reliable reproduction of the written instrument or electronic transmission, at the meeting of stockholders.</w:t>
      </w:r>
    </w:p>
    <w:p>
      <w:pPr>
        <w:spacing w:after="0" w:line="199" w:lineRule="exact"/>
        <w:rPr>
          <w:sz w:val="20"/>
          <w:szCs w:val="20"/>
          <w:color w:val="auto"/>
        </w:rPr>
      </w:pPr>
    </w:p>
    <w:p>
      <w:pPr>
        <w:jc w:val="both"/>
        <w:ind w:right="260"/>
        <w:spacing w:after="0" w:line="246" w:lineRule="auto"/>
        <w:rPr>
          <w:sz w:val="20"/>
          <w:szCs w:val="20"/>
          <w:color w:val="auto"/>
        </w:rPr>
      </w:pPr>
      <w:r>
        <w:rPr>
          <w:rFonts w:ascii="Times New Roman" w:cs="Times New Roman" w:eastAsia="Times New Roman" w:hAnsi="Times New Roman"/>
          <w:sz w:val="21"/>
          <w:szCs w:val="21"/>
          <w:color w:val="auto"/>
        </w:rPr>
        <w:t>(f)For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4" w:lineRule="exact"/>
        <w:rPr>
          <w:sz w:val="20"/>
          <w:szCs w:val="20"/>
          <w:color w:val="auto"/>
        </w:rPr>
      </w:pPr>
    </w:p>
    <w:p>
      <w:pPr>
        <w:ind w:firstLine="4"/>
        <w:spacing w:after="0" w:line="249" w:lineRule="auto"/>
        <w:tabs>
          <w:tab w:leader="none" w:pos="29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these By-laws, unless otherwise required by law, if (A) the stockholder provides notice pursuant to Rule 14a-19(b) promulgated under the Exchange Act in connection with a stockholder notice provided under this Section 1.10 and (B) (i) such stockholder subsequently either (x) notifies the corporation that such stockholder no longer intends to solicit proxies in support of the election of the proposed stockholder nominee in accordance with Rule 14a-19(b) under the Exchange Act or</w:t>
      </w:r>
    </w:p>
    <w:p>
      <w:pPr>
        <w:spacing w:after="0" w:line="2" w:lineRule="exact"/>
        <w:rPr>
          <w:rFonts w:ascii="Times New Roman" w:cs="Times New Roman" w:eastAsia="Times New Roman" w:hAnsi="Times New Roman"/>
          <w:sz w:val="20"/>
          <w:szCs w:val="20"/>
          <w:color w:val="auto"/>
        </w:rPr>
      </w:pPr>
    </w:p>
    <w:p>
      <w:pPr>
        <w:ind w:firstLine="4"/>
        <w:spacing w:after="0" w:line="233" w:lineRule="auto"/>
        <w:tabs>
          <w:tab w:leader="none" w:pos="29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fails to comply with the requirements of Rule 14a-19(a)(2) or Rule 14a-19(a)(3) promulgated under the Exchange Act, and (ii) no other stockholder that has provided notice pursuant to Rule 14a-19(b) promulgated under the Exchange Act with respect to such proposed stockholder nominee (x) intends to solicit proxies in support of the election of such proposed stockholder nominee in accordance with Rule 14a-19(b) promulgated under the Exchange Act and (y) has complied with the requirements of Rule 14a-19(a)(2) and Rule 14a-19(a)(3) promulgated under the Exchange Act. then the nomination of such proposed stockholder nominee shall be disregarded and no vote on the election of such proposed stockholder nominee shall occur (notwithstanding that proxies in respect of such vote may have been received by the corporation). Upon request of the corporation, if any such stockholder provides notice pursuant to Rule 14a-19(b) promulgated under the Exchange Act in connection with a stockholder notice provided under this Section 1.10, such stockholder shall deliver to the corporation, no later than five (5) business days prior to the applicable meeting, reasonable evidence that it has met the requirements of Rule 14a-19(a)(3) promulgated under the Exchange Act.</w:t>
      </w:r>
    </w:p>
    <w:p>
      <w:pPr>
        <w:spacing w:after="0" w:line="169" w:lineRule="exact"/>
        <w:rPr>
          <w:rFonts w:ascii="Times New Roman" w:cs="Times New Roman" w:eastAsia="Times New Roman" w:hAnsi="Times New Roman"/>
          <w:sz w:val="21"/>
          <w:szCs w:val="21"/>
          <w:color w:val="auto"/>
        </w:rPr>
      </w:pPr>
    </w:p>
    <w:p>
      <w:pPr>
        <w:ind w:right="180" w:firstLine="4"/>
        <w:spacing w:after="0" w:line="241" w:lineRule="auto"/>
        <w:tabs>
          <w:tab w:leader="none" w:pos="29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nominees a stockholder may nominate for election at the annual meeting of stockholders (or in the case of a stockholder giving the notice on behalf of a beneficial owner, the number of nominees a stockholder may nominate for election at the annual meeting of stockholders on behalf of such beneficial owner) shall not exceed the number of directors to be elected at such annual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Notice of Business at Annual Meetings</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1"/>
          <w:szCs w:val="21"/>
          <w:color w:val="auto"/>
        </w:rPr>
        <w:t>(a)At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the stockholder must (x) have given timely notice thereof in writing to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1" w:name="page72"/>
    <w:bookmarkEnd w:id="71"/>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Secretary in accordance with the procedures set forth in Section 1.11(b), (y) be a stockholder of record on the date of the giving of such notice and on the record date for the determination of stockholders entitled to vote at such annual meeting and (z) be entitled to vote at such annual meeting.</w:t>
      </w:r>
    </w:p>
    <w:p>
      <w:pPr>
        <w:spacing w:after="0" w:line="16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1"/>
          <w:szCs w:val="21"/>
          <w:color w:val="auto"/>
        </w:rPr>
        <w:t>(b)To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20 days, or delayed by more than 60 days, from the first anniversary of the preceding year’s annual meeting, or if no annual meeting was held in the preceding year,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7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or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and/or such beneficial owner intends or is part of a group which intends (x) to deliver a proxy statement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2" w:name="page73"/>
    <w:bookmarkEnd w:id="72"/>
    <w:p>
      <w:pPr>
        <w:spacing w:after="0" w:line="234" w:lineRule="auto"/>
        <w:rPr>
          <w:sz w:val="20"/>
          <w:szCs w:val="20"/>
          <w:color w:val="auto"/>
        </w:rPr>
      </w:pPr>
      <w:r>
        <w:rPr>
          <w:rFonts w:ascii="Times New Roman" w:cs="Times New Roman" w:eastAsia="Times New Roman" w:hAnsi="Times New Roman"/>
          <w:sz w:val="21"/>
          <w:szCs w:val="21"/>
          <w:color w:val="auto"/>
        </w:rPr>
        <w:t>and/or form of proxy to holders of shares of capital stock representing at least the percentage of voting power of all of the shares of the capital stock of the corporation outstanding as of the record date of the meeting required to approve or adopt the proposal (and such representation shall be included in any such proxy statement and form of proxy) and/or (y) otherwise to solicit proxies or votes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1.11. A stockholder shall not have complied with this Section 1.11(b) if the stockholder (or beneficial owner, if any, on whose behalf the proposal is made) solicits or does not solicit, as the case may be, proxies in support of such stockholder’s proposal in contravention of the representations with respect thereto required by this Section 1.11.</w:t>
      </w:r>
    </w:p>
    <w:p>
      <w:pPr>
        <w:spacing w:after="0" w:line="177"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21"/>
          <w:szCs w:val="21"/>
          <w:color w:val="auto"/>
        </w:rPr>
        <w:t>(c)The chairman of any annual meeting shall have the power and duty to determine whether business was properly brought before the annual meeting in accordance with the provisions of this Section 1.11 (including whether the stockholder or beneficial owner, if any, on whose behalf the proposal is made solicited (or is part of a group which solicited) or did not so solicit, as the case may be, proxies or votes in support of such stockholder’s proposal in compliance with the representation with respect thereto required by this Section 1.11), and if the chairman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17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1"/>
          <w:szCs w:val="21"/>
          <w:color w:val="auto"/>
        </w:rPr>
        <w:t>(d)Except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64"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1"/>
          <w:szCs w:val="21"/>
          <w:color w:val="auto"/>
        </w:rPr>
        <w:t>(e)Notwithstanding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(f)For purposes of this Section 1.11, the terms “qualified representative of the stockholder” and “public disclosure” shall have the same meaning as in Section 1.10.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Conduct of Meetings</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1"/>
          <w:szCs w:val="21"/>
          <w:color w:val="auto"/>
        </w:rPr>
        <w:t>(a)Meetings of stockholders shall be presided over by the Chairman of the Board, if any, or in the Chairman’s absence by the Vice Chairman of the Board, if any, or in the Vice Chairman’s absence by the Chief Executive Officer, or in the Chief Executive Officer’s absence, by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3" w:name="page74"/>
    <w:bookmarkEnd w:id="73"/>
    <w:p>
      <w:pPr>
        <w:ind w:right="40"/>
        <w:spacing w:after="0" w:line="246" w:lineRule="auto"/>
        <w:rPr>
          <w:sz w:val="20"/>
          <w:szCs w:val="20"/>
          <w:color w:val="auto"/>
        </w:rPr>
      </w:pPr>
      <w:r>
        <w:rPr>
          <w:rFonts w:ascii="Times New Roman" w:cs="Times New Roman" w:eastAsia="Times New Roman" w:hAnsi="Times New Roman"/>
          <w:sz w:val="21"/>
          <w:szCs w:val="21"/>
          <w:color w:val="auto"/>
        </w:rPr>
        <w:t>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16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(b)The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convene and (for any or no reason) to recess and/or adjourn the meeting and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1"/>
          <w:szCs w:val="21"/>
          <w:color w:val="auto"/>
        </w:rPr>
        <w:t>(c)The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15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(d)In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6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Action by Consent in Lieu of a Meeting</w:t>
      </w:r>
      <w:r>
        <w:rPr>
          <w:rFonts w:ascii="Times New Roman" w:cs="Times New Roman" w:eastAsia="Times New Roman" w:hAnsi="Times New Roman"/>
          <w:sz w:val="21"/>
          <w:szCs w:val="21"/>
          <w:color w:val="auto"/>
        </w:rPr>
        <w:t xml:space="preserve">. Stockholders of the corporation may not take any action by written consent in lieu of a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and only for so long as Emergent BioSolutions Inc., a Delaware corporation, and its wholly owned subsidiaries, collectively, own capital stock representing a majority of the votes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160"/>
          </w:cols>
          <w:pgMar w:left="320" w:top="319" w:right="419" w:bottom="1440" w:gutter="0" w:footer="0" w:header="0"/>
        </w:sectPr>
      </w:pPr>
    </w:p>
    <w:bookmarkStart w:id="74" w:name="page75"/>
    <w:bookmarkEnd w:id="74"/>
    <w:p>
      <w:pPr>
        <w:spacing w:after="0" w:line="241" w:lineRule="auto"/>
        <w:rPr>
          <w:sz w:val="20"/>
          <w:szCs w:val="20"/>
          <w:color w:val="auto"/>
        </w:rPr>
      </w:pPr>
      <w:r>
        <w:rPr>
          <w:rFonts w:ascii="Times New Roman" w:cs="Times New Roman" w:eastAsia="Times New Roman" w:hAnsi="Times New Roman"/>
          <w:sz w:val="21"/>
          <w:szCs w:val="21"/>
          <w:color w:val="auto"/>
        </w:rPr>
        <w:t>which all the stockholders would be entitled to cast in any annual election of directors or class of directors, any action required or permitted to be taken by the stockholders of the corporation may be taken without a meeting, without prior notice and without a vote, if a consent or consents in writing, setting forth the action to be taken, are signed by the holders of shares of outstanding capital stock having at least the minimum number of votes necessary to authorize such action.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DIRECTORS</w:t>
      </w:r>
    </w:p>
    <w:p>
      <w:pPr>
        <w:spacing w:after="0" w:line="201"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2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Number, Election and Qualification</w:t>
      </w:r>
      <w:r>
        <w:rPr>
          <w:rFonts w:ascii="Times New Roman" w:cs="Times New Roman" w:eastAsia="Times New Roman" w:hAnsi="Times New Roman"/>
          <w:sz w:val="21"/>
          <w:szCs w:val="21"/>
          <w:color w:val="auto"/>
        </w:rPr>
        <w:t>. Subject to the rights of holders of any series of Preferred Stock to elect directors, the number of directors of the corporation shall be established by the Board of Directors. Election of directors need not be by written ballot. Directors need not be stockholders of the corporation.</w:t>
      </w:r>
    </w:p>
    <w:p>
      <w:pPr>
        <w:spacing w:after="0" w:line="16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Chairman of the Board; Vice Chairman of the Board</w:t>
      </w:r>
      <w:r>
        <w:rPr>
          <w:rFonts w:ascii="Times New Roman" w:cs="Times New Roman" w:eastAsia="Times New Roman" w:hAnsi="Times New Roman"/>
          <w:sz w:val="21"/>
          <w:szCs w:val="21"/>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72" w:lineRule="exact"/>
        <w:rPr>
          <w:sz w:val="20"/>
          <w:szCs w:val="20"/>
          <w:color w:val="auto"/>
        </w:rPr>
      </w:pPr>
    </w:p>
    <w:p>
      <w:pPr>
        <w:spacing w:after="0" w:line="246" w:lineRule="exact"/>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Classes of Directors</w:t>
      </w:r>
      <w:r>
        <w:rPr>
          <w:rFonts w:ascii="Times New Roman" w:cs="Times New Roman" w:eastAsia="Times New Roman" w:hAnsi="Times New Roman"/>
          <w:sz w:val="21"/>
          <w:szCs w:val="21"/>
          <w:color w:val="auto"/>
        </w:rPr>
        <w:t>. Subject to the rights of holders of any series of Preferred Stock to elect directors, the Board of Directors shall be and is divided into three classes: Class I, Class II and Class III. Each class shall consist, as nearly as may be possible, of one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third of the total number of directors constituting the entire Board of Directors. The allocation of directors among classes shall be determined by resolution of the Board of Directors.</w:t>
      </w:r>
    </w:p>
    <w:p>
      <w:pPr>
        <w:spacing w:after="0" w:line="17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Terms of Office</w:t>
      </w:r>
      <w:r>
        <w:rPr>
          <w:rFonts w:ascii="Times New Roman" w:cs="Times New Roman" w:eastAsia="Times New Roman" w:hAnsi="Times New Roman"/>
          <w:sz w:val="21"/>
          <w:szCs w:val="21"/>
          <w:color w:val="auto"/>
        </w:rPr>
        <w:t>. Subject to the rights of holders of any series of Preferred Stock to elect directors,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the effectiveness of these Amended and Restated By-laws; each director initially assigned to Class II shall serve for a term expiring at the corporation’s second annual meeting of stockholders held after the effectiveness of these Amended and Restated By-laws; and each director initially assigned to Class III shall serve for a term expiring at the corporation’s third annual meeting of stockholders held after the effectiveness of these Amended and Restated By-laws; provided further, that the term of each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5" w:name="page76"/>
    <w:bookmarkEnd w:id="75"/>
    <w:p>
      <w:pPr>
        <w:ind w:right="180"/>
        <w:spacing w:after="0" w:line="260" w:lineRule="auto"/>
        <w:rPr>
          <w:sz w:val="20"/>
          <w:szCs w:val="20"/>
          <w:color w:val="auto"/>
        </w:rPr>
      </w:pPr>
      <w:r>
        <w:rPr>
          <w:rFonts w:ascii="Times New Roman" w:cs="Times New Roman" w:eastAsia="Times New Roman" w:hAnsi="Times New Roman"/>
          <w:sz w:val="21"/>
          <w:szCs w:val="21"/>
          <w:color w:val="auto"/>
        </w:rPr>
        <w:t>director shall continue until the election and qualification of his or her successor and be subject to his or her earlier death, resignation or removal.</w:t>
      </w:r>
    </w:p>
    <w:p>
      <w:pPr>
        <w:spacing w:after="0" w:line="15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The greater of (a) a majority of the directors at any time in office and (b) one-third of the number of directors established by the Board of Directors pursuant to Section 2.2 of these By-laws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70"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Action at Meeting</w:t>
      </w:r>
      <w:r>
        <w:rPr>
          <w:rFonts w:ascii="Times New Roman" w:cs="Times New Roman" w:eastAsia="Times New Roman" w:hAnsi="Times New Roman"/>
          <w:sz w:val="21"/>
          <w:szCs w:val="21"/>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164"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color w:val="auto"/>
        </w:rPr>
        <w:t>. Subject to the rights of holders of any series of Preferred Stock, directors of the corporation may be removed only for cause and only by the affirmative vote of the holders of shares of capital stock representing at least 75% of the votes which all the stockholders would be entitled to cast in any annual election of directors or class of directors.</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Subject to the rights of holders of any series of Preferred Stock, any vacancy or newly-created directorship on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or until such director’s earlier death, resignation or removal.</w:t>
      </w:r>
    </w:p>
    <w:p>
      <w:pPr>
        <w:spacing w:after="0" w:line="170"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21"/>
          <w:szCs w:val="21"/>
          <w:color w:val="auto"/>
        </w:rPr>
        <w:t xml:space="preserve">2.10 </w:t>
      </w:r>
      <w:r>
        <w:rPr>
          <w:rFonts w:ascii="Times New Roman" w:cs="Times New Roman" w:eastAsia="Times New Roman" w:hAnsi="Times New Roman"/>
          <w:sz w:val="21"/>
          <w:szCs w:val="21"/>
          <w:u w:val="single" w:color="auto"/>
          <w:color w:val="auto"/>
        </w:rPr>
        <w:t>Resignation</w:t>
      </w:r>
      <w:r>
        <w:rPr>
          <w:rFonts w:ascii="Times New Roman" w:cs="Times New Roman" w:eastAsia="Times New Roman" w:hAnsi="Times New Roman"/>
          <w:sz w:val="21"/>
          <w:szCs w:val="21"/>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receipt unless it is specified to be effective at some later time or upon the happening of some later event.</w:t>
      </w:r>
    </w:p>
    <w:p>
      <w:pPr>
        <w:spacing w:after="0" w:line="164"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u w:val="single" w:color="auto"/>
          <w:color w:val="auto"/>
        </w:rPr>
        <w:t>Regular Meetings</w:t>
      </w:r>
      <w:r>
        <w:rPr>
          <w:rFonts w:ascii="Times New Roman" w:cs="Times New Roman" w:eastAsia="Times New Roman" w:hAnsi="Times New Roman"/>
          <w:sz w:val="21"/>
          <w:szCs w:val="21"/>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7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6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 xml:space="preserve">2.13 </w:t>
      </w:r>
      <w:r>
        <w:rPr>
          <w:rFonts w:ascii="Times New Roman" w:cs="Times New Roman" w:eastAsia="Times New Roman" w:hAnsi="Times New Roman"/>
          <w:sz w:val="21"/>
          <w:szCs w:val="21"/>
          <w:u w:val="single" w:color="auto"/>
          <w:color w:val="auto"/>
        </w:rPr>
        <w:t>Notice of Special Meetings</w:t>
      </w:r>
      <w:r>
        <w:rPr>
          <w:rFonts w:ascii="Times New Roman" w:cs="Times New Roman" w:eastAsia="Times New Roman" w:hAnsi="Times New Roman"/>
          <w:sz w:val="21"/>
          <w:szCs w:val="21"/>
          <w:color w:val="auto"/>
        </w:rPr>
        <w:t>. Notice of the date, place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an electronic transmission, or delivering written notice by hand, to such director’s last known business, home or electronic transmission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76" w:name="page77"/>
    <w:bookmarkEnd w:id="76"/>
    <w:p>
      <w:pPr>
        <w:ind w:right="300"/>
        <w:spacing w:after="0" w:line="246" w:lineRule="auto"/>
        <w:rPr>
          <w:sz w:val="20"/>
          <w:szCs w:val="20"/>
          <w:color w:val="auto"/>
        </w:rPr>
      </w:pPr>
      <w:r>
        <w:rPr>
          <w:rFonts w:ascii="Times New Roman" w:cs="Times New Roman" w:eastAsia="Times New Roman" w:hAnsi="Times New Roman"/>
          <w:sz w:val="21"/>
          <w:szCs w:val="21"/>
          <w:color w:val="auto"/>
        </w:rPr>
        <w:t>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6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Meetings by Conference Communications Equipment</w:t>
      </w:r>
      <w:r>
        <w:rPr>
          <w:rFonts w:ascii="Times New Roman" w:cs="Times New Roman" w:eastAsia="Times New Roman" w:hAnsi="Times New Roman"/>
          <w:sz w:val="20"/>
          <w:szCs w:val="20"/>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4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 xml:space="preserve">2.15 </w:t>
      </w:r>
      <w:r>
        <w:rPr>
          <w:rFonts w:ascii="Times New Roman" w:cs="Times New Roman" w:eastAsia="Times New Roman" w:hAnsi="Times New Roman"/>
          <w:sz w:val="21"/>
          <w:szCs w:val="21"/>
          <w:u w:val="single" w:color="auto"/>
          <w:color w:val="auto"/>
        </w:rPr>
        <w:t>Action by Consent</w:t>
      </w:r>
      <w:r>
        <w:rPr>
          <w:rFonts w:ascii="Times New Roman" w:cs="Times New Roman" w:eastAsia="Times New Roman" w:hAnsi="Times New Roman"/>
          <w:sz w:val="21"/>
          <w:szCs w:val="21"/>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0"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21"/>
          <w:szCs w:val="21"/>
          <w:color w:val="auto"/>
        </w:rPr>
        <w:t xml:space="preserve">2.16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3"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0"/>
          <w:szCs w:val="20"/>
          <w:u w:val="single" w:color="auto"/>
          <w:color w:val="auto"/>
        </w:rPr>
        <w:t>Compensation of Directors</w:t>
      </w:r>
      <w:r>
        <w:rPr>
          <w:rFonts w:ascii="Times New Roman" w:cs="Times New Roman" w:eastAsia="Times New Roman" w:hAnsi="Times New Roman"/>
          <w:sz w:val="20"/>
          <w:szCs w:val="20"/>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OFFICERS</w:t>
      </w:r>
    </w:p>
    <w:p>
      <w:pPr>
        <w:spacing w:after="0" w:line="20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Titles</w:t>
      </w:r>
      <w:r>
        <w:rPr>
          <w:rFonts w:ascii="Times New Roman" w:cs="Times New Roman" w:eastAsia="Times New Roman" w:hAnsi="Times New Roman"/>
          <w:sz w:val="21"/>
          <w:szCs w:val="21"/>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64"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Qualification</w:t>
      </w:r>
      <w:r>
        <w:rPr>
          <w:rFonts w:ascii="Times New Roman" w:cs="Times New Roman" w:eastAsia="Times New Roman" w:hAnsi="Times New Roman"/>
          <w:sz w:val="21"/>
          <w:szCs w:val="21"/>
          <w:color w:val="auto"/>
        </w:rPr>
        <w:t>. No officer need be a stockholder. Any two or more offices may be held by the same person.</w:t>
      </w:r>
    </w:p>
    <w:p>
      <w:pPr>
        <w:spacing w:after="0" w:line="180" w:lineRule="exact"/>
        <w:rPr>
          <w:sz w:val="20"/>
          <w:szCs w:val="20"/>
          <w:color w:val="auto"/>
        </w:rPr>
      </w:pPr>
    </w:p>
    <w:p>
      <w:pPr>
        <w:ind w:right="80"/>
        <w:spacing w:after="0" w:line="256" w:lineRule="exact"/>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Tenure</w:t>
      </w:r>
      <w:r>
        <w:rPr>
          <w:rFonts w:ascii="Times New Roman" w:cs="Times New Roman" w:eastAsia="Times New Roman" w:hAnsi="Times New Roman"/>
          <w:sz w:val="21"/>
          <w:szCs w:val="21"/>
          <w:color w:val="auto"/>
        </w:rPr>
        <w:t>. Except as otherwise provided by law, by the Certificate of Incorporation or by these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7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Resignation and Removal</w:t>
      </w:r>
      <w:r>
        <w:rPr>
          <w:rFonts w:ascii="Times New Roman" w:cs="Times New Roman" w:eastAsia="Times New Roman" w:hAnsi="Times New Roman"/>
          <w:sz w:val="21"/>
          <w:szCs w:val="21"/>
          <w:color w:val="auto"/>
        </w:rPr>
        <w:t>. Any officer may resign by delivering a resignation in writing or by electronic transmission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7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President; Chief Executive Officer</w:t>
      </w:r>
      <w:r>
        <w:rPr>
          <w:rFonts w:ascii="Times New Roman" w:cs="Times New Roman" w:eastAsia="Times New Roman" w:hAnsi="Times New Roman"/>
          <w:sz w:val="21"/>
          <w:szCs w:val="21"/>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8" w:name="page79"/>
    <w:bookmarkEnd w:id="78"/>
    <w:p>
      <w:pPr>
        <w:ind w:right="60"/>
        <w:spacing w:after="0" w:line="239" w:lineRule="auto"/>
        <w:rPr>
          <w:sz w:val="20"/>
          <w:szCs w:val="20"/>
          <w:color w:val="auto"/>
        </w:rPr>
      </w:pPr>
      <w:r>
        <w:rPr>
          <w:rFonts w:ascii="Times New Roman" w:cs="Times New Roman" w:eastAsia="Times New Roman" w:hAnsi="Times New Roman"/>
          <w:sz w:val="21"/>
          <w:szCs w:val="21"/>
          <w:color w:val="auto"/>
        </w:rPr>
        <w:t>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70" w:lineRule="exact"/>
        <w:rPr>
          <w:sz w:val="20"/>
          <w:szCs w:val="20"/>
          <w:color w:val="auto"/>
        </w:rPr>
      </w:pPr>
    </w:p>
    <w:p>
      <w:pPr>
        <w:jc w:val="both"/>
        <w:ind w:right="420"/>
        <w:spacing w:after="0" w:line="246"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Vice Presidents</w:t>
      </w:r>
      <w:r>
        <w:rPr>
          <w:rFonts w:ascii="Times New Roman" w:cs="Times New Roman" w:eastAsia="Times New Roman" w:hAnsi="Times New Roman"/>
          <w:sz w:val="21"/>
          <w:szCs w:val="21"/>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6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Secretary and Assistant Secretaries</w:t>
      </w:r>
      <w:r>
        <w:rPr>
          <w:rFonts w:ascii="Times New Roman" w:cs="Times New Roman" w:eastAsia="Times New Roman" w:hAnsi="Times New Roman"/>
          <w:sz w:val="21"/>
          <w:szCs w:val="21"/>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7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1"/>
          <w:szCs w:val="21"/>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In the absence of the Secretary or any Assistant Secretary at any meeting of stockholders or directors, the chairman of the meeting shall designate a temporary secretary to keep a record of the meeting.</w:t>
      </w:r>
    </w:p>
    <w:p>
      <w:pPr>
        <w:spacing w:after="0" w:line="15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3.10 </w:t>
      </w:r>
      <w:r>
        <w:rPr>
          <w:rFonts w:ascii="Times New Roman" w:cs="Times New Roman" w:eastAsia="Times New Roman" w:hAnsi="Times New Roman"/>
          <w:sz w:val="21"/>
          <w:szCs w:val="21"/>
          <w:u w:val="single" w:color="auto"/>
          <w:color w:val="auto"/>
        </w:rPr>
        <w:t>Treasurer and Assistant Treasurers</w:t>
      </w:r>
      <w:r>
        <w:rPr>
          <w:rFonts w:ascii="Times New Roman" w:cs="Times New Roman" w:eastAsia="Times New Roman" w:hAnsi="Times New Roman"/>
          <w:sz w:val="21"/>
          <w:szCs w:val="21"/>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75"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1"/>
          <w:szCs w:val="21"/>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9" w:name="page80"/>
    <w:bookmarkEnd w:id="79"/>
    <w:p>
      <w:pPr>
        <w:ind w:right="200"/>
        <w:spacing w:after="0" w:line="260" w:lineRule="auto"/>
        <w:rPr>
          <w:sz w:val="20"/>
          <w:szCs w:val="20"/>
          <w:color w:val="auto"/>
        </w:rPr>
      </w:pPr>
      <w:r>
        <w:rPr>
          <w:rFonts w:ascii="Times New Roman" w:cs="Times New Roman" w:eastAsia="Times New Roman" w:hAnsi="Times New Roman"/>
          <w:sz w:val="21"/>
          <w:szCs w:val="21"/>
          <w:color w:val="auto"/>
        </w:rPr>
        <w:t>there shall be more than one, the Assistant Treasurers in the order determined by the Board of Directors) shall perform the duties and exercise the powers of the Treasurer.</w:t>
      </w:r>
    </w:p>
    <w:p>
      <w:pPr>
        <w:spacing w:after="0" w:line="1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Salaries</w:t>
      </w:r>
      <w:r>
        <w:rPr>
          <w:rFonts w:ascii="Times New Roman" w:cs="Times New Roman" w:eastAsia="Times New Roman" w:hAnsi="Times New Roman"/>
          <w:sz w:val="21"/>
          <w:szCs w:val="21"/>
          <w:color w:val="auto"/>
        </w:rPr>
        <w:t>. Officers of the corporation shall be entitled to such salaries, compensation or reimbursement as shall be fixed or allowed from time to time by the Board of Directors.</w:t>
      </w:r>
    </w:p>
    <w:p>
      <w:pPr>
        <w:spacing w:after="0" w:line="15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Delegation of Authority</w:t>
      </w:r>
      <w:r>
        <w:rPr>
          <w:rFonts w:ascii="Times New Roman" w:cs="Times New Roman" w:eastAsia="Times New Roman" w:hAnsi="Times New Roman"/>
          <w:sz w:val="21"/>
          <w:szCs w:val="21"/>
          <w:color w:val="auto"/>
        </w:rPr>
        <w:t>. The Board of Directors may from time to time delegate the powers or duties of any officer to any other officer or agent, notwithstanding any provision hereof.</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CAPITAL STOCK</w:t>
      </w:r>
    </w:p>
    <w:p>
      <w:pPr>
        <w:spacing w:after="0" w:line="20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Issuance of Stock</w:t>
      </w:r>
      <w:r>
        <w:rPr>
          <w:rFonts w:ascii="Times New Roman" w:cs="Times New Roman" w:eastAsia="Times New Roman" w:hAnsi="Times New Roman"/>
          <w:sz w:val="21"/>
          <w:szCs w:val="21"/>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7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Stock Certificates; Uncertificated Shares</w:t>
      </w:r>
      <w:r>
        <w:rPr>
          <w:rFonts w:ascii="Times New Roman" w:cs="Times New Roman" w:eastAsia="Times New Roman" w:hAnsi="Times New Roman"/>
          <w:sz w:val="21"/>
          <w:szCs w:val="21"/>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7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1"/>
          <w:szCs w:val="21"/>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80" w:name="page81"/>
    <w:bookmarkEnd w:id="80"/>
    <w:p>
      <w:pPr>
        <w:ind w:right="140"/>
        <w:spacing w:after="0" w:line="237" w:lineRule="auto"/>
        <w:rPr>
          <w:sz w:val="20"/>
          <w:szCs w:val="20"/>
          <w:color w:val="auto"/>
        </w:rPr>
      </w:pPr>
      <w:r>
        <w:rPr>
          <w:rFonts w:ascii="Times New Roman" w:cs="Times New Roman" w:eastAsia="Times New Roman" w:hAnsi="Times New Roman"/>
          <w:sz w:val="21"/>
          <w:szCs w:val="21"/>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5"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Transfers</w:t>
      </w:r>
      <w:r>
        <w:rPr>
          <w:rFonts w:ascii="Times New Roman" w:cs="Times New Roman" w:eastAsia="Times New Roman" w:hAnsi="Times New Roman"/>
          <w:sz w:val="21"/>
          <w:szCs w:val="21"/>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7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and posting of such bond as the corporation may require for the protection of the corporation or any transfer agent or registrar.</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Record Date</w:t>
      </w:r>
      <w:r>
        <w:rPr>
          <w:rFonts w:ascii="Times New Roman" w:cs="Times New Roman" w:eastAsia="Times New Roman" w:hAnsi="Times New Roman"/>
          <w:sz w:val="20"/>
          <w:szCs w:val="20"/>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60 days prior to any other action to which such record date relates.</w:t>
      </w:r>
    </w:p>
    <w:p>
      <w:pPr>
        <w:spacing w:after="0" w:line="1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81" w:name="page82"/>
    <w:bookmarkEnd w:id="81"/>
    <w:p>
      <w:pPr>
        <w:ind w:right="280"/>
        <w:spacing w:after="0" w:line="260" w:lineRule="auto"/>
        <w:rPr>
          <w:sz w:val="20"/>
          <w:szCs w:val="20"/>
          <w:color w:val="auto"/>
        </w:rPr>
      </w:pPr>
      <w:r>
        <w:rPr>
          <w:rFonts w:ascii="Times New Roman" w:cs="Times New Roman" w:eastAsia="Times New Roman" w:hAnsi="Times New Roman"/>
          <w:sz w:val="21"/>
          <w:szCs w:val="21"/>
          <w:color w:val="auto"/>
        </w:rPr>
        <w:t>stockholders for any other purpose shall be at the close of business on the day on which the Board of Directors adopts the resolution relating to such purpose.</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5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The issue, transfer, conversion and registration of shares of stock of the corporation shall be governed by such other regulations as the Board of Directors may establish.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GENERAL PROVISIONS</w:t>
      </w:r>
    </w:p>
    <w:p>
      <w:pPr>
        <w:spacing w:after="0" w:line="20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Except as from time to time otherwise designated by the Board of Directors, the fiscal year of the corporation shall begin on the first day of January of each year and end on the last day of December in each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Corporate Seal</w:t>
      </w:r>
      <w:r>
        <w:rPr>
          <w:rFonts w:ascii="Times New Roman" w:cs="Times New Roman" w:eastAsia="Times New Roman" w:hAnsi="Times New Roman"/>
          <w:sz w:val="21"/>
          <w:szCs w:val="21"/>
          <w:color w:val="auto"/>
        </w:rPr>
        <w:t>. The corporate seal shall be in such form as shall be approved by the Board of Directors.</w:t>
      </w:r>
    </w:p>
    <w:p>
      <w:pPr>
        <w:spacing w:after="0" w:line="1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Waiver of Notice</w:t>
      </w:r>
      <w:r>
        <w:rPr>
          <w:rFonts w:ascii="Times New Roman" w:cs="Times New Roman" w:eastAsia="Times New Roman" w:hAnsi="Times New Roman"/>
          <w:sz w:val="21"/>
          <w:szCs w:val="21"/>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7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Voting of Securities</w:t>
      </w:r>
      <w:r>
        <w:rPr>
          <w:rFonts w:ascii="Times New Roman" w:cs="Times New Roman" w:eastAsia="Times New Roman" w:hAnsi="Times New Roman"/>
          <w:sz w:val="21"/>
          <w:szCs w:val="21"/>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7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Evidence of Authority</w:t>
      </w:r>
      <w:r>
        <w:rPr>
          <w:rFonts w:ascii="Times New Roman" w:cs="Times New Roman" w:eastAsia="Times New Roman" w:hAnsi="Times New Roman"/>
          <w:sz w:val="21"/>
          <w:szCs w:val="21"/>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64"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All references in these By-laws to the Certificate of Incorporation shall be deemed to refer to the Restated Certificate of Incorporation of the corporation, as amended and/or restated and in effect from time to time.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717994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2" w:name="page83"/>
    <w:bookmarkEnd w:id="82"/>
    <w:p>
      <w:pPr>
        <w:ind w:right="140"/>
        <w:spacing w:after="0" w:line="260"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Any determination that any provision of these By-laws is for any reason inapplicable, illegal or ineffective shall not affect or invalidate any other provision of these By-laws.</w:t>
      </w:r>
    </w:p>
    <w:p>
      <w:pPr>
        <w:spacing w:after="0" w:line="15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Pronouns</w:t>
      </w:r>
      <w:r>
        <w:rPr>
          <w:rFonts w:ascii="Times New Roman" w:cs="Times New Roman" w:eastAsia="Times New Roman" w:hAnsi="Times New Roman"/>
          <w:sz w:val="21"/>
          <w:szCs w:val="21"/>
          <w:color w:val="auto"/>
        </w:rPr>
        <w:t>. All pronouns used in these By-laws shall be deemed to refer to the masculine, feminine or neuter, singular or plural, as the identity of the person or persons may require.</w:t>
      </w:r>
    </w:p>
    <w:p>
      <w:pPr>
        <w:spacing w:after="0" w:line="15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Exclusive Forum</w:t>
      </w:r>
      <w:r>
        <w:rPr>
          <w:rFonts w:ascii="Times New Roman" w:cs="Times New Roman" w:eastAsia="Times New Roman" w:hAnsi="Times New Roman"/>
          <w:sz w:val="21"/>
          <w:szCs w:val="21"/>
          <w:color w:val="auto"/>
        </w:rPr>
        <w:t>.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the Certificate of Incorporation or these By-laws (in each case, as they may be amended from time to time) or governed by the internal affairs doctrine. Any person or entity purchasing or otherwise acquiring or holding any interest in shares of capital stock of the corporation shall be deemed to have notice of and consented to the provisions of this Section 5.9.</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AMENDMENTS</w:t>
      </w:r>
    </w:p>
    <w:p>
      <w:pPr>
        <w:spacing w:after="0" w:line="2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These By-laws may be altered, amended or repealed, in whole or in part, or new By-laws may be adopted by the Board of Directors or by the stockholders as provided in the Certificate of Incorporation.</w:t>
      </w:r>
    </w:p>
    <w:p>
      <w:pPr>
        <w:spacing w:after="0" w:line="1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140"/>
          </w:cols>
          <w:pgMar w:left="320" w:top="319" w:right="4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THIRD AMENDMENT TO CREDIT AND SECURITY AGREEMENT</w:t>
      </w:r>
    </w:p>
    <w:p>
      <w:pPr>
        <w:spacing w:after="0" w:line="20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19"/>
          <w:szCs w:val="19"/>
          <w:color w:val="auto"/>
        </w:rPr>
        <w:t>This THIRD AMENDMENT TO CREDIT AND SECURITY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xml:space="preserve">”) is made as of August 30, 2022, by and among </w:t>
      </w:r>
      <w:r>
        <w:rPr>
          <w:rFonts w:ascii="Times New Roman" w:cs="Times New Roman" w:eastAsia="Times New Roman" w:hAnsi="Times New Roman"/>
          <w:sz w:val="19"/>
          <w:szCs w:val="19"/>
          <w:b w:val="1"/>
          <w:bCs w:val="1"/>
          <w:color w:val="auto"/>
        </w:rPr>
        <w:t>APTEVO THERAPEUTICS INC.</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b w:val="1"/>
          <w:bCs w:val="1"/>
          <w:color w:val="auto"/>
        </w:rPr>
        <w:t>Aptevo Therapeutics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APTEVO RESEARCH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DEVELOPMENT LLC</w:t>
      </w:r>
      <w:r>
        <w:rPr>
          <w:rFonts w:ascii="Times New Roman" w:cs="Times New Roman" w:eastAsia="Times New Roman" w:hAnsi="Times New Roman"/>
          <w:sz w:val="19"/>
          <w:szCs w:val="19"/>
          <w:color w:val="auto"/>
        </w:rPr>
        <w:t>, a Delaware limited liability company (“</w:t>
      </w:r>
      <w:r>
        <w:rPr>
          <w:rFonts w:ascii="Times New Roman" w:cs="Times New Roman" w:eastAsia="Times New Roman" w:hAnsi="Times New Roman"/>
          <w:sz w:val="19"/>
          <w:szCs w:val="19"/>
          <w:b w:val="1"/>
          <w:bCs w:val="1"/>
          <w:color w:val="auto"/>
        </w:rPr>
        <w:t>Aptevo R&amp;D</w:t>
      </w:r>
      <w:r>
        <w:rPr>
          <w:rFonts w:ascii="Times New Roman" w:cs="Times New Roman" w:eastAsia="Times New Roman" w:hAnsi="Times New Roman"/>
          <w:sz w:val="19"/>
          <w:szCs w:val="19"/>
          <w:color w:val="auto"/>
        </w:rPr>
        <w:t>”, and together with Aptevo Therapeutics, each individually,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Borrowers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MIDCAP FINANCIAL TRUST</w:t>
      </w:r>
      <w:r>
        <w:rPr>
          <w:rFonts w:ascii="Times New Roman" w:cs="Times New Roman" w:eastAsia="Times New Roman" w:hAnsi="Times New Roman"/>
          <w:sz w:val="19"/>
          <w:szCs w:val="19"/>
          <w:color w:val="auto"/>
        </w:rPr>
        <w:t>, a Delaware statutory trust, as Agent (in such capacity, together with its successors and assigns,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and the financial institutions or other entities from time to time parties to the Credit Agreement referenced below, each as a Lender.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11" w:lineRule="exact"/>
        <w:rPr>
          <w:sz w:val="20"/>
          <w:szCs w:val="20"/>
          <w:color w:val="auto"/>
        </w:rPr>
      </w:pPr>
    </w:p>
    <w:p>
      <w:pPr>
        <w:jc w:val="both"/>
        <w:ind w:firstLine="868"/>
        <w:spacing w:after="0" w:line="250" w:lineRule="auto"/>
        <w:tabs>
          <w:tab w:leader="none" w:pos="167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Lenders and Borrowers have entered into that certain Credit and Security Agreement, dated as of August 5, 2020 (as amended, modified, supplemented and restated prior to the date hereof, the “</w:t>
      </w:r>
      <w:r>
        <w:rPr>
          <w:rFonts w:ascii="Times New Roman" w:cs="Times New Roman" w:eastAsia="Times New Roman" w:hAnsi="Times New Roman"/>
          <w:sz w:val="19"/>
          <w:szCs w:val="19"/>
          <w:b w:val="1"/>
          <w:bCs w:val="1"/>
          <w:color w:val="auto"/>
        </w:rPr>
        <w:t>Existing Credit Agreement</w:t>
      </w:r>
      <w:r>
        <w:rPr>
          <w:rFonts w:ascii="Times New Roman" w:cs="Times New Roman" w:eastAsia="Times New Roman" w:hAnsi="Times New Roman"/>
          <w:sz w:val="19"/>
          <w:szCs w:val="19"/>
          <w:color w:val="auto"/>
        </w:rPr>
        <w:t>” and as the same is amended hereby and as it may be further amended, modified, supplemented and restated from time to time,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pursuant to which the Lenders have agreed to make certain advances of money and to extend certain financial accommodations to Borrowers in the amounts and manner set forth in the Credit Agreement.</w:t>
      </w:r>
    </w:p>
    <w:p>
      <w:pPr>
        <w:spacing w:after="0" w:line="183" w:lineRule="exact"/>
        <w:rPr>
          <w:rFonts w:ascii="Times New Roman" w:cs="Times New Roman" w:eastAsia="Times New Roman" w:hAnsi="Times New Roman"/>
          <w:sz w:val="19"/>
          <w:szCs w:val="19"/>
          <w:color w:val="auto"/>
        </w:rPr>
      </w:pPr>
    </w:p>
    <w:p>
      <w:pPr>
        <w:ind w:firstLine="868"/>
        <w:spacing w:after="0" w:line="275" w:lineRule="auto"/>
        <w:tabs>
          <w:tab w:leader="none" w:pos="16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Borrowers have requested, and Agent and Lenders have agreed, to amend certain provisions of the Existing Credit Agreement, in each case, in accordance with the terms and subject to the conditions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11" w:lineRule="exact"/>
        <w:rPr>
          <w:sz w:val="20"/>
          <w:szCs w:val="20"/>
          <w:color w:val="auto"/>
        </w:rPr>
      </w:pPr>
    </w:p>
    <w:p>
      <w:pPr>
        <w:ind w:firstLine="864"/>
        <w:spacing w:after="0" w:line="275" w:lineRule="auto"/>
        <w:rPr>
          <w:sz w:val="20"/>
          <w:szCs w:val="20"/>
          <w:color w:val="auto"/>
        </w:rPr>
      </w:pPr>
      <w:r>
        <w:rPr>
          <w:rFonts w:ascii="Times New Roman" w:cs="Times New Roman" w:eastAsia="Times New Roman" w:hAnsi="Times New Roman"/>
          <w:sz w:val="19"/>
          <w:szCs w:val="19"/>
          <w:color w:val="auto"/>
        </w:rPr>
        <w:t>NOW, THEREFORE, in consideration of the foregoing, the terms and conditions set forth in this Agreement, and other good and valuable consideration, the receipt and sufficiency of which are hereby acknowledged, Agent, Lenders and Borrowers hereby agree as follows:</w:t>
      </w:r>
    </w:p>
    <w:p>
      <w:pPr>
        <w:spacing w:after="0" w:line="145" w:lineRule="exact"/>
        <w:rPr>
          <w:sz w:val="20"/>
          <w:szCs w:val="20"/>
          <w:color w:val="auto"/>
        </w:rPr>
      </w:pPr>
    </w:p>
    <w:p>
      <w:pPr>
        <w:jc w:val="both"/>
        <w:ind w:firstLine="868"/>
        <w:spacing w:after="0" w:line="259" w:lineRule="auto"/>
        <w:tabs>
          <w:tab w:leader="none" w:pos="1628"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Recitals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010000"/>
        </w:rPr>
        <w:t>This Agreement shall constitute a Financing Document and each reference to the Credit Agreement, unless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010000"/>
        </w:rPr>
        <w:t>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r>
        <w:rPr>
          <w:rFonts w:ascii="Times New Roman" w:cs="Times New Roman" w:eastAsia="Times New Roman" w:hAnsi="Times New Roman"/>
          <w:sz w:val="19"/>
          <w:szCs w:val="19"/>
          <w:color w:val="000000"/>
        </w:rPr>
        <w:t>.</w:t>
      </w:r>
    </w:p>
    <w:p>
      <w:pPr>
        <w:spacing w:after="0" w:line="157" w:lineRule="exact"/>
        <w:rPr>
          <w:rFonts w:ascii="Times New Roman" w:cs="Times New Roman" w:eastAsia="Times New Roman" w:hAnsi="Times New Roman"/>
          <w:sz w:val="19"/>
          <w:szCs w:val="19"/>
          <w:color w:val="010000"/>
        </w:rPr>
      </w:pPr>
    </w:p>
    <w:p>
      <w:pPr>
        <w:jc w:val="both"/>
        <w:ind w:firstLine="868"/>
        <w:spacing w:after="0" w:line="261" w:lineRule="auto"/>
        <w:tabs>
          <w:tab w:leader="none" w:pos="1628" w:val="left"/>
        </w:tabs>
        <w:numPr>
          <w:ilvl w:val="0"/>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Amendment to the Existing Credit Agreement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satisfaction of the conditions to effectiveness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below, the Existing Credit Agreement is hereby amended as follows, which amendments to the Credit Agreement are effective as of the first day after the end of the Interest Period during which this Agreement becomes effective in accordance with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below:</w:t>
      </w:r>
    </w:p>
    <w:p>
      <w:pPr>
        <w:spacing w:after="0" w:line="159" w:lineRule="exact"/>
        <w:rPr>
          <w:rFonts w:ascii="Times New Roman" w:cs="Times New Roman" w:eastAsia="Times New Roman" w:hAnsi="Times New Roman"/>
          <w:sz w:val="19"/>
          <w:szCs w:val="19"/>
          <w:color w:val="010000"/>
        </w:rPr>
      </w:pPr>
    </w:p>
    <w:p>
      <w:pPr>
        <w:ind w:firstLine="1732"/>
        <w:spacing w:after="0" w:line="275" w:lineRule="auto"/>
        <w:tabs>
          <w:tab w:leader="none" w:pos="2561"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Section 1.1 of the Existing Credit Agreement is hereby amended by adding the following new defined terms in the appropriate alphabetical order therein:</w:t>
      </w:r>
    </w:p>
    <w:p>
      <w:pPr>
        <w:spacing w:after="0" w:line="145" w:lineRule="exact"/>
        <w:rPr>
          <w:sz w:val="20"/>
          <w:szCs w:val="20"/>
          <w:color w:val="auto"/>
        </w:rPr>
      </w:pPr>
    </w:p>
    <w:p>
      <w:pPr>
        <w:jc w:val="both"/>
        <w:ind w:left="1740" w:right="86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Tenor</w:t>
      </w:r>
      <w:r>
        <w:rPr>
          <w:rFonts w:ascii="Times New Roman" w:cs="Times New Roman" w:eastAsia="Times New Roman" w:hAnsi="Times New Roman"/>
          <w:sz w:val="19"/>
          <w:szCs w:val="19"/>
          <w:color w:val="auto"/>
        </w:rPr>
        <w:t>” means, as of any date of determination with respect to the then-current Benchmark, (a) if such Benchmark is a term rate, any tenor for such Benchmark (or component thereof) that is or may be used for determining the length of an interest period pursuant to this Agreement or (b) otherwise,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310515</wp:posOffset>
            </wp:positionV>
            <wp:extent cx="717994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4" w:name="page85"/>
    <w:bookmarkEnd w:id="84"/>
    <w:p>
      <w:pPr>
        <w:jc w:val="both"/>
        <w:ind w:left="620"/>
        <w:spacing w:after="0" w:line="250" w:lineRule="auto"/>
        <w:rPr>
          <w:sz w:val="20"/>
          <w:szCs w:val="20"/>
          <w:color w:val="auto"/>
        </w:rPr>
      </w:pPr>
      <w:r>
        <w:rPr>
          <w:rFonts w:ascii="Times New Roman" w:cs="Times New Roman" w:eastAsia="Times New Roman" w:hAnsi="Times New Roman"/>
          <w:sz w:val="19"/>
          <w:szCs w:val="19"/>
          <w:color w:val="auto"/>
        </w:rPr>
        <w:t>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or similar term pursuant to Section 2.2(h).</w:t>
      </w:r>
    </w:p>
    <w:p>
      <w:pPr>
        <w:spacing w:after="0" w:line="168"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w:t>
      </w:r>
      <w:r>
        <w:rPr>
          <w:rFonts w:ascii="Times New Roman" w:cs="Times New Roman" w:eastAsia="Times New Roman" w:hAnsi="Times New Roman"/>
          <w:sz w:val="19"/>
          <w:szCs w:val="19"/>
          <w:color w:val="auto"/>
        </w:rPr>
        <w:t>” 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2.2(h).</w:t>
      </w:r>
    </w:p>
    <w:p>
      <w:pPr>
        <w:spacing w:after="0" w:line="167" w:lineRule="exact"/>
        <w:rPr>
          <w:sz w:val="20"/>
          <w:szCs w:val="20"/>
          <w:color w:val="auto"/>
        </w:rPr>
      </w:pPr>
    </w:p>
    <w:p>
      <w:pPr>
        <w:jc w:val="both"/>
        <w:ind w:left="620"/>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w:t>
      </w:r>
      <w:r>
        <w:rPr>
          <w:rFonts w:ascii="Times New Roman" w:cs="Times New Roman" w:eastAsia="Times New Roman" w:hAnsi="Times New Roman"/>
          <w:sz w:val="19"/>
          <w:szCs w:val="19"/>
          <w:color w:val="auto"/>
        </w:rPr>
        <w:t xml:space="preserve">” means, with respect to any Benchmark Transition Event, the sum of: (a) the alternate benchmark rate that has been selected by Agent in consultation with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Financing Documents;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 </w:t>
      </w:r>
      <w:r>
        <w:rPr>
          <w:rFonts w:ascii="Times New Roman" w:cs="Times New Roman" w:eastAsia="Times New Roman" w:hAnsi="Times New Roman"/>
          <w:sz w:val="19"/>
          <w:szCs w:val="19"/>
          <w:color w:val="auto"/>
        </w:rPr>
        <w:t>that in no event shall the Benchmark Replacement be higher than two and one-half of one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percent (2.50%).</w:t>
      </w:r>
    </w:p>
    <w:p>
      <w:pPr>
        <w:spacing w:after="0" w:line="178"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in consultation with the Borrowers giving due consideration to any selection or recommendation by the Relevant Governmental Body, or any evolving or then-prevailing market convention at the time of determination, for determining a spread adjustment, or method for calculating or determining such spread adjustment, for such type of replacement for U.S. dollar-denominated syndicated credit facilities.</w:t>
      </w:r>
    </w:p>
    <w:p>
      <w:pPr>
        <w:spacing w:after="0" w:line="177" w:lineRule="exact"/>
        <w:rPr>
          <w:sz w:val="20"/>
          <w:szCs w:val="20"/>
          <w:color w:val="auto"/>
        </w:rPr>
      </w:pPr>
    </w:p>
    <w:p>
      <w:pPr>
        <w:jc w:val="both"/>
        <w:ind w:left="620"/>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Date</w:t>
      </w:r>
      <w:r>
        <w:rPr>
          <w:rFonts w:ascii="Times New Roman" w:cs="Times New Roman" w:eastAsia="Times New Roman" w:hAnsi="Times New Roman"/>
          <w:sz w:val="19"/>
          <w:szCs w:val="19"/>
          <w:color w:val="auto"/>
        </w:rPr>
        <w:t>” 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321945</wp:posOffset>
            </wp:positionV>
            <wp:extent cx="717994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9260"/>
          </w:cols>
          <w:pgMar w:left="1440" w:top="324" w:right="1199" w:bottom="1440" w:gutter="0" w:footer="0" w:header="0"/>
        </w:sectPr>
      </w:pPr>
    </w:p>
    <w:bookmarkStart w:id="85" w:name="page86"/>
    <w:bookmarkEnd w:id="85"/>
    <w:p>
      <w:pPr>
        <w:jc w:val="both"/>
        <w:ind w:left="620"/>
        <w:spacing w:after="0" w:line="250" w:lineRule="auto"/>
        <w:rPr>
          <w:sz w:val="20"/>
          <w:szCs w:val="20"/>
          <w:color w:val="auto"/>
        </w:rPr>
      </w:pPr>
      <w:r>
        <w:rPr>
          <w:rFonts w:ascii="Times New Roman" w:cs="Times New Roman" w:eastAsia="Times New Roman" w:hAnsi="Times New Roman"/>
          <w:sz w:val="19"/>
          <w:szCs w:val="19"/>
          <w:color w:val="auto"/>
        </w:rPr>
        <w:t>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8"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5"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Transition Start Date</w:t>
      </w:r>
      <w:r>
        <w:rPr>
          <w:rFonts w:ascii="Times New Roman" w:cs="Times New Roman" w:eastAsia="Times New Roman" w:hAnsi="Times New Roman"/>
          <w:sz w:val="19"/>
          <w:szCs w:val="19"/>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0"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Unavailability Period</w:t>
      </w:r>
      <w:r>
        <w:rPr>
          <w:rFonts w:ascii="Times New Roman" w:cs="Times New Roman" w:eastAsia="Times New Roman" w:hAnsi="Times New Roman"/>
          <w:sz w:val="19"/>
          <w:szCs w:val="19"/>
          <w:color w:val="auto"/>
        </w:rPr>
        <w:t>” means the period (if any) (a) beginning at the time that a Benchmark Replacement Date pursuant to clauses (a) or (b) of that definition has occurred if, at such time, no Benchmark Replacement has replaced the then-current Benchmark for all purposes hereunder and under any Financing Document in accordance with Section 2.2(h) and (b) ending at the time that a Benchmark Replacement has replaced the then-current Benchmark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316865</wp:posOffset>
            </wp:positionV>
            <wp:extent cx="717994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9260"/>
          </w:cols>
          <w:pgMar w:left="1440" w:top="324" w:right="1199"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19"/>
          <w:szCs w:val="19"/>
          <w:color w:val="auto"/>
        </w:rPr>
        <w:t>purposes hereunder and under any Financing Document in accordance with Section 2.2(h).</w:t>
      </w:r>
    </w:p>
    <w:p>
      <w:pPr>
        <w:spacing w:after="0" w:line="207" w:lineRule="exact"/>
        <w:rPr>
          <w:sz w:val="20"/>
          <w:szCs w:val="20"/>
          <w:color w:val="auto"/>
        </w:rPr>
      </w:pPr>
    </w:p>
    <w:p>
      <w:pPr>
        <w:jc w:val="both"/>
        <w:ind w:left="620"/>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Conforming Changes</w:t>
      </w:r>
      <w:r>
        <w:rPr>
          <w:rFonts w:ascii="Times New Roman" w:cs="Times New Roman" w:eastAsia="Times New Roman" w:hAnsi="Times New Roman"/>
          <w:sz w:val="19"/>
          <w:szCs w:val="19"/>
          <w:color w:val="auto"/>
        </w:rPr>
        <w:t>” means, with respect to Term SOFR or any Benchmark Replacement, any technical, administrative or operational changes (including (a) changes to the definition of “Business Day”,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2.8 (</w:t>
      </w:r>
      <w:r>
        <w:rPr>
          <w:rFonts w:ascii="Times New Roman" w:cs="Times New Roman" w:eastAsia="Times New Roman" w:hAnsi="Times New Roman"/>
          <w:sz w:val="19"/>
          <w:szCs w:val="19"/>
          <w:i w:val="1"/>
          <w:iCs w:val="1"/>
          <w:color w:val="auto"/>
        </w:rPr>
        <w:t>Taxes; Capital Adequacy;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Increased Costs; Inability to Determine Rates; Illegality</w:t>
      </w:r>
      <w:r>
        <w:rPr>
          <w:rFonts w:ascii="Times New Roman" w:cs="Times New Roman" w:eastAsia="Times New Roman" w:hAnsi="Times New Roman"/>
          <w:sz w:val="19"/>
          <w:szCs w:val="19"/>
          <w:color w:val="auto"/>
        </w:rPr>
        <w:t>) and (e) other technical, administrative or operational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matters) that Agent decides, in consultation with the Borrowers. may be 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73" w:lineRule="exact"/>
        <w:rPr>
          <w:sz w:val="20"/>
          <w:szCs w:val="20"/>
          <w:color w:val="auto"/>
        </w:rPr>
      </w:pPr>
    </w:p>
    <w:p>
      <w:pPr>
        <w:jc w:val="both"/>
        <w:ind w:left="620" w:right="2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Connection Income Taxes</w:t>
      </w:r>
      <w:r>
        <w:rPr>
          <w:rFonts w:ascii="Times New Roman" w:cs="Times New Roman" w:eastAsia="Times New Roman" w:hAnsi="Times New Roman"/>
          <w:sz w:val="19"/>
          <w:szCs w:val="19"/>
          <w:color w:val="auto"/>
        </w:rPr>
        <w:t>” means Other Connection Taxes that are imposed on or measured by net income (however denominated) or that are franchise Taxes or branch profits Taxes.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Floor</w:t>
      </w:r>
      <w:r>
        <w:rPr>
          <w:rFonts w:ascii="Times New Roman" w:cs="Times New Roman" w:eastAsia="Times New Roman" w:hAnsi="Times New Roman"/>
          <w:sz w:val="19"/>
          <w:szCs w:val="19"/>
          <w:color w:val="auto"/>
        </w:rPr>
        <w:t>” means the rate per annum of interest equal to one and one half percent (1.50%).</w:t>
      </w:r>
    </w:p>
    <w:p>
      <w:pPr>
        <w:spacing w:after="0" w:line="209"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Time</w:t>
      </w:r>
      <w:r>
        <w:rPr>
          <w:rFonts w:ascii="Times New Roman" w:cs="Times New Roman" w:eastAsia="Times New Roman" w:hAnsi="Times New Roman"/>
          <w:sz w:val="19"/>
          <w:szCs w:val="19"/>
          <w:color w:val="auto"/>
        </w:rPr>
        <w:t>” means, for any Interest Period, the day that is two (2) SOFR Business Days prior to the first day of such Interest Period. If by 5:00 pm (New York City time) on any such day, Term SOFR in respect of such day has not been published on the SOFR Administrator’s Website and a Benchmark Replacement Date with respect to the SOFR has not occurred, then Term SOFR for such date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spacing w:after="0" w:line="174"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Governmental Body</w:t>
      </w:r>
      <w:r>
        <w:rPr>
          <w:rFonts w:ascii="Times New Roman" w:cs="Times New Roman" w:eastAsia="Times New Roman" w:hAnsi="Times New Roman"/>
          <w:sz w:val="19"/>
          <w:szCs w:val="19"/>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0" w:lineRule="exact"/>
        <w:rPr>
          <w:sz w:val="20"/>
          <w:szCs w:val="20"/>
          <w:color w:val="auto"/>
        </w:rPr>
      </w:pPr>
    </w:p>
    <w:p>
      <w:pPr>
        <w:jc w:val="both"/>
        <w:ind w:left="62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w:t>
      </w:r>
      <w:r>
        <w:rPr>
          <w:rFonts w:ascii="Times New Roman" w:cs="Times New Roman" w:eastAsia="Times New Roman" w:hAnsi="Times New Roman"/>
          <w:sz w:val="19"/>
          <w:szCs w:val="19"/>
          <w:color w:val="auto"/>
        </w:rPr>
        <w:t>” means, with respect to any SOFR Business Day, a rate per annum equal to the secured overnight financing rate for such SOFR Business Day, as administered by the SOFR Administrator.</w:t>
      </w:r>
    </w:p>
    <w:p>
      <w:pPr>
        <w:spacing w:after="0" w:line="143" w:lineRule="exact"/>
        <w:rPr>
          <w:sz w:val="20"/>
          <w:szCs w:val="20"/>
          <w:color w:val="auto"/>
        </w:rPr>
      </w:pPr>
    </w:p>
    <w:p>
      <w:pPr>
        <w:jc w:val="both"/>
        <w:ind w:left="62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 rate).</w:t>
      </w:r>
    </w:p>
    <w:p>
      <w:pPr>
        <w:spacing w:after="0" w:line="143" w:lineRule="exact"/>
        <w:rPr>
          <w:sz w:val="20"/>
          <w:szCs w:val="20"/>
          <w:color w:val="auto"/>
        </w:rPr>
      </w:pPr>
    </w:p>
    <w:p>
      <w:pPr>
        <w:jc w:val="both"/>
        <w:ind w:left="62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Administrator’s Website</w:t>
      </w:r>
      <w:r>
        <w:rPr>
          <w:rFonts w:ascii="Times New Roman" w:cs="Times New Roman" w:eastAsia="Times New Roman" w:hAnsi="Times New Roman"/>
          <w:sz w:val="19"/>
          <w:szCs w:val="19"/>
          <w:color w:val="auto"/>
        </w:rPr>
        <w:t>” means the website of the SOFR Administrator, currently at https://www.cmegroup.com/market-data/cme-group-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299720</wp:posOffset>
            </wp:positionV>
            <wp:extent cx="717994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9260"/>
          </w:cols>
          <w:pgMar w:left="1440" w:top="324" w:right="1199" w:bottom="1440" w:gutter="0" w:footer="0" w:header="0"/>
        </w:sectPr>
      </w:pPr>
    </w:p>
    <w:bookmarkStart w:id="87" w:name="page88"/>
    <w:bookmarkEnd w:id="87"/>
    <w:p>
      <w:pPr>
        <w:jc w:val="both"/>
        <w:ind w:left="620" w:right="860"/>
        <w:spacing w:after="0" w:line="275" w:lineRule="auto"/>
        <w:rPr>
          <w:sz w:val="20"/>
          <w:szCs w:val="20"/>
          <w:color w:val="auto"/>
        </w:rPr>
      </w:pPr>
      <w:r>
        <w:rPr>
          <w:rFonts w:ascii="Times New Roman" w:cs="Times New Roman" w:eastAsia="Times New Roman" w:hAnsi="Times New Roman"/>
          <w:sz w:val="19"/>
          <w:szCs w:val="19"/>
          <w:color w:val="auto"/>
        </w:rPr>
        <w:t>benchmark-administration/term-sofr.html, or any successor source for Term SOFR identified by the SOFR Administrator from time to time.</w:t>
      </w:r>
    </w:p>
    <w:p>
      <w:pPr>
        <w:spacing w:after="0" w:line="145" w:lineRule="exact"/>
        <w:rPr>
          <w:sz w:val="20"/>
          <w:szCs w:val="20"/>
          <w:color w:val="auto"/>
        </w:rPr>
      </w:pPr>
    </w:p>
    <w:p>
      <w:pPr>
        <w:jc w:val="both"/>
        <w:ind w:left="620" w:right="86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Business Day</w:t>
      </w:r>
      <w:r>
        <w:rPr>
          <w:rFonts w:ascii="Times New Roman" w:cs="Times New Roman" w:eastAsia="Times New Roman" w:hAnsi="Times New Roman"/>
          <w:sz w:val="19"/>
          <w:szCs w:val="19"/>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60" w:lineRule="exact"/>
        <w:rPr>
          <w:sz w:val="20"/>
          <w:szCs w:val="20"/>
          <w:color w:val="auto"/>
        </w:rPr>
      </w:pPr>
    </w:p>
    <w:p>
      <w:pPr>
        <w:jc w:val="both"/>
        <w:ind w:left="620" w:right="86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Implementation Date</w:t>
      </w:r>
      <w:r>
        <w:rPr>
          <w:rFonts w:ascii="Times New Roman" w:cs="Times New Roman" w:eastAsia="Times New Roman" w:hAnsi="Times New Roman"/>
          <w:sz w:val="19"/>
          <w:szCs w:val="19"/>
          <w:color w:val="auto"/>
        </w:rPr>
        <w:t>” means the first day after the end of the Interest Period during which the Third Amendment shall become effective in accordance with its terms.</w:t>
      </w:r>
    </w:p>
    <w:p>
      <w:pPr>
        <w:spacing w:after="0" w:line="143" w:lineRule="exact"/>
        <w:rPr>
          <w:sz w:val="20"/>
          <w:szCs w:val="20"/>
          <w:color w:val="auto"/>
        </w:rPr>
      </w:pPr>
    </w:p>
    <w:p>
      <w:pPr>
        <w:jc w:val="both"/>
        <w:ind w:left="620" w:right="86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Interest Rate</w:t>
      </w:r>
      <w:r>
        <w:rPr>
          <w:rFonts w:ascii="Times New Roman" w:cs="Times New Roman" w:eastAsia="Times New Roman" w:hAnsi="Times New Roman"/>
          <w:sz w:val="19"/>
          <w:szCs w:val="19"/>
          <w:color w:val="auto"/>
        </w:rPr>
        <w:t>” means, with respect to each day during which interest accrues on a Loan, the rate per annum (expressed as a percentage) equal to (a) Term SOFR for the applicable Interest Period for such day; or (b) if the then-current Benchmark has been replaced with a Benchmark Replacement pursuant to Section 2.2(h), such Benchmark Replacement for such day. Notwithstanding the foregoing, the SOFR Interest Rate shall not at any time (x) be less the Floor or (y) higher than two and one-half of one percent (2.50%).</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Loan</w:t>
      </w:r>
      <w:r>
        <w:rPr>
          <w:rFonts w:ascii="Times New Roman" w:cs="Times New Roman" w:eastAsia="Times New Roman" w:hAnsi="Times New Roman"/>
          <w:sz w:val="19"/>
          <w:szCs w:val="19"/>
          <w:color w:val="auto"/>
        </w:rPr>
        <w:t>” means a Loan that bears interest at a rate based on Term SOFR.</w:t>
      </w:r>
    </w:p>
    <w:p>
      <w:pPr>
        <w:spacing w:after="0" w:line="209" w:lineRule="exact"/>
        <w:rPr>
          <w:sz w:val="20"/>
          <w:szCs w:val="20"/>
          <w:color w:val="auto"/>
        </w:rPr>
      </w:pPr>
    </w:p>
    <w:p>
      <w:pPr>
        <w:jc w:val="both"/>
        <w:ind w:left="620" w:right="860"/>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w:t>
      </w:r>
      <w:r>
        <w:rPr>
          <w:rFonts w:ascii="Times New Roman" w:cs="Times New Roman" w:eastAsia="Times New Roman" w:hAnsi="Times New Roman"/>
          <w:sz w:val="19"/>
          <w:szCs w:val="19"/>
          <w:color w:val="auto"/>
        </w:rPr>
        <w:t xml:space="preserve">” means the greater of (a) the forward-looking term rate for a period comparable to such Interest Period based on SOFR that is published by the SOFR Administrator and is displayed on the SOFR Administrator’s Website at approximately the Reference Time for such Interest Period plus 0.10% and (b) the Floor;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Term SOFR be higher than two and one-half of one percent (2.50%). Unless otherwise specified in any amendment to this Agreement entered into in accordance with Section 2.2(h), in the event that a Benchmark Replacement with respect to Term SOFR is implemented, then all references herein to Term SOFR shall be deemed references to such Benchmark Replacement.</w:t>
      </w:r>
    </w:p>
    <w:p>
      <w:pPr>
        <w:spacing w:after="0" w:line="174" w:lineRule="exact"/>
        <w:rPr>
          <w:sz w:val="20"/>
          <w:szCs w:val="20"/>
          <w:color w:val="auto"/>
        </w:rPr>
      </w:pPr>
    </w:p>
    <w:p>
      <w:pPr>
        <w:jc w:val="both"/>
        <w:ind w:left="620" w:right="86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Amendment</w:t>
      </w:r>
      <w:r>
        <w:rPr>
          <w:rFonts w:ascii="Times New Roman" w:cs="Times New Roman" w:eastAsia="Times New Roman" w:hAnsi="Times New Roman"/>
          <w:sz w:val="19"/>
          <w:szCs w:val="19"/>
          <w:color w:val="auto"/>
        </w:rPr>
        <w:t>” means that certain Third Amendment to Credit and Security Agreement, dated as of August 30, 2022, by and among Borrowers, Agent and the Lenders party thereto.</w:t>
      </w:r>
    </w:p>
    <w:p>
      <w:pPr>
        <w:spacing w:after="0" w:line="143" w:lineRule="exact"/>
        <w:rPr>
          <w:sz w:val="20"/>
          <w:szCs w:val="20"/>
          <w:color w:val="auto"/>
        </w:rPr>
      </w:pPr>
    </w:p>
    <w:p>
      <w:pPr>
        <w:jc w:val="both"/>
        <w:ind w:left="620" w:right="860"/>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45" w:lineRule="exact"/>
        <w:rPr>
          <w:sz w:val="20"/>
          <w:szCs w:val="20"/>
          <w:color w:val="auto"/>
        </w:rPr>
      </w:pPr>
    </w:p>
    <w:p>
      <w:pPr>
        <w:ind w:left="-1120" w:right="340" w:firstLine="1732"/>
        <w:spacing w:after="0" w:line="275" w:lineRule="auto"/>
        <w:tabs>
          <w:tab w:leader="none" w:pos="1451" w:val="left"/>
        </w:tabs>
        <w:numPr>
          <w:ilvl w:val="0"/>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Section 1.1 of the Existing Credit Agreement is hereby amended by deleting the definition of “Business Day” where it appears therein and replacing it with the following:</w:t>
      </w:r>
    </w:p>
    <w:p>
      <w:pPr>
        <w:spacing w:after="0" w:line="145" w:lineRule="exact"/>
        <w:rPr>
          <w:sz w:val="20"/>
          <w:szCs w:val="20"/>
          <w:color w:val="auto"/>
        </w:rPr>
      </w:pPr>
    </w:p>
    <w:p>
      <w:pPr>
        <w:jc w:val="both"/>
        <w:ind w:left="620" w:right="860"/>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xml:space="preserve">” means any day except a Saturday, Sunday or other day on which either the New York Stock Exchange is closed, or on which commercial banks in Washington, DC and New York City are authorized by law to close;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when used in the context of a SOFR Loan, the term “Business Day” shall also exclude any day that is not also a SOFR Business Day.</w:t>
      </w:r>
    </w:p>
    <w:p>
      <w:pPr>
        <w:spacing w:after="0" w:line="182" w:lineRule="exact"/>
        <w:rPr>
          <w:sz w:val="20"/>
          <w:szCs w:val="20"/>
          <w:color w:val="auto"/>
        </w:rPr>
      </w:pPr>
    </w:p>
    <w:p>
      <w:pPr>
        <w:ind w:left="-1120" w:firstLine="1732"/>
        <w:spacing w:after="0" w:line="275" w:lineRule="auto"/>
        <w:tabs>
          <w:tab w:leader="none" w:pos="1441"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Section 1.1 of the Existing Credit Agreement is hereby amended by deleting the definitions of “Base LIBOR Rate” and “LIBOR Rate”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300355</wp:posOffset>
            </wp:positionV>
            <wp:extent cx="717994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88" w:name="page89"/>
    <w:bookmarkEnd w:id="88"/>
    <w:p>
      <w:pPr>
        <w:ind w:left="2580" w:hanging="848"/>
        <w:spacing w:after="0"/>
        <w:tabs>
          <w:tab w:leader="none" w:pos="2580"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Existing Credit Agreement is hereby amended by deleting Section 2.1(a)(iv) in its entirety.</w:t>
      </w:r>
    </w:p>
    <w:p>
      <w:pPr>
        <w:spacing w:after="0" w:line="208" w:lineRule="exact"/>
        <w:rPr>
          <w:rFonts w:ascii="Times New Roman" w:cs="Times New Roman" w:eastAsia="Times New Roman" w:hAnsi="Times New Roman"/>
          <w:sz w:val="19"/>
          <w:szCs w:val="19"/>
          <w:color w:val="010000"/>
        </w:rPr>
      </w:pPr>
    </w:p>
    <w:p>
      <w:pPr>
        <w:ind w:left="2560" w:hanging="828"/>
        <w:spacing w:after="0"/>
        <w:tabs>
          <w:tab w:leader="none" w:pos="2560"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Section 2.2(a) of the Existing Credit Agreement is hereby amended by deleting such subsection in its entirety and</w:t>
      </w:r>
    </w:p>
    <w:p>
      <w:pPr>
        <w:spacing w:after="0" w:line="23"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replacing it with the following:</w:t>
      </w:r>
    </w:p>
    <w:p>
      <w:pPr>
        <w:spacing w:after="0" w:line="187" w:lineRule="exact"/>
        <w:rPr>
          <w:sz w:val="20"/>
          <w:szCs w:val="20"/>
          <w:color w:val="auto"/>
        </w:rPr>
      </w:pPr>
    </w:p>
    <w:p>
      <w:pPr>
        <w:ind w:left="1740"/>
        <w:spacing w:after="0"/>
        <w:tabs>
          <w:tab w:leader="none" w:pos="262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1740" w:right="860" w:hanging="8"/>
        <w:spacing w:after="0" w:line="250" w:lineRule="auto"/>
        <w:tabs>
          <w:tab w:leader="none" w:pos="254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following the SOFR Implementation Date, except as expressly set forth in this Agreement, Loans and the other Obligations shall bear interest at the sum of the SOFR Interest Rate plus the Applicable Margin. Interest on the Loans shall be paid in arrears on the first (1st) day of each month and on the maturity of such Loans, whether by acceleration or otherwise. Interest on all other Obligations shall be payable upon demand.</w:t>
      </w:r>
    </w:p>
    <w:p>
      <w:pPr>
        <w:spacing w:after="0" w:line="170" w:lineRule="exact"/>
        <w:rPr>
          <w:rFonts w:ascii="Times New Roman" w:cs="Times New Roman" w:eastAsia="Times New Roman" w:hAnsi="Times New Roman"/>
          <w:sz w:val="19"/>
          <w:szCs w:val="19"/>
          <w:color w:val="auto"/>
        </w:rPr>
      </w:pPr>
    </w:p>
    <w:p>
      <w:pPr>
        <w:jc w:val="both"/>
        <w:ind w:left="1740" w:right="860" w:hanging="8"/>
        <w:spacing w:after="0" w:line="250" w:lineRule="auto"/>
        <w:tabs>
          <w:tab w:leader="none" w:pos="2593"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p>
    <w:p>
      <w:pPr>
        <w:spacing w:after="0" w:line="170" w:lineRule="exact"/>
        <w:rPr>
          <w:sz w:val="20"/>
          <w:szCs w:val="20"/>
          <w:color w:val="auto"/>
        </w:rPr>
      </w:pPr>
    </w:p>
    <w:p>
      <w:pPr>
        <w:ind w:firstLine="1732"/>
        <w:spacing w:after="0" w:line="275" w:lineRule="auto"/>
        <w:tabs>
          <w:tab w:leader="none" w:pos="2540" w:val="left"/>
        </w:tabs>
        <w:numPr>
          <w:ilvl w:val="0"/>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new subsection (h) is hereby added to Section 2.2 of the Existing Credit Agreement in the appropriate alphabetical order therein to read as follows:</w:t>
      </w:r>
    </w:p>
    <w:p>
      <w:pPr>
        <w:spacing w:after="0" w:line="147" w:lineRule="exact"/>
        <w:rPr>
          <w:sz w:val="20"/>
          <w:szCs w:val="20"/>
          <w:color w:val="auto"/>
        </w:rPr>
      </w:pPr>
    </w:p>
    <w:p>
      <w:pPr>
        <w:ind w:left="1740"/>
        <w:spacing w:after="0"/>
        <w:tabs>
          <w:tab w:leader="none" w:pos="2640" w:val="left"/>
        </w:tabs>
        <w:rPr>
          <w:sz w:val="20"/>
          <w:szCs w:val="20"/>
          <w:color w:val="auto"/>
        </w:rPr>
      </w:pPr>
      <w:r>
        <w:rPr>
          <w:rFonts w:ascii="Times New Roman" w:cs="Times New Roman" w:eastAsia="Times New Roman" w:hAnsi="Times New Roman"/>
          <w:sz w:val="19"/>
          <w:szCs w:val="19"/>
          <w:color w:val="auto"/>
        </w:rPr>
        <w:t>“(h)</w:t>
      </w:r>
      <w:r>
        <w:rPr>
          <w:sz w:val="20"/>
          <w:szCs w:val="20"/>
          <w:color w:val="auto"/>
        </w:rPr>
        <w:tab/>
      </w:r>
      <w:r>
        <w:rPr>
          <w:rFonts w:ascii="Times New Roman" w:cs="Times New Roman" w:eastAsia="Times New Roman" w:hAnsi="Times New Roman"/>
          <w:sz w:val="19"/>
          <w:szCs w:val="19"/>
          <w:u w:val="single" w:color="auto"/>
          <w:color w:val="auto"/>
        </w:rPr>
        <w:t>Benchmark Replacement Setting; Conforming Changes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1740" w:right="860" w:hanging="8"/>
        <w:spacing w:after="0" w:line="244" w:lineRule="auto"/>
        <w:tabs>
          <w:tab w:leader="none" w:pos="254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p>
    <w:p>
      <w:pPr>
        <w:spacing w:after="0" w:line="183" w:lineRule="exact"/>
        <w:rPr>
          <w:rFonts w:ascii="Times New Roman" w:cs="Times New Roman" w:eastAsia="Times New Roman" w:hAnsi="Times New Roman"/>
          <w:sz w:val="19"/>
          <w:szCs w:val="19"/>
          <w:color w:val="auto"/>
        </w:rPr>
      </w:pPr>
    </w:p>
    <w:p>
      <w:pPr>
        <w:jc w:val="both"/>
        <w:ind w:left="1740" w:right="860" w:hanging="8"/>
        <w:spacing w:after="0" w:line="250" w:lineRule="auto"/>
        <w:tabs>
          <w:tab w:leader="none" w:pos="259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 anything to the contrary herein or in any other Financing Document, at any time, (a) if the then-current Benchmark is a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315595</wp:posOffset>
            </wp:positionV>
            <wp:extent cx="717994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ind w:left="620" w:right="860"/>
        <w:spacing w:after="0" w:line="253" w:lineRule="auto"/>
        <w:rPr>
          <w:sz w:val="20"/>
          <w:szCs w:val="20"/>
          <w:color w:val="auto"/>
        </w:rPr>
      </w:pPr>
      <w:r>
        <w:rPr>
          <w:rFonts w:ascii="Times New Roman" w:cs="Times New Roman" w:eastAsia="Times New Roman" w:hAnsi="Times New Roman"/>
          <w:sz w:val="19"/>
          <w:szCs w:val="19"/>
          <w:color w:val="auto"/>
        </w:rPr>
        <w:t>rate (including Term SOFR) and either (i) any tenor for such Benchmark is not displayed on a screen or other information service that publishes such rate from time to time as selected by Agent in its reasonable discretion or</w:t>
      </w:r>
    </w:p>
    <w:p>
      <w:pPr>
        <w:spacing w:after="0" w:line="2" w:lineRule="exact"/>
        <w:rPr>
          <w:sz w:val="20"/>
          <w:szCs w:val="20"/>
          <w:color w:val="auto"/>
        </w:rPr>
      </w:pPr>
    </w:p>
    <w:p>
      <w:pPr>
        <w:jc w:val="both"/>
        <w:ind w:left="620" w:right="860" w:hanging="8"/>
        <w:spacing w:after="0" w:line="242" w:lineRule="auto"/>
        <w:tabs>
          <w:tab w:leader="none" w:pos="94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p>
    <w:p>
      <w:pPr>
        <w:spacing w:after="0" w:line="183" w:lineRule="exact"/>
        <w:rPr>
          <w:rFonts w:ascii="Times New Roman" w:cs="Times New Roman" w:eastAsia="Times New Roman" w:hAnsi="Times New Roman"/>
          <w:sz w:val="19"/>
          <w:szCs w:val="19"/>
          <w:color w:val="auto"/>
        </w:rPr>
      </w:pPr>
    </w:p>
    <w:p>
      <w:pPr>
        <w:jc w:val="both"/>
        <w:ind w:left="620" w:hanging="8"/>
        <w:spacing w:after="0" w:line="258" w:lineRule="auto"/>
        <w:tabs>
          <w:tab w:leader="none" w:pos="152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Borrower Representative’s receipt of notice of the commencement of a Benchmark Unavailability Period, any outstanding affected Loans will be deemed to have been converted into Base Rate Loans at the end of the applicable Interest Period.”</w:t>
      </w:r>
    </w:p>
    <w:p>
      <w:pPr>
        <w:spacing w:after="0" w:line="163" w:lineRule="exact"/>
        <w:rPr>
          <w:sz w:val="20"/>
          <w:szCs w:val="20"/>
          <w:color w:val="auto"/>
        </w:rPr>
      </w:pPr>
    </w:p>
    <w:p>
      <w:pPr>
        <w:ind w:left="1460" w:hanging="848"/>
        <w:spacing w:after="0"/>
        <w:tabs>
          <w:tab w:leader="none" w:pos="1460"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Section 2.8 of the Existing Credit Agreement is hereby amended by:</w:t>
      </w:r>
    </w:p>
    <w:p>
      <w:pPr>
        <w:spacing w:after="0" w:line="208" w:lineRule="exact"/>
        <w:rPr>
          <w:rFonts w:ascii="Times New Roman" w:cs="Times New Roman" w:eastAsia="Times New Roman" w:hAnsi="Times New Roman"/>
          <w:sz w:val="19"/>
          <w:szCs w:val="19"/>
          <w:color w:val="010000"/>
        </w:rPr>
      </w:pPr>
    </w:p>
    <w:p>
      <w:pPr>
        <w:ind w:left="2140" w:hanging="796"/>
        <w:spacing w:after="0"/>
        <w:tabs>
          <w:tab w:leader="none" w:pos="2140" w:val="left"/>
        </w:tabs>
        <w:numPr>
          <w:ilvl w:val="1"/>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deleting the name of such Section in its entirety and restating it as follows:</w:t>
      </w:r>
    </w:p>
    <w:p>
      <w:pPr>
        <w:spacing w:after="0" w:line="209"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9"/>
          <w:szCs w:val="19"/>
          <w:color w:val="auto"/>
        </w:rPr>
        <w:t>“Section 2.8</w:t>
      </w:r>
      <w:r>
        <w:rPr>
          <w:sz w:val="20"/>
          <w:szCs w:val="20"/>
          <w:color w:val="auto"/>
        </w:rPr>
        <w:tab/>
      </w:r>
      <w:r>
        <w:rPr>
          <w:rFonts w:ascii="Times New Roman" w:cs="Times New Roman" w:eastAsia="Times New Roman" w:hAnsi="Times New Roman"/>
          <w:sz w:val="18"/>
          <w:szCs w:val="18"/>
          <w:u w:val="single" w:color="auto"/>
          <w:color w:val="auto"/>
        </w:rPr>
        <w:t>Taxes; Capital Adequacy; Increased Costs; Inability to Determine Rates; Illegality</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1460" w:hanging="848"/>
        <w:spacing w:after="0"/>
        <w:tabs>
          <w:tab w:leader="none" w:pos="146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deleting subsection (g) thereof in its entirety;</w:t>
      </w:r>
    </w:p>
    <w:p>
      <w:pPr>
        <w:spacing w:after="0" w:line="208" w:lineRule="exact"/>
        <w:rPr>
          <w:rFonts w:ascii="Times New Roman" w:cs="Times New Roman" w:eastAsia="Times New Roman" w:hAnsi="Times New Roman"/>
          <w:sz w:val="19"/>
          <w:szCs w:val="19"/>
          <w:color w:val="010000"/>
        </w:rPr>
      </w:pPr>
    </w:p>
    <w:p>
      <w:pPr>
        <w:ind w:left="1520" w:hanging="908"/>
        <w:spacing w:after="0"/>
        <w:tabs>
          <w:tab w:leader="none" w:pos="152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renumbering the existing clause (h) as new clause (g) therein;</w:t>
      </w:r>
    </w:p>
    <w:p>
      <w:pPr>
        <w:spacing w:after="0" w:line="208" w:lineRule="exact"/>
        <w:rPr>
          <w:rFonts w:ascii="Times New Roman" w:cs="Times New Roman" w:eastAsia="Times New Roman" w:hAnsi="Times New Roman"/>
          <w:sz w:val="19"/>
          <w:szCs w:val="19"/>
          <w:color w:val="010000"/>
        </w:rPr>
      </w:pPr>
    </w:p>
    <w:p>
      <w:pPr>
        <w:ind w:left="1500" w:hanging="888"/>
        <w:spacing w:after="0"/>
        <w:tabs>
          <w:tab w:leader="none" w:pos="1500" w:val="left"/>
        </w:tabs>
        <w:numPr>
          <w:ilvl w:val="0"/>
          <w:numId w:val="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adding the following new clause (h) in the appropriate alphabetical ordering therein:</w:t>
      </w:r>
    </w:p>
    <w:p>
      <w:pPr>
        <w:spacing w:after="0" w:line="209" w:lineRule="exact"/>
        <w:rPr>
          <w:sz w:val="20"/>
          <w:szCs w:val="20"/>
          <w:color w:val="auto"/>
        </w:rPr>
      </w:pPr>
    </w:p>
    <w:p>
      <w:pPr>
        <w:jc w:val="both"/>
        <w:ind w:left="500"/>
        <w:spacing w:after="0" w:line="244" w:lineRule="auto"/>
        <w:rPr>
          <w:sz w:val="20"/>
          <w:szCs w:val="20"/>
          <w:color w:val="auto"/>
        </w:rPr>
      </w:pPr>
      <w:r>
        <w:rPr>
          <w:rFonts w:ascii="Times New Roman" w:cs="Times New Roman" w:eastAsia="Times New Roman" w:hAnsi="Times New Roman"/>
          <w:sz w:val="19"/>
          <w:szCs w:val="19"/>
          <w:color w:val="auto"/>
        </w:rPr>
        <w:t>“(h) 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Taxes (other than (A) Indemnified Taxes, (B) Taxes described in clauses (b) through (d) of the definition of Excluded Taxes, (C) Connection Income Taxes and (D) other Taxes separately covered by this Section 2.8) on its loans, loan principal, letters of credit, commitments, or other obligations, or its deposits, reserves, other liabilities or capital attributable thereto; or (iii) impose on any Lender any other condition, cost or expense (other than Taxes) affecting this Agreement or SOFR Loans made by such Lender, and the result, in each case of the foregoing clauses (i) through (iii),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323850</wp:posOffset>
            </wp:positionV>
            <wp:extent cx="717994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90" w:name="page91"/>
    <w:bookmarkEnd w:id="90"/>
    <w:p>
      <w:pPr>
        <w:ind w:left="752"/>
        <w:spacing w:after="0"/>
        <w:rPr>
          <w:sz w:val="20"/>
          <w:szCs w:val="20"/>
          <w:color w:val="auto"/>
        </w:rPr>
      </w:pPr>
      <w:r>
        <w:rPr>
          <w:rFonts w:ascii="Times New Roman" w:cs="Times New Roman" w:eastAsia="Times New Roman" w:hAnsi="Times New Roman"/>
          <w:sz w:val="19"/>
          <w:szCs w:val="19"/>
          <w:color w:val="auto"/>
        </w:rPr>
        <w:t>amounts as will compensate such Lender for such additional costs actually incurred or reduction actually suffered.”</w:t>
      </w:r>
    </w:p>
    <w:p>
      <w:pPr>
        <w:spacing w:after="0" w:line="222" w:lineRule="exact"/>
        <w:rPr>
          <w:sz w:val="20"/>
          <w:szCs w:val="20"/>
          <w:color w:val="auto"/>
        </w:rPr>
      </w:pPr>
    </w:p>
    <w:p>
      <w:pPr>
        <w:ind w:left="-8" w:firstLine="806"/>
        <w:spacing w:after="0" w:line="275" w:lineRule="auto"/>
        <w:tabs>
          <w:tab w:leader="none" w:pos="1633"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subsection (i) thereof, deleting the reference to “either Section 2.1(a)(iv) or Section 2.8(h)” in its entirety and replacing it with “the clauses in this Section 2.8”; and</w:t>
      </w:r>
    </w:p>
    <w:p>
      <w:pPr>
        <w:spacing w:after="0" w:line="146" w:lineRule="exact"/>
        <w:rPr>
          <w:rFonts w:ascii="Times New Roman" w:cs="Times New Roman" w:eastAsia="Times New Roman" w:hAnsi="Times New Roman"/>
          <w:sz w:val="19"/>
          <w:szCs w:val="19"/>
          <w:color w:val="010000"/>
        </w:rPr>
      </w:pPr>
    </w:p>
    <w:p>
      <w:pPr>
        <w:ind w:left="1692" w:hanging="894"/>
        <w:spacing w:after="0"/>
        <w:tabs>
          <w:tab w:leader="none" w:pos="1692"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adding the following new clauses (j), (k) and (l) in the appropriate alphabetical order therein:</w:t>
      </w:r>
    </w:p>
    <w:p>
      <w:pPr>
        <w:spacing w:after="0" w:line="209" w:lineRule="exact"/>
        <w:rPr>
          <w:sz w:val="20"/>
          <w:szCs w:val="20"/>
          <w:color w:val="auto"/>
        </w:rPr>
      </w:pPr>
    </w:p>
    <w:p>
      <w:pPr>
        <w:jc w:val="both"/>
        <w:ind w:left="872"/>
        <w:spacing w:after="0" w:line="247" w:lineRule="auto"/>
        <w:rPr>
          <w:sz w:val="20"/>
          <w:szCs w:val="20"/>
          <w:color w:val="auto"/>
        </w:rPr>
      </w:pPr>
      <w:r>
        <w:rPr>
          <w:rFonts w:ascii="Times New Roman" w:cs="Times New Roman" w:eastAsia="Times New Roman" w:hAnsi="Times New Roman"/>
          <w:sz w:val="19"/>
          <w:szCs w:val="19"/>
          <w:color w:val="auto"/>
        </w:rPr>
        <w:t>“(j) Subject to Section 2.2(h),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spacing w:after="0" w:line="174" w:lineRule="exact"/>
        <w:rPr>
          <w:sz w:val="20"/>
          <w:szCs w:val="20"/>
          <w:color w:val="auto"/>
        </w:rPr>
      </w:pPr>
    </w:p>
    <w:p>
      <w:pPr>
        <w:jc w:val="both"/>
        <w:ind w:left="872" w:hanging="8"/>
        <w:spacing w:after="0" w:line="247" w:lineRule="auto"/>
        <w:tabs>
          <w:tab w:leader="none" w:pos="1715"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spacing w:after="0" w:line="174" w:lineRule="exact"/>
        <w:rPr>
          <w:rFonts w:ascii="Times New Roman" w:cs="Times New Roman" w:eastAsia="Times New Roman" w:hAnsi="Times New Roman"/>
          <w:sz w:val="19"/>
          <w:szCs w:val="19"/>
          <w:color w:val="auto"/>
        </w:rPr>
      </w:pPr>
    </w:p>
    <w:p>
      <w:pPr>
        <w:jc w:val="both"/>
        <w:ind w:left="872" w:hanging="8"/>
        <w:spacing w:after="0" w:line="258" w:lineRule="auto"/>
        <w:tabs>
          <w:tab w:leader="none" w:pos="1673"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party’s obligations under this Section 2.8 shall survive the resignation or replacement of Agent or any assignment of rights by, or the replacement of, a Lender, and the repayment, satisfaction or discharge of all Obligations hereunder.”</w:t>
      </w:r>
    </w:p>
    <w:p>
      <w:pPr>
        <w:spacing w:after="0" w:line="161" w:lineRule="exact"/>
        <w:rPr>
          <w:rFonts w:ascii="Times New Roman" w:cs="Times New Roman" w:eastAsia="Times New Roman" w:hAnsi="Times New Roman"/>
          <w:sz w:val="19"/>
          <w:szCs w:val="19"/>
          <w:color w:val="auto"/>
        </w:rPr>
      </w:pPr>
    </w:p>
    <w:p>
      <w:pPr>
        <w:jc w:val="both"/>
        <w:ind w:left="-868" w:firstLine="868"/>
        <w:spacing w:after="0" w:line="259" w:lineRule="auto"/>
        <w:tabs>
          <w:tab w:leader="none" w:pos="760"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Conditions to Effectiveness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become effective as of the date on which Agent shall have received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by way of facsimile or other electronic transmission) a duly authorized, executed and delivered counterpart of the signature page to this Agreement from Borrowers, Agent and Lenders.</w:t>
      </w:r>
    </w:p>
    <w:p>
      <w:pPr>
        <w:spacing w:after="0" w:line="160" w:lineRule="exact"/>
        <w:rPr>
          <w:rFonts w:ascii="Times New Roman" w:cs="Times New Roman" w:eastAsia="Times New Roman" w:hAnsi="Times New Roman"/>
          <w:sz w:val="19"/>
          <w:szCs w:val="19"/>
          <w:color w:val="010000"/>
        </w:rPr>
      </w:pPr>
    </w:p>
    <w:p>
      <w:pPr>
        <w:jc w:val="both"/>
        <w:ind w:left="-868" w:firstLine="868"/>
        <w:spacing w:after="0" w:line="248" w:lineRule="auto"/>
        <w:tabs>
          <w:tab w:leader="none" w:pos="760"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No Waiver or Novation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execution, delivery and effectiveness of this Agreement shall not, except as expressly 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393" w:lineRule="exact"/>
        <w:rPr>
          <w:rFonts w:ascii="Times New Roman" w:cs="Times New Roman" w:eastAsia="Times New Roman" w:hAnsi="Times New Roman"/>
          <w:sz w:val="19"/>
          <w:szCs w:val="19"/>
          <w:color w:val="010000"/>
        </w:rPr>
      </w:pPr>
    </w:p>
    <w:p>
      <w:pPr>
        <w:ind w:left="772" w:hanging="772"/>
        <w:spacing w:after="0"/>
        <w:tabs>
          <w:tab w:leader="none" w:pos="772"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210" w:lineRule="exact"/>
        <w:rPr>
          <w:rFonts w:ascii="Times New Roman" w:cs="Times New Roman" w:eastAsia="Times New Roman" w:hAnsi="Times New Roman"/>
          <w:sz w:val="19"/>
          <w:szCs w:val="19"/>
          <w:color w:val="010000"/>
        </w:rPr>
      </w:pPr>
    </w:p>
    <w:p>
      <w:pPr>
        <w:ind w:left="-868" w:firstLine="1732"/>
        <w:spacing w:after="0" w:line="275" w:lineRule="auto"/>
        <w:tabs>
          <w:tab w:leader="none" w:pos="1693" w:val="left"/>
        </w:tabs>
        <w:numPr>
          <w:ilvl w:val="1"/>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Reference to the Effect on the Credit Agreement</w:t>
      </w:r>
      <w:r>
        <w:rPr>
          <w:rFonts w:ascii="Times New Roman" w:cs="Times New Roman" w:eastAsia="Times New Roman" w:hAnsi="Times New Roman"/>
          <w:sz w:val="19"/>
          <w:szCs w:val="19"/>
          <w:color w:val="auto"/>
        </w:rPr>
        <w:t>. Upon the effectiveness of this Agreement, each reference in the Credit Agreement to “this Agreement,” “hereunder,” “hereof,”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300355</wp:posOffset>
            </wp:positionV>
            <wp:extent cx="717994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0372"/>
          </w:cols>
          <w:pgMar w:left="1188" w:top="32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color w:val="auto"/>
        </w:rPr>
        <w:t>or words of similar import shall mean and be a reference to the Credit Agreement, as amended by this Agreement.</w:t>
      </w:r>
    </w:p>
    <w:p>
      <w:pPr>
        <w:spacing w:after="0" w:line="209" w:lineRule="exact"/>
        <w:rPr>
          <w:sz w:val="20"/>
          <w:szCs w:val="20"/>
          <w:color w:val="auto"/>
        </w:rPr>
      </w:pPr>
    </w:p>
    <w:p>
      <w:pPr>
        <w:ind w:firstLine="1732"/>
        <w:spacing w:after="0" w:line="275" w:lineRule="auto"/>
        <w:tabs>
          <w:tab w:leader="none" w:pos="2571"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Incorporation of Credit Agreement Provisions</w:t>
      </w:r>
      <w:r>
        <w:rPr>
          <w:rFonts w:ascii="Times New Roman" w:cs="Times New Roman" w:eastAsia="Times New Roman" w:hAnsi="Times New Roman"/>
          <w:sz w:val="19"/>
          <w:szCs w:val="19"/>
          <w:color w:val="auto"/>
        </w:rPr>
        <w:t xml:space="preserve">. The provisions contained in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(Indemnification) of the Credit Agreement are incorporated herein by reference to the same extent as if reproduced herein in their entirety.</w:t>
      </w:r>
    </w:p>
    <w:p>
      <w:pPr>
        <w:spacing w:after="0" w:line="146" w:lineRule="exact"/>
        <w:rPr>
          <w:rFonts w:ascii="Times New Roman" w:cs="Times New Roman" w:eastAsia="Times New Roman" w:hAnsi="Times New Roman"/>
          <w:sz w:val="19"/>
          <w:szCs w:val="19"/>
          <w:color w:val="010000"/>
        </w:rPr>
      </w:pPr>
    </w:p>
    <w:p>
      <w:pPr>
        <w:jc w:val="both"/>
        <w:ind w:firstLine="1732"/>
        <w:spacing w:after="0" w:line="253" w:lineRule="auto"/>
        <w:tabs>
          <w:tab w:leader="none" w:pos="2561"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66" w:lineRule="exact"/>
        <w:rPr>
          <w:rFonts w:ascii="Times New Roman" w:cs="Times New Roman" w:eastAsia="Times New Roman" w:hAnsi="Times New Roman"/>
          <w:sz w:val="19"/>
          <w:szCs w:val="19"/>
          <w:color w:val="010000"/>
        </w:rPr>
      </w:pPr>
    </w:p>
    <w:p>
      <w:pPr>
        <w:jc w:val="both"/>
        <w:ind w:firstLine="1732"/>
        <w:spacing w:after="0" w:line="246" w:lineRule="auto"/>
        <w:tabs>
          <w:tab w:leader="none" w:pos="2571"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173" w:lineRule="exact"/>
        <w:rPr>
          <w:rFonts w:ascii="Times New Roman" w:cs="Times New Roman" w:eastAsia="Times New Roman" w:hAnsi="Times New Roman"/>
          <w:sz w:val="19"/>
          <w:szCs w:val="19"/>
          <w:color w:val="010000"/>
        </w:rPr>
      </w:pPr>
    </w:p>
    <w:p>
      <w:pPr>
        <w:jc w:val="both"/>
        <w:ind w:firstLine="1732"/>
        <w:spacing w:after="0" w:line="246" w:lineRule="auto"/>
        <w:tabs>
          <w:tab w:leader="none" w:pos="2561"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Jury Trial Waiver</w:t>
      </w:r>
      <w:r>
        <w:rPr>
          <w:rFonts w:ascii="Times New Roman" w:cs="Times New Roman" w:eastAsia="Times New Roman" w:hAnsi="Times New Roman"/>
          <w:sz w:val="19"/>
          <w:szCs w:val="19"/>
          <w:color w:val="auto"/>
        </w:rPr>
        <w:t>. EACH BORROWER, AGENT AND THE LENDERS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73" w:lineRule="exact"/>
        <w:rPr>
          <w:rFonts w:ascii="Times New Roman" w:cs="Times New Roman" w:eastAsia="Times New Roman" w:hAnsi="Times New Roman"/>
          <w:sz w:val="19"/>
          <w:szCs w:val="19"/>
          <w:color w:val="010000"/>
        </w:rPr>
      </w:pPr>
    </w:p>
    <w:p>
      <w:pPr>
        <w:ind w:firstLine="1732"/>
        <w:spacing w:after="0" w:line="275" w:lineRule="auto"/>
        <w:tabs>
          <w:tab w:leader="none" w:pos="2540"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in this Agreement are included for convenience of reference only and shall not constitute a part of this Agreement for any other purpose.</w:t>
      </w:r>
    </w:p>
    <w:p>
      <w:pPr>
        <w:spacing w:after="0" w:line="146" w:lineRule="exact"/>
        <w:rPr>
          <w:rFonts w:ascii="Times New Roman" w:cs="Times New Roman" w:eastAsia="Times New Roman" w:hAnsi="Times New Roman"/>
          <w:sz w:val="19"/>
          <w:szCs w:val="19"/>
          <w:color w:val="010000"/>
        </w:rPr>
      </w:pPr>
    </w:p>
    <w:p>
      <w:pPr>
        <w:jc w:val="both"/>
        <w:ind w:firstLine="1732"/>
        <w:spacing w:after="0" w:line="247" w:lineRule="auto"/>
        <w:tabs>
          <w:tab w:leader="none" w:pos="2571"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different parties hereto in different counterparts), each of which shall constitute an original, but all of which when taken together shall constitute a single contract.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318135</wp:posOffset>
            </wp:positionV>
            <wp:extent cx="717994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ind w:firstLine="1732"/>
        <w:spacing w:after="0" w:line="275" w:lineRule="auto"/>
        <w:tabs>
          <w:tab w:leader="none" w:pos="2571" w:val="left"/>
        </w:tabs>
        <w:numPr>
          <w:ilvl w:val="0"/>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and understanding among the parties hereto and supersedes any and all prior agreements and understandings, oral or written, relating to the subject matter hereof.</w:t>
      </w:r>
    </w:p>
    <w:p>
      <w:pPr>
        <w:spacing w:after="0" w:line="146" w:lineRule="exact"/>
        <w:rPr>
          <w:rFonts w:ascii="Times New Roman" w:cs="Times New Roman" w:eastAsia="Times New Roman" w:hAnsi="Times New Roman"/>
          <w:sz w:val="19"/>
          <w:szCs w:val="19"/>
          <w:color w:val="010000"/>
        </w:rPr>
      </w:pPr>
    </w:p>
    <w:p>
      <w:pPr>
        <w:jc w:val="both"/>
        <w:ind w:firstLine="1732"/>
        <w:spacing w:after="0" w:line="258" w:lineRule="auto"/>
        <w:tabs>
          <w:tab w:leader="none" w:pos="2529" w:val="left"/>
        </w:tabs>
        <w:numPr>
          <w:ilvl w:val="0"/>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63" w:lineRule="exact"/>
        <w:rPr>
          <w:rFonts w:ascii="Times New Roman" w:cs="Times New Roman" w:eastAsia="Times New Roman" w:hAnsi="Times New Roman"/>
          <w:sz w:val="19"/>
          <w:szCs w:val="19"/>
          <w:color w:val="010000"/>
        </w:rPr>
      </w:pPr>
    </w:p>
    <w:p>
      <w:pPr>
        <w:ind w:firstLine="1732"/>
        <w:spacing w:after="0" w:line="275" w:lineRule="auto"/>
        <w:tabs>
          <w:tab w:leader="none" w:pos="2529" w:val="left"/>
        </w:tabs>
        <w:numPr>
          <w:ilvl w:val="0"/>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Successors/Assigns</w:t>
      </w:r>
      <w:r>
        <w:rPr>
          <w:rFonts w:ascii="Times New Roman" w:cs="Times New Roman" w:eastAsia="Times New Roman" w:hAnsi="Times New Roman"/>
          <w:sz w:val="19"/>
          <w:szCs w:val="19"/>
          <w:color w:val="auto"/>
        </w:rPr>
        <w:t>. This Agreement shall bind, and the rights hereunder shall inure to, the respective successors and assigns of the parties hereto, subject to the provisions of the Credit Agreement and the other Financing Documents.</w:t>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619760</wp:posOffset>
            </wp:positionV>
            <wp:extent cx="717994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ind w:right="40" w:firstLine="864"/>
        <w:spacing w:after="0" w:line="275" w:lineRule="auto"/>
        <w:rPr>
          <w:sz w:val="20"/>
          <w:szCs w:val="20"/>
          <w:color w:val="auto"/>
        </w:rPr>
      </w:pPr>
      <w:r>
        <w:rPr>
          <w:rFonts w:ascii="Times New Roman" w:cs="Times New Roman" w:eastAsia="Times New Roman" w:hAnsi="Times New Roman"/>
          <w:sz w:val="19"/>
          <w:szCs w:val="19"/>
          <w:color w:val="auto"/>
        </w:rPr>
        <w:t>IN WITNESS WHEREOF, intending to be legally bound, the undersigned have executed this Agreement as of the day and year first hereinabove set forth.</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AGENT:</w:t>
            </w:r>
          </w:p>
        </w:tc>
        <w:tc>
          <w:tcPr>
            <w:tcW w:w="8160" w:type="dxa"/>
            <w:vAlign w:val="bottom"/>
            <w:gridSpan w:val="2"/>
          </w:tcPr>
          <w:p>
            <w:pPr>
              <w:ind w:left="2340"/>
              <w:spacing w:after="0"/>
              <w:rPr>
                <w:sz w:val="20"/>
                <w:szCs w:val="20"/>
                <w:color w:val="auto"/>
              </w:rPr>
            </w:pPr>
            <w:r>
              <w:rPr>
                <w:rFonts w:ascii="Times New Roman" w:cs="Times New Roman" w:eastAsia="Times New Roman" w:hAnsi="Times New Roman"/>
                <w:sz w:val="19"/>
                <w:szCs w:val="19"/>
                <w:b w:val="1"/>
                <w:bCs w:val="1"/>
                <w:color w:val="auto"/>
              </w:rPr>
              <w:t>MIDCAP FINANCIAL TRUST,</w:t>
            </w:r>
          </w:p>
        </w:tc>
        <w:tc>
          <w:tcPr>
            <w:tcW w:w="40" w:type="dxa"/>
            <w:vAlign w:val="bottom"/>
          </w:tcPr>
          <w:p>
            <w:pPr>
              <w:spacing w:after="0"/>
              <w:rPr>
                <w:sz w:val="19"/>
                <w:szCs w:val="19"/>
                <w:color w:val="auto"/>
              </w:rPr>
            </w:pPr>
          </w:p>
        </w:tc>
      </w:tr>
      <w:tr>
        <w:trPr>
          <w:trHeight w:val="249"/>
        </w:trPr>
        <w:tc>
          <w:tcPr>
            <w:tcW w:w="3080" w:type="dxa"/>
            <w:vAlign w:val="bottom"/>
          </w:tcPr>
          <w:p>
            <w:pPr>
              <w:spacing w:after="0"/>
              <w:rPr>
                <w:sz w:val="21"/>
                <w:szCs w:val="21"/>
                <w:color w:val="auto"/>
              </w:rPr>
            </w:pPr>
          </w:p>
        </w:tc>
        <w:tc>
          <w:tcPr>
            <w:tcW w:w="8160" w:type="dxa"/>
            <w:vAlign w:val="bottom"/>
            <w:gridSpan w:val="2"/>
          </w:tcPr>
          <w:p>
            <w:pPr>
              <w:ind w:left="2340"/>
              <w:spacing w:after="0"/>
              <w:rPr>
                <w:sz w:val="20"/>
                <w:szCs w:val="20"/>
                <w:color w:val="auto"/>
              </w:rPr>
            </w:pPr>
            <w:r>
              <w:rPr>
                <w:rFonts w:ascii="Times New Roman" w:cs="Times New Roman" w:eastAsia="Times New Roman" w:hAnsi="Times New Roman"/>
                <w:sz w:val="19"/>
                <w:szCs w:val="19"/>
                <w:color w:val="auto"/>
              </w:rPr>
              <w:t>as Agent</w:t>
            </w:r>
          </w:p>
        </w:tc>
        <w:tc>
          <w:tcPr>
            <w:tcW w:w="40" w:type="dxa"/>
            <w:vAlign w:val="bottom"/>
          </w:tcPr>
          <w:p>
            <w:pPr>
              <w:spacing w:after="0"/>
              <w:rPr>
                <w:sz w:val="21"/>
                <w:szCs w:val="21"/>
                <w:color w:val="auto"/>
              </w:rPr>
            </w:pPr>
          </w:p>
        </w:tc>
      </w:tr>
      <w:tr>
        <w:trPr>
          <w:trHeight w:val="411"/>
        </w:trPr>
        <w:tc>
          <w:tcPr>
            <w:tcW w:w="3080" w:type="dxa"/>
            <w:vAlign w:val="bottom"/>
          </w:tcPr>
          <w:p>
            <w:pPr>
              <w:spacing w:after="0"/>
              <w:rPr>
                <w:sz w:val="24"/>
                <w:szCs w:val="24"/>
                <w:color w:val="auto"/>
              </w:rPr>
            </w:pPr>
          </w:p>
        </w:tc>
        <w:tc>
          <w:tcPr>
            <w:tcW w:w="2860" w:type="dxa"/>
            <w:vAlign w:val="bottom"/>
          </w:tcPr>
          <w:p>
            <w:pPr>
              <w:ind w:left="2340"/>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tcPr>
          <w:p>
            <w:pPr>
              <w:spacing w:after="0"/>
              <w:rPr>
                <w:sz w:val="20"/>
                <w:szCs w:val="20"/>
                <w:color w:val="auto"/>
              </w:rPr>
            </w:pPr>
            <w:r>
              <w:rPr>
                <w:rFonts w:ascii="Times New Roman" w:cs="Times New Roman" w:eastAsia="Times New Roman" w:hAnsi="Times New Roman"/>
                <w:sz w:val="19"/>
                <w:szCs w:val="19"/>
                <w:color w:val="auto"/>
              </w:rPr>
              <w:t>Apollo Capital Management, L.P.,</w:t>
            </w:r>
          </w:p>
        </w:tc>
        <w:tc>
          <w:tcPr>
            <w:tcW w:w="40" w:type="dxa"/>
            <w:vAlign w:val="bottom"/>
          </w:tcPr>
          <w:p>
            <w:pPr>
              <w:spacing w:after="0"/>
              <w:rPr>
                <w:sz w:val="24"/>
                <w:szCs w:val="24"/>
                <w:color w:val="auto"/>
              </w:rPr>
            </w:pPr>
          </w:p>
        </w:tc>
      </w:tr>
      <w:tr>
        <w:trPr>
          <w:trHeight w:val="249"/>
        </w:trPr>
        <w:tc>
          <w:tcPr>
            <w:tcW w:w="3080" w:type="dxa"/>
            <w:vAlign w:val="bottom"/>
          </w:tcPr>
          <w:p>
            <w:pPr>
              <w:spacing w:after="0"/>
              <w:rPr>
                <w:sz w:val="21"/>
                <w:szCs w:val="21"/>
                <w:color w:val="auto"/>
              </w:rPr>
            </w:pPr>
          </w:p>
        </w:tc>
        <w:tc>
          <w:tcPr>
            <w:tcW w:w="8160" w:type="dxa"/>
            <w:vAlign w:val="bottom"/>
            <w:gridSpan w:val="2"/>
          </w:tcPr>
          <w:p>
            <w:pPr>
              <w:ind w:left="2340"/>
              <w:spacing w:after="0"/>
              <w:rPr>
                <w:sz w:val="20"/>
                <w:szCs w:val="20"/>
                <w:color w:val="auto"/>
              </w:rPr>
            </w:pPr>
            <w:r>
              <w:rPr>
                <w:rFonts w:ascii="Times New Roman" w:cs="Times New Roman" w:eastAsia="Times New Roman" w:hAnsi="Times New Roman"/>
                <w:sz w:val="19"/>
                <w:szCs w:val="19"/>
                <w:color w:val="auto"/>
              </w:rPr>
              <w:t>its investment manager</w:t>
            </w:r>
          </w:p>
        </w:tc>
        <w:tc>
          <w:tcPr>
            <w:tcW w:w="40" w:type="dxa"/>
            <w:vAlign w:val="bottom"/>
          </w:tcPr>
          <w:p>
            <w:pPr>
              <w:spacing w:after="0"/>
              <w:rPr>
                <w:sz w:val="21"/>
                <w:szCs w:val="21"/>
                <w:color w:val="auto"/>
              </w:rPr>
            </w:pPr>
          </w:p>
        </w:tc>
      </w:tr>
      <w:tr>
        <w:trPr>
          <w:trHeight w:val="411"/>
        </w:trPr>
        <w:tc>
          <w:tcPr>
            <w:tcW w:w="3080" w:type="dxa"/>
            <w:vAlign w:val="bottom"/>
          </w:tcPr>
          <w:p>
            <w:pPr>
              <w:spacing w:after="0"/>
              <w:rPr>
                <w:sz w:val="24"/>
                <w:szCs w:val="24"/>
                <w:color w:val="auto"/>
              </w:rPr>
            </w:pPr>
          </w:p>
        </w:tc>
        <w:tc>
          <w:tcPr>
            <w:tcW w:w="2860" w:type="dxa"/>
            <w:vAlign w:val="bottom"/>
          </w:tcPr>
          <w:p>
            <w:pPr>
              <w:ind w:left="2340"/>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tcPr>
          <w:p>
            <w:pPr>
              <w:spacing w:after="0"/>
              <w:rPr>
                <w:sz w:val="20"/>
                <w:szCs w:val="20"/>
                <w:color w:val="auto"/>
              </w:rPr>
            </w:pPr>
            <w:r>
              <w:rPr>
                <w:rFonts w:ascii="Times New Roman" w:cs="Times New Roman" w:eastAsia="Times New Roman" w:hAnsi="Times New Roman"/>
                <w:sz w:val="19"/>
                <w:szCs w:val="19"/>
                <w:color w:val="auto"/>
              </w:rPr>
              <w:t>Apollo Capital Management GP, LLC,</w:t>
            </w:r>
          </w:p>
        </w:tc>
        <w:tc>
          <w:tcPr>
            <w:tcW w:w="40" w:type="dxa"/>
            <w:vAlign w:val="bottom"/>
          </w:tcPr>
          <w:p>
            <w:pPr>
              <w:spacing w:after="0"/>
              <w:rPr>
                <w:sz w:val="24"/>
                <w:szCs w:val="24"/>
                <w:color w:val="auto"/>
              </w:rPr>
            </w:pPr>
          </w:p>
        </w:tc>
      </w:tr>
      <w:tr>
        <w:trPr>
          <w:trHeight w:val="249"/>
        </w:trPr>
        <w:tc>
          <w:tcPr>
            <w:tcW w:w="3080" w:type="dxa"/>
            <w:vAlign w:val="bottom"/>
          </w:tcPr>
          <w:p>
            <w:pPr>
              <w:spacing w:after="0"/>
              <w:rPr>
                <w:sz w:val="21"/>
                <w:szCs w:val="21"/>
                <w:color w:val="auto"/>
              </w:rPr>
            </w:pPr>
          </w:p>
        </w:tc>
        <w:tc>
          <w:tcPr>
            <w:tcW w:w="8160" w:type="dxa"/>
            <w:vAlign w:val="bottom"/>
            <w:gridSpan w:val="2"/>
          </w:tcPr>
          <w:p>
            <w:pPr>
              <w:ind w:left="2340"/>
              <w:spacing w:after="0"/>
              <w:rPr>
                <w:sz w:val="20"/>
                <w:szCs w:val="20"/>
                <w:color w:val="auto"/>
              </w:rPr>
            </w:pPr>
            <w:r>
              <w:rPr>
                <w:rFonts w:ascii="Times New Roman" w:cs="Times New Roman" w:eastAsia="Times New Roman" w:hAnsi="Times New Roman"/>
                <w:sz w:val="19"/>
                <w:szCs w:val="19"/>
                <w:color w:val="auto"/>
              </w:rPr>
              <w:t>its general partner</w:t>
            </w:r>
          </w:p>
        </w:tc>
        <w:tc>
          <w:tcPr>
            <w:tcW w:w="40" w:type="dxa"/>
            <w:vAlign w:val="bottom"/>
          </w:tcPr>
          <w:p>
            <w:pPr>
              <w:spacing w:after="0"/>
              <w:rPr>
                <w:sz w:val="21"/>
                <w:szCs w:val="21"/>
                <w:color w:val="auto"/>
              </w:rPr>
            </w:pPr>
          </w:p>
        </w:tc>
      </w:tr>
      <w:tr>
        <w:trPr>
          <w:trHeight w:val="434"/>
        </w:trPr>
        <w:tc>
          <w:tcPr>
            <w:tcW w:w="3080" w:type="dxa"/>
            <w:vAlign w:val="bottom"/>
          </w:tcPr>
          <w:p>
            <w:pPr>
              <w:spacing w:after="0"/>
              <w:rPr>
                <w:sz w:val="24"/>
                <w:szCs w:val="24"/>
                <w:color w:val="auto"/>
              </w:rPr>
            </w:pPr>
          </w:p>
        </w:tc>
        <w:tc>
          <w:tcPr>
            <w:tcW w:w="2860" w:type="dxa"/>
            <w:vAlign w:val="bottom"/>
          </w:tcPr>
          <w:p>
            <w:pPr>
              <w:ind w:left="2340"/>
              <w:spacing w:after="0"/>
              <w:rPr>
                <w:sz w:val="20"/>
                <w:szCs w:val="20"/>
                <w:color w:val="auto"/>
              </w:rPr>
            </w:pPr>
            <w:r>
              <w:rPr>
                <w:rFonts w:ascii="Times New Roman" w:cs="Times New Roman" w:eastAsia="Times New Roman" w:hAnsi="Times New Roman"/>
                <w:sz w:val="19"/>
                <w:szCs w:val="19"/>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Maurice Amsellem</w:t>
            </w:r>
          </w:p>
        </w:tc>
        <w:tc>
          <w:tcPr>
            <w:tcW w:w="40" w:type="dxa"/>
            <w:vAlign w:val="bottom"/>
          </w:tcPr>
          <w:p>
            <w:pPr>
              <w:spacing w:after="0"/>
              <w:rPr>
                <w:sz w:val="24"/>
                <w:szCs w:val="24"/>
                <w:color w:val="auto"/>
              </w:rPr>
            </w:pPr>
          </w:p>
        </w:tc>
      </w:tr>
      <w:tr>
        <w:trPr>
          <w:trHeight w:val="190"/>
        </w:trPr>
        <w:tc>
          <w:tcPr>
            <w:tcW w:w="3080" w:type="dxa"/>
            <w:vAlign w:val="bottom"/>
          </w:tcPr>
          <w:p>
            <w:pPr>
              <w:spacing w:after="0"/>
              <w:rPr>
                <w:sz w:val="16"/>
                <w:szCs w:val="16"/>
                <w:color w:val="auto"/>
              </w:rPr>
            </w:pPr>
          </w:p>
        </w:tc>
        <w:tc>
          <w:tcPr>
            <w:tcW w:w="8160" w:type="dxa"/>
            <w:vAlign w:val="bottom"/>
            <w:gridSpan w:val="2"/>
          </w:tcPr>
          <w:p>
            <w:pPr>
              <w:ind w:left="2340"/>
              <w:spacing w:after="0" w:line="191" w:lineRule="exact"/>
              <w:rPr>
                <w:sz w:val="20"/>
                <w:szCs w:val="20"/>
                <w:color w:val="auto"/>
              </w:rPr>
            </w:pPr>
            <w:r>
              <w:rPr>
                <w:rFonts w:ascii="Times New Roman" w:cs="Times New Roman" w:eastAsia="Times New Roman" w:hAnsi="Times New Roman"/>
                <w:sz w:val="19"/>
                <w:szCs w:val="19"/>
                <w:color w:val="auto"/>
              </w:rPr>
              <w:t>Name:Maurice Amsellem</w:t>
            </w:r>
          </w:p>
        </w:tc>
        <w:tc>
          <w:tcPr>
            <w:tcW w:w="40" w:type="dxa"/>
            <w:vAlign w:val="bottom"/>
          </w:tcPr>
          <w:p>
            <w:pPr>
              <w:spacing w:after="0"/>
              <w:rPr>
                <w:sz w:val="16"/>
                <w:szCs w:val="16"/>
                <w:color w:val="auto"/>
              </w:rPr>
            </w:pPr>
          </w:p>
        </w:tc>
      </w:tr>
      <w:tr>
        <w:trPr>
          <w:trHeight w:val="249"/>
        </w:trPr>
        <w:tc>
          <w:tcPr>
            <w:tcW w:w="3080" w:type="dxa"/>
            <w:vAlign w:val="bottom"/>
          </w:tcPr>
          <w:p>
            <w:pPr>
              <w:spacing w:after="0"/>
              <w:rPr>
                <w:sz w:val="21"/>
                <w:szCs w:val="21"/>
                <w:color w:val="auto"/>
              </w:rPr>
            </w:pPr>
          </w:p>
        </w:tc>
        <w:tc>
          <w:tcPr>
            <w:tcW w:w="8160" w:type="dxa"/>
            <w:vAlign w:val="bottom"/>
            <w:gridSpan w:val="2"/>
          </w:tcPr>
          <w:p>
            <w:pPr>
              <w:ind w:left="2340"/>
              <w:spacing w:after="0"/>
              <w:rPr>
                <w:sz w:val="20"/>
                <w:szCs w:val="20"/>
                <w:color w:val="auto"/>
              </w:rPr>
            </w:pPr>
            <w:r>
              <w:rPr>
                <w:rFonts w:ascii="Times New Roman" w:cs="Times New Roman" w:eastAsia="Times New Roman" w:hAnsi="Times New Roman"/>
                <w:sz w:val="19"/>
                <w:szCs w:val="19"/>
                <w:color w:val="auto"/>
              </w:rPr>
              <w:t>Title: Authorized Signatory</w:t>
            </w:r>
          </w:p>
        </w:tc>
        <w:tc>
          <w:tcPr>
            <w:tcW w:w="40" w:type="dxa"/>
            <w:vAlign w:val="bottom"/>
          </w:tcPr>
          <w:p>
            <w:pPr>
              <w:spacing w:after="0"/>
              <w:rPr>
                <w:sz w:val="21"/>
                <w:szCs w:val="21"/>
                <w:color w:val="auto"/>
              </w:rPr>
            </w:pPr>
          </w:p>
        </w:tc>
      </w:tr>
      <w:tr>
        <w:trPr>
          <w:trHeight w:val="2732"/>
        </w:trPr>
        <w:tc>
          <w:tcPr>
            <w:tcW w:w="30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31" w:right="299" w:bottom="1440" w:gutter="0" w:footer="0" w:header="0"/>
        </w:sectPr>
      </w:pPr>
    </w:p>
    <w:bookmarkStart w:id="94" w:name="page95"/>
    <w:bookmarkEnd w:id="94"/>
    <w:p>
      <w:pPr>
        <w:spacing w:after="0"/>
        <w:tabs>
          <w:tab w:leader="none" w:pos="5600" w:val="left"/>
        </w:tabs>
        <w:rPr>
          <w:sz w:val="20"/>
          <w:szCs w:val="20"/>
          <w:color w:val="auto"/>
        </w:rPr>
      </w:pPr>
      <w:r>
        <w:rPr>
          <w:rFonts w:ascii="Times New Roman" w:cs="Times New Roman" w:eastAsia="Times New Roman" w:hAnsi="Times New Roman"/>
          <w:sz w:val="19"/>
          <w:szCs w:val="19"/>
          <w:b w:val="1"/>
          <w:bCs w:val="1"/>
          <w:color w:val="auto"/>
        </w:rPr>
        <w:t>LENDER:</w:t>
      </w:r>
      <w:r>
        <w:rPr>
          <w:sz w:val="20"/>
          <w:szCs w:val="20"/>
          <w:color w:val="auto"/>
        </w:rPr>
        <w:tab/>
      </w:r>
      <w:r>
        <w:rPr>
          <w:rFonts w:ascii="Times New Roman" w:cs="Times New Roman" w:eastAsia="Times New Roman" w:hAnsi="Times New Roman"/>
          <w:sz w:val="19"/>
          <w:szCs w:val="19"/>
          <w:b w:val="1"/>
          <w:bCs w:val="1"/>
          <w:color w:val="auto"/>
        </w:rPr>
        <w:t>MIDCAP FUNDING XIII TRUST</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By: Apollo Capital Management, L.P.,</w:t>
      </w:r>
    </w:p>
    <w:p>
      <w:pPr>
        <w:spacing w:after="0" w:line="2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9"/>
          <w:szCs w:val="19"/>
          <w:color w:val="auto"/>
        </w:rPr>
        <w:t>its investment manager</w:t>
      </w:r>
    </w:p>
    <w:p>
      <w:pPr>
        <w:spacing w:after="0" w:line="2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By: Apollo Capital Management GP, LLC,</w:t>
      </w:r>
    </w:p>
    <w:p>
      <w:pPr>
        <w:spacing w:after="0" w:line="2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Pr>
          <w:p>
            <w:pPr>
              <w:ind w:left="5980"/>
              <w:spacing w:after="0"/>
              <w:rPr>
                <w:sz w:val="20"/>
                <w:szCs w:val="20"/>
                <w:color w:val="auto"/>
              </w:rPr>
            </w:pPr>
            <w:r>
              <w:rPr>
                <w:rFonts w:ascii="Times New Roman" w:cs="Times New Roman" w:eastAsia="Times New Roman" w:hAnsi="Times New Roman"/>
                <w:sz w:val="19"/>
                <w:szCs w:val="19"/>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Maurice Amsellem</w:t>
            </w:r>
          </w:p>
        </w:tc>
        <w:tc>
          <w:tcPr>
            <w:tcW w:w="40" w:type="dxa"/>
            <w:vAlign w:val="bottom"/>
          </w:tcPr>
          <w:p>
            <w:pPr>
              <w:spacing w:after="0"/>
              <w:rPr>
                <w:sz w:val="21"/>
                <w:szCs w:val="21"/>
                <w:color w:val="auto"/>
              </w:rPr>
            </w:pPr>
          </w:p>
        </w:tc>
      </w:tr>
      <w:tr>
        <w:trPr>
          <w:trHeight w:val="190"/>
        </w:trPr>
        <w:tc>
          <w:tcPr>
            <w:tcW w:w="6820" w:type="dxa"/>
            <w:vAlign w:val="bottom"/>
          </w:tcPr>
          <w:p>
            <w:pPr>
              <w:ind w:left="5980"/>
              <w:spacing w:after="0" w:line="191" w:lineRule="exact"/>
              <w:rPr>
                <w:sz w:val="20"/>
                <w:szCs w:val="20"/>
                <w:color w:val="auto"/>
              </w:rPr>
            </w:pPr>
            <w:r>
              <w:rPr>
                <w:rFonts w:ascii="Times New Roman" w:cs="Times New Roman" w:eastAsia="Times New Roman" w:hAnsi="Times New Roman"/>
                <w:sz w:val="19"/>
                <w:szCs w:val="19"/>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9"/>
                <w:szCs w:val="19"/>
                <w:color w:val="auto"/>
              </w:rPr>
              <w:t>Maurice Amsellem</w:t>
            </w:r>
          </w:p>
        </w:tc>
        <w:tc>
          <w:tcPr>
            <w:tcW w:w="40" w:type="dxa"/>
            <w:vAlign w:val="bottom"/>
          </w:tcPr>
          <w:p>
            <w:pPr>
              <w:spacing w:after="0"/>
              <w:rPr>
                <w:sz w:val="16"/>
                <w:szCs w:val="16"/>
                <w:color w:val="auto"/>
              </w:rPr>
            </w:pPr>
          </w:p>
        </w:tc>
      </w:tr>
      <w:tr>
        <w:trPr>
          <w:trHeight w:val="249"/>
        </w:trPr>
        <w:tc>
          <w:tcPr>
            <w:tcW w:w="6820" w:type="dxa"/>
            <w:vAlign w:val="bottom"/>
          </w:tcPr>
          <w:p>
            <w:pPr>
              <w:ind w:left="5980"/>
              <w:spacing w:after="0"/>
              <w:rPr>
                <w:sz w:val="20"/>
                <w:szCs w:val="20"/>
                <w:color w:val="auto"/>
              </w:rPr>
            </w:pPr>
            <w:r>
              <w:rPr>
                <w:rFonts w:ascii="Times New Roman" w:cs="Times New Roman" w:eastAsia="Times New Roman" w:hAnsi="Times New Roman"/>
                <w:sz w:val="19"/>
                <w:szCs w:val="19"/>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9"/>
                <w:szCs w:val="19"/>
                <w:color w:val="auto"/>
              </w:rPr>
              <w:t>Authorized Signatory</w:t>
            </w:r>
          </w:p>
        </w:tc>
        <w:tc>
          <w:tcPr>
            <w:tcW w:w="40" w:type="dxa"/>
            <w:vAlign w:val="bottom"/>
          </w:tcPr>
          <w:p>
            <w:pPr>
              <w:spacing w:after="0"/>
              <w:rPr>
                <w:sz w:val="21"/>
                <w:szCs w:val="21"/>
                <w:color w:val="auto"/>
              </w:rPr>
            </w:pPr>
          </w:p>
        </w:tc>
      </w:tr>
      <w:tr>
        <w:trPr>
          <w:trHeight w:val="984"/>
        </w:trPr>
        <w:tc>
          <w:tcPr>
            <w:tcW w:w="68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29" w:right="299" w:bottom="1440" w:gutter="0" w:footer="0" w:header="0"/>
        </w:sectPr>
      </w:pPr>
    </w:p>
    <w:bookmarkStart w:id="95" w:name="page96"/>
    <w:bookmarkEnd w:id="95"/>
    <w:p>
      <w:pPr>
        <w:spacing w:after="0"/>
        <w:tabs>
          <w:tab w:leader="none" w:pos="5520" w:val="left"/>
        </w:tabs>
        <w:rPr>
          <w:sz w:val="20"/>
          <w:szCs w:val="20"/>
          <w:color w:val="auto"/>
        </w:rPr>
      </w:pPr>
      <w:r>
        <w:rPr>
          <w:rFonts w:ascii="Times New Roman" w:cs="Times New Roman" w:eastAsia="Times New Roman" w:hAnsi="Times New Roman"/>
          <w:sz w:val="19"/>
          <w:szCs w:val="19"/>
          <w:b w:val="1"/>
          <w:bCs w:val="1"/>
          <w:color w:val="auto"/>
        </w:rPr>
        <w:t>LENDER:</w:t>
      </w:r>
      <w:r>
        <w:rPr>
          <w:sz w:val="20"/>
          <w:szCs w:val="20"/>
          <w:color w:val="auto"/>
        </w:rPr>
        <w:tab/>
      </w:r>
      <w:r>
        <w:rPr>
          <w:rFonts w:ascii="Times New Roman" w:cs="Times New Roman" w:eastAsia="Times New Roman" w:hAnsi="Times New Roman"/>
          <w:sz w:val="19"/>
          <w:szCs w:val="19"/>
          <w:b w:val="1"/>
          <w:bCs w:val="1"/>
          <w:color w:val="auto"/>
        </w:rPr>
        <w:t>ELM 2020-3 TRUST</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By: MidCap Financial Services Capital Management, LLC, as Servicer</w:t>
      </w:r>
    </w:p>
    <w:p>
      <w:pPr>
        <w:spacing w:after="0" w:line="200" w:lineRule="exact"/>
        <w:rPr>
          <w:sz w:val="20"/>
          <w:szCs w:val="20"/>
          <w:color w:val="auto"/>
        </w:rPr>
      </w:pPr>
    </w:p>
    <w:p>
      <w:pPr>
        <w:spacing w:after="0" w:line="242"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9"/>
          <w:szCs w:val="19"/>
          <w:color w:val="auto"/>
        </w:rPr>
        <w:t>By:</w:t>
        <w:tab/>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15240</wp:posOffset>
            </wp:positionV>
            <wp:extent cx="32975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Name:John O’Dea</w:t>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18"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9"/>
          <w:szCs w:val="19"/>
          <w:b w:val="1"/>
          <w:bCs w:val="1"/>
          <w:color w:val="auto"/>
        </w:rPr>
        <w:t>LENDER:</w:t>
      </w:r>
      <w:r>
        <w:rPr>
          <w:sz w:val="20"/>
          <w:szCs w:val="20"/>
          <w:color w:val="auto"/>
        </w:rPr>
        <w:tab/>
      </w:r>
      <w:r>
        <w:rPr>
          <w:rFonts w:ascii="Times New Roman" w:cs="Times New Roman" w:eastAsia="Times New Roman" w:hAnsi="Times New Roman"/>
          <w:sz w:val="19"/>
          <w:szCs w:val="19"/>
          <w:b w:val="1"/>
          <w:bCs w:val="1"/>
          <w:color w:val="auto"/>
        </w:rPr>
        <w:t>ELM 2020-4 TRUST</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By: MidCap Financial Services Capital Management, LLC, as Servicer</w:t>
      </w:r>
    </w:p>
    <w:p>
      <w:pPr>
        <w:spacing w:after="0" w:line="200" w:lineRule="exact"/>
        <w:rPr>
          <w:sz w:val="20"/>
          <w:szCs w:val="20"/>
          <w:color w:val="auto"/>
        </w:rPr>
      </w:pPr>
    </w:p>
    <w:p>
      <w:pPr>
        <w:spacing w:after="0" w:line="242"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9"/>
          <w:szCs w:val="19"/>
          <w:color w:val="auto"/>
        </w:rPr>
        <w:t>By:</w:t>
        <w:tab/>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15240</wp:posOffset>
            </wp:positionV>
            <wp:extent cx="32975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Name:John O’Dea</w:t>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605790</wp:posOffset>
            </wp:positionV>
            <wp:extent cx="717994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945" cy="41910"/>
                    </a:xfrm>
                    <a:prstGeom prst="rect">
                      <a:avLst/>
                    </a:prstGeom>
                    <a:noFill/>
                  </pic:spPr>
                </pic:pic>
              </a:graphicData>
            </a:graphic>
          </wp:anchor>
        </w:drawing>
      </w:r>
    </w:p>
    <w:p>
      <w:pPr>
        <w:sectPr>
          <w:pgSz w:w="11900" w:h="16838" w:orient="portrait"/>
          <w:cols w:equalWidth="0" w:num="1">
            <w:col w:w="10940"/>
          </w:cols>
          <w:pgMar w:left="320" w:top="529" w:right="639" w:bottom="1440" w:gutter="0" w:footer="0" w:header="0"/>
        </w:sectPr>
      </w:pPr>
    </w:p>
    <w:bookmarkStart w:id="96" w:name="page97"/>
    <w:bookmarkEnd w:id="96"/>
    <w:p>
      <w:pPr>
        <w:spacing w:after="0"/>
        <w:tabs>
          <w:tab w:leader="none" w:pos="5520" w:val="left"/>
        </w:tabs>
        <w:rPr>
          <w:sz w:val="20"/>
          <w:szCs w:val="20"/>
          <w:color w:val="auto"/>
        </w:rPr>
      </w:pPr>
      <w:r>
        <w:rPr>
          <w:rFonts w:ascii="Times New Roman" w:cs="Times New Roman" w:eastAsia="Times New Roman" w:hAnsi="Times New Roman"/>
          <w:sz w:val="19"/>
          <w:szCs w:val="19"/>
          <w:b w:val="1"/>
          <w:bCs w:val="1"/>
          <w:color w:val="auto"/>
        </w:rPr>
        <w:t>BORROWERS:</w:t>
      </w:r>
      <w:r>
        <w:rPr>
          <w:sz w:val="20"/>
          <w:szCs w:val="20"/>
          <w:color w:val="auto"/>
        </w:rPr>
        <w:tab/>
      </w:r>
      <w:r>
        <w:rPr>
          <w:rFonts w:ascii="Times New Roman" w:cs="Times New Roman" w:eastAsia="Times New Roman" w:hAnsi="Times New Roman"/>
          <w:sz w:val="19"/>
          <w:szCs w:val="19"/>
          <w:b w:val="1"/>
          <w:bCs w:val="1"/>
          <w:color w:val="auto"/>
        </w:rPr>
        <w:t>APTEVO THERAPEUTICS INC.</w:t>
      </w:r>
    </w:p>
    <w:p>
      <w:pPr>
        <w:spacing w:after="0" w:line="200" w:lineRule="exact"/>
        <w:rPr>
          <w:sz w:val="20"/>
          <w:szCs w:val="20"/>
          <w:color w:val="auto"/>
        </w:rPr>
      </w:pPr>
    </w:p>
    <w:p>
      <w:pPr>
        <w:spacing w:after="0" w:line="244"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9"/>
          <w:szCs w:val="19"/>
          <w:color w:val="auto"/>
        </w:rPr>
        <w:t>By:</w:t>
        <w:tab/>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15240</wp:posOffset>
            </wp:positionV>
            <wp:extent cx="32975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Name:Jeff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5080</wp:posOffset>
            </wp:positionV>
            <wp:extent cx="32975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5080</wp:posOffset>
            </wp:positionV>
            <wp:extent cx="32975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b w:val="1"/>
          <w:bCs w:val="1"/>
          <w:color w:val="auto"/>
        </w:rPr>
        <w:t>APTEVO RESEARCH AND DEVELOPMENT LLC</w:t>
      </w:r>
    </w:p>
    <w:p>
      <w:pPr>
        <w:spacing w:after="0" w:line="200" w:lineRule="exact"/>
        <w:rPr>
          <w:sz w:val="20"/>
          <w:szCs w:val="20"/>
          <w:color w:val="auto"/>
        </w:rPr>
      </w:pPr>
    </w:p>
    <w:p>
      <w:pPr>
        <w:spacing w:after="0" w:line="244"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9"/>
          <w:szCs w:val="19"/>
          <w:color w:val="auto"/>
        </w:rPr>
        <w:t>By:</w:t>
        <w:tab/>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15240</wp:posOffset>
            </wp:positionV>
            <wp:extent cx="32975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Name:Jeff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5080</wp:posOffset>
            </wp:positionV>
            <wp:extent cx="32975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5080</wp:posOffset>
            </wp:positionV>
            <wp:extent cx="32975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sectPr>
          <w:pgSz w:w="11900" w:h="16838" w:orient="portrait"/>
          <w:cols w:equalWidth="0" w:num="1">
            <w:col w:w="10139"/>
          </w:cols>
          <w:pgMar w:left="320" w:top="749"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Marvin White, certify that:</w:t>
      </w:r>
    </w:p>
    <w:p>
      <w:pPr>
        <w:spacing w:after="0" w:line="219" w:lineRule="exact"/>
        <w:rPr>
          <w:sz w:val="20"/>
          <w:szCs w:val="20"/>
          <w:color w:val="auto"/>
        </w:rPr>
      </w:pPr>
    </w:p>
    <w:p>
      <w:pPr>
        <w:ind w:left="500" w:hanging="496"/>
        <w:spacing w:after="0"/>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Aptevo Therapeutics Inc.;</w:t>
      </w:r>
    </w:p>
    <w:p>
      <w:pPr>
        <w:spacing w:after="0" w:line="218" w:lineRule="exact"/>
        <w:rPr>
          <w:rFonts w:ascii="Times New Roman" w:cs="Times New Roman" w:eastAsia="Times New Roman" w:hAnsi="Times New Roman"/>
          <w:sz w:val="17"/>
          <w:szCs w:val="17"/>
          <w:color w:val="auto"/>
        </w:rPr>
      </w:pPr>
    </w:p>
    <w:p>
      <w:pPr>
        <w:ind w:left="500" w:right="220" w:hanging="496"/>
        <w:spacing w:after="0" w:line="291" w:lineRule="auto"/>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500" w:hanging="496"/>
        <w:spacing w:after="0" w:line="291" w:lineRule="auto"/>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500" w:right="40" w:hanging="496"/>
        <w:spacing w:after="0" w:line="273" w:lineRule="auto"/>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020" w:right="440" w:hanging="511"/>
        <w:spacing w:after="0" w:line="273"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020" w:right="140" w:hanging="511"/>
        <w:spacing w:after="0" w:line="273"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1020" w:right="40" w:hanging="511"/>
        <w:spacing w:after="0" w:line="273"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left="500" w:right="420" w:hanging="496"/>
        <w:spacing w:after="0" w:line="291" w:lineRule="auto"/>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1020" w:right="340" w:hanging="511"/>
        <w:spacing w:after="0" w:line="291"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1020" w:right="320" w:hanging="511"/>
        <w:spacing w:after="0" w:line="291" w:lineRule="auto"/>
        <w:tabs>
          <w:tab w:leader="none" w:pos="10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620" w:val="left"/>
          <w:tab w:leader="none" w:pos="8000" w:val="left"/>
        </w:tabs>
        <w:rPr>
          <w:sz w:val="20"/>
          <w:szCs w:val="20"/>
          <w:color w:val="auto"/>
        </w:rPr>
      </w:pPr>
      <w:r>
        <w:rPr>
          <w:rFonts w:ascii="Times New Roman" w:cs="Times New Roman" w:eastAsia="Times New Roman" w:hAnsi="Times New Roman"/>
          <w:sz w:val="17"/>
          <w:szCs w:val="17"/>
          <w:color w:val="auto"/>
        </w:rPr>
        <w:t>Date: November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19050</wp:posOffset>
            </wp:positionV>
            <wp:extent cx="33470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b w:val="1"/>
          <w:bCs w:val="1"/>
          <w:color w:val="auto"/>
        </w:rPr>
        <w:t>Marvin White</w:t>
      </w:r>
    </w:p>
    <w:p>
      <w:pPr>
        <w:spacing w:after="0" w:line="3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ectPr>
          <w:pgSz w:w="11900" w:h="16838" w:orient="portrait"/>
          <w:cols w:equalWidth="0" w:num="1">
            <w:col w:w="11240"/>
          </w:cols>
          <w:pgMar w:left="320" w:top="11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 Lamothe, certify that:</w:t>
      </w:r>
    </w:p>
    <w:p>
      <w:pPr>
        <w:spacing w:after="0" w:line="219" w:lineRule="exact"/>
        <w:rPr>
          <w:sz w:val="20"/>
          <w:szCs w:val="20"/>
          <w:color w:val="auto"/>
        </w:rPr>
      </w:pPr>
    </w:p>
    <w:p>
      <w:pPr>
        <w:ind w:left="500" w:hanging="496"/>
        <w:spacing w:after="0"/>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Aptevo Therapeutics Inc.;</w:t>
      </w:r>
    </w:p>
    <w:p>
      <w:pPr>
        <w:spacing w:after="0" w:line="218" w:lineRule="exact"/>
        <w:rPr>
          <w:rFonts w:ascii="Times New Roman" w:cs="Times New Roman" w:eastAsia="Times New Roman" w:hAnsi="Times New Roman"/>
          <w:sz w:val="17"/>
          <w:szCs w:val="17"/>
          <w:color w:val="auto"/>
        </w:rPr>
      </w:pPr>
    </w:p>
    <w:p>
      <w:pPr>
        <w:ind w:left="500" w:right="220" w:hanging="496"/>
        <w:spacing w:after="0" w:line="291" w:lineRule="auto"/>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500" w:hanging="496"/>
        <w:spacing w:after="0" w:line="291" w:lineRule="auto"/>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500" w:right="40" w:hanging="496"/>
        <w:spacing w:after="0" w:line="273" w:lineRule="auto"/>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020" w:right="440" w:hanging="511"/>
        <w:spacing w:after="0" w:line="273"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020" w:right="140" w:hanging="511"/>
        <w:spacing w:after="0" w:line="273"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left="1020" w:hanging="511"/>
        <w:spacing w:after="0" w:line="291"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1020" w:right="40" w:hanging="511"/>
        <w:spacing w:after="0" w:line="273"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left="500" w:right="420" w:hanging="496"/>
        <w:spacing w:after="0" w:line="291" w:lineRule="auto"/>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1020" w:right="340" w:hanging="511"/>
        <w:spacing w:after="0" w:line="291"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1020" w:right="320" w:hanging="511"/>
        <w:spacing w:after="0" w:line="291" w:lineRule="auto"/>
        <w:tabs>
          <w:tab w:leader="none" w:pos="10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620" w:val="left"/>
          <w:tab w:leader="none" w:pos="7800" w:val="left"/>
        </w:tabs>
        <w:rPr>
          <w:sz w:val="20"/>
          <w:szCs w:val="20"/>
          <w:color w:val="auto"/>
        </w:rPr>
      </w:pPr>
      <w:r>
        <w:rPr>
          <w:rFonts w:ascii="Times New Roman" w:cs="Times New Roman" w:eastAsia="Times New Roman" w:hAnsi="Times New Roman"/>
          <w:sz w:val="17"/>
          <w:szCs w:val="17"/>
          <w:color w:val="auto"/>
        </w:rPr>
        <w:t>Date: November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19050</wp:posOffset>
            </wp:positionV>
            <wp:extent cx="33470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b w:val="1"/>
          <w:bCs w:val="1"/>
          <w:color w:val="auto"/>
        </w:rPr>
        <w:t>Jeffrey G. Lamothe</w:t>
      </w:r>
    </w:p>
    <w:p>
      <w:pPr>
        <w:spacing w:after="0" w:line="3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ectPr>
          <w:pgSz w:w="11900" w:h="16838" w:orient="portrait"/>
          <w:cols w:equalWidth="0" w:num="1">
            <w:col w:w="11240"/>
          </w:cols>
          <w:pgMar w:left="320" w:top="11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13a-14(b) OF THE SECURITIES EXCHANGE ACT OF 1934, AS AMENDED AND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160" w:firstLine="510"/>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of Aptevo Therapeutics Inc. on Form 10-Q for the period ending September 30, 2022 as filed with the Securities and Exchange Commission on the date hereof (the “Report”), I certify, pursuant to 18 U.S.C. § 1350, as adopted pursuant to § 906 of the Sarbanes-Oxley Act of 2002, that:</w:t>
      </w:r>
    </w:p>
    <w:p>
      <w:pPr>
        <w:spacing w:after="0" w:line="58" w:lineRule="exact"/>
        <w:rPr>
          <w:sz w:val="20"/>
          <w:szCs w:val="20"/>
          <w:color w:val="auto"/>
        </w:rPr>
      </w:pPr>
    </w:p>
    <w:p>
      <w:pPr>
        <w:ind w:left="1020" w:hanging="511"/>
        <w:spacing w:after="0"/>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2" w:lineRule="exact"/>
        <w:rPr>
          <w:sz w:val="20"/>
          <w:szCs w:val="20"/>
          <w:color w:val="auto"/>
        </w:rPr>
      </w:pPr>
    </w:p>
    <w:p>
      <w:pPr>
        <w:spacing w:after="0"/>
        <w:tabs>
          <w:tab w:leader="none" w:pos="6700" w:val="left"/>
          <w:tab w:leader="none" w:pos="8500" w:val="left"/>
        </w:tabs>
        <w:rPr>
          <w:sz w:val="20"/>
          <w:szCs w:val="20"/>
          <w:color w:val="auto"/>
        </w:rPr>
      </w:pPr>
      <w:r>
        <w:rPr>
          <w:rFonts w:ascii="Times New Roman" w:cs="Times New Roman" w:eastAsia="Times New Roman" w:hAnsi="Times New Roman"/>
          <w:sz w:val="17"/>
          <w:szCs w:val="17"/>
          <w:color w:val="auto"/>
        </w:rPr>
        <w:t>Date: November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19050</wp:posOffset>
            </wp:positionV>
            <wp:extent cx="27057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spacing w:after="0" w:line="16"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7"/>
          <w:szCs w:val="17"/>
          <w:b w:val="1"/>
          <w:bCs w:val="1"/>
          <w:color w:val="auto"/>
        </w:rPr>
        <w:t>Marvin White</w:t>
      </w:r>
    </w:p>
    <w:p>
      <w:pPr>
        <w:spacing w:after="0" w:line="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2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1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13a-14(b) OF THE SECURITIES EXCHANGE ACT OF 1934, AS AMENDED AND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80" w:firstLine="510"/>
        <w:spacing w:after="0" w:line="291" w:lineRule="auto"/>
        <w:rPr>
          <w:sz w:val="20"/>
          <w:szCs w:val="20"/>
          <w:color w:val="auto"/>
        </w:rPr>
      </w:pPr>
      <w:r>
        <w:rPr>
          <w:rFonts w:ascii="Times New Roman" w:cs="Times New Roman" w:eastAsia="Times New Roman" w:hAnsi="Times New Roman"/>
          <w:sz w:val="17"/>
          <w:szCs w:val="17"/>
          <w:color w:val="auto"/>
        </w:rPr>
        <w:t>In connection with the Quarterly Report of Aptevo Inc. on Form 10-Q for the period ending September 30, 2022 as filed with the Securities and Exchange Commission on the date hereof (the “Report”), I certify, pursuant to 18 U.S.C. § 1350, as adopted pursuant to § 906 of the Sarbanes-Oxley Act of 2002, that:</w:t>
      </w:r>
    </w:p>
    <w:p>
      <w:pPr>
        <w:spacing w:after="0" w:line="44" w:lineRule="exact"/>
        <w:rPr>
          <w:sz w:val="20"/>
          <w:szCs w:val="20"/>
          <w:color w:val="auto"/>
        </w:rPr>
      </w:pPr>
    </w:p>
    <w:p>
      <w:pPr>
        <w:ind w:left="1020" w:hanging="511"/>
        <w:spacing w:after="0"/>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15" w:lineRule="exact"/>
        <w:rPr>
          <w:rFonts w:ascii="Times New Roman" w:cs="Times New Roman" w:eastAsia="Times New Roman" w:hAnsi="Times New Roman"/>
          <w:sz w:val="17"/>
          <w:szCs w:val="17"/>
          <w:color w:val="auto"/>
        </w:rPr>
      </w:pPr>
    </w:p>
    <w:p>
      <w:pPr>
        <w:ind w:left="1020" w:hanging="511"/>
        <w:spacing w:after="0"/>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32" w:lineRule="exact"/>
        <w:rPr>
          <w:sz w:val="20"/>
          <w:szCs w:val="20"/>
          <w:color w:val="auto"/>
        </w:rPr>
      </w:pPr>
    </w:p>
    <w:p>
      <w:pPr>
        <w:spacing w:after="0"/>
        <w:tabs>
          <w:tab w:leader="none" w:pos="6700" w:val="left"/>
          <w:tab w:leader="none" w:pos="8320" w:val="left"/>
        </w:tabs>
        <w:rPr>
          <w:sz w:val="20"/>
          <w:szCs w:val="20"/>
          <w:color w:val="auto"/>
        </w:rPr>
      </w:pPr>
      <w:r>
        <w:rPr>
          <w:rFonts w:ascii="Times New Roman" w:cs="Times New Roman" w:eastAsia="Times New Roman" w:hAnsi="Times New Roman"/>
          <w:sz w:val="17"/>
          <w:szCs w:val="17"/>
          <w:color w:val="auto"/>
        </w:rPr>
        <w:t>Date: November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19050</wp:posOffset>
            </wp:positionV>
            <wp:extent cx="27057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spacing w:after="0" w:line="16"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7"/>
          <w:szCs w:val="17"/>
          <w:b w:val="1"/>
          <w:bCs w:val="1"/>
          <w:color w:val="auto"/>
        </w:rPr>
        <w:t>Jeffrey G. Lamothe</w:t>
      </w:r>
    </w:p>
    <w:p>
      <w:pPr>
        <w:spacing w:after="0" w:line="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848"/>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lowerLetter"/>
      <w:start w:val="2"/>
    </w:lvl>
  </w:abstractNum>
  <w:abstractNum w:abstractNumId="31">
    <w:nsid w:val="2A487CB0"/>
    <w:multiLevelType w:val="hybridMultilevel"/>
    <w:lvl w:ilvl="0">
      <w:lvlJc w:val="left"/>
      <w:lvlText w:val="(%1)"/>
      <w:numFmt w:val="lowerLetter"/>
      <w:start w:val="7"/>
    </w:lvl>
  </w:abstractNum>
  <w:abstractNum w:abstractNumId="32">
    <w:nsid w:val="1D4ED43B"/>
    <w:multiLevelType w:val="hybridMultilevel"/>
    <w:lvl w:ilvl="0">
      <w:lvlJc w:val="left"/>
      <w:lvlText w:val="(%1)"/>
      <w:numFmt w:val="lowerLetter"/>
      <w:start w:val="25"/>
    </w:lvl>
  </w:abstractNum>
  <w:abstractNum w:abstractNumId="33">
    <w:nsid w:val="725A06FB"/>
    <w:multiLevelType w:val="hybridMultilevel"/>
    <w:lvl w:ilvl="0">
      <w:lvlJc w:val="left"/>
      <w:lvlText w:val="(%1)"/>
      <w:numFmt w:val="lowerLetter"/>
      <w:start w:val="8"/>
    </w:lvl>
  </w:abstractNum>
  <w:abstractNum w:abstractNumId="34">
    <w:nsid w:val="2CD89A32"/>
    <w:multiLevelType w:val="hybridMultilevel"/>
    <w:lvl w:ilvl="0">
      <w:lvlJc w:val="left"/>
      <w:lvlText w:val="%1."/>
      <w:numFmt w:val="upperLetter"/>
      <w:start w:val="1"/>
    </w:lvl>
  </w:abstractNum>
  <w:abstractNum w:abstractNumId="35">
    <w:nsid w:val="57E4CCAF"/>
    <w:multiLevelType w:val="hybridMultilevel"/>
    <w:lvl w:ilvl="0">
      <w:lvlJc w:val="left"/>
      <w:lvlText w:val="%1."/>
      <w:numFmt w:val="decimal"/>
      <w:start w:val="1"/>
    </w:lvl>
    <w:lvl w:ilvl="1">
      <w:lvlJc w:val="left"/>
      <w:lvlText w:val="(%2)"/>
      <w:numFmt w:val="lowerLetter"/>
      <w:start w:val="1"/>
    </w:lvl>
  </w:abstractNum>
  <w:abstractNum w:abstractNumId="36">
    <w:nsid w:val="7A6D8D3C"/>
    <w:multiLevelType w:val="hybridMultilevel"/>
    <w:lvl w:ilvl="0">
      <w:lvlJc w:val="left"/>
      <w:lvlText w:val="(%1)"/>
      <w:numFmt w:val="lowerLetter"/>
      <w:start w:val="2"/>
    </w:lvl>
  </w:abstractNum>
  <w:abstractNum w:abstractNumId="37">
    <w:nsid w:val="4B588F54"/>
    <w:multiLevelType w:val="hybridMultilevel"/>
    <w:lvl w:ilvl="0">
      <w:lvlJc w:val="left"/>
      <w:lvlText w:val="(%1)"/>
      <w:numFmt w:val="lowerLetter"/>
      <w:start w:val="3"/>
    </w:lvl>
  </w:abstractNum>
  <w:abstractNum w:abstractNumId="38">
    <w:nsid w:val="542289EC"/>
    <w:multiLevelType w:val="hybridMultilevel"/>
    <w:lvl w:ilvl="0">
      <w:lvlJc w:val="left"/>
      <w:lvlText w:val="(%1)"/>
      <w:numFmt w:val="lowerLetter"/>
      <w:start w:val="4"/>
    </w:lvl>
  </w:abstractNum>
  <w:abstractNum w:abstractNumId="39">
    <w:nsid w:val="6DE91B18"/>
    <w:multiLevelType w:val="hybridMultilevel"/>
    <w:lvl w:ilvl="0">
      <w:lvlJc w:val="left"/>
      <w:lvlText w:val="(%1)"/>
      <w:numFmt w:val="lowerRoman"/>
      <w:start w:val="1"/>
    </w:lvl>
  </w:abstractNum>
  <w:abstractNum w:abstractNumId="40">
    <w:nsid w:val="38437FDB"/>
    <w:multiLevelType w:val="hybridMultilevel"/>
    <w:lvl w:ilvl="0">
      <w:lvlJc w:val="left"/>
      <w:lvlText w:val="(%1)"/>
      <w:numFmt w:val="lowerLetter"/>
      <w:start w:val="6"/>
    </w:lvl>
  </w:abstractNum>
  <w:abstractNum w:abstractNumId="41">
    <w:nsid w:val="7644A45C"/>
    <w:multiLevelType w:val="hybridMultilevel"/>
    <w:lvl w:ilvl="0">
      <w:lvlJc w:val="left"/>
      <w:lvlText w:val="(%1)"/>
      <w:numFmt w:val="lowerRoman"/>
      <w:start w:val="1"/>
    </w:lvl>
  </w:abstractNum>
  <w:abstractNum w:abstractNumId="42">
    <w:nsid w:val="32FFF902"/>
    <w:multiLevelType w:val="hybridMultilevel"/>
    <w:lvl w:ilvl="0">
      <w:lvlJc w:val="left"/>
      <w:lvlText w:val="(%1)"/>
      <w:numFmt w:val="lowerRoman"/>
      <w:start w:val="2"/>
    </w:lvl>
  </w:abstractNum>
  <w:abstractNum w:abstractNumId="43">
    <w:nsid w:val="684A481A"/>
    <w:multiLevelType w:val="hybridMultilevel"/>
    <w:lvl w:ilvl="0">
      <w:lvlJc w:val="left"/>
      <w:lvlText w:val="(%1)"/>
      <w:numFmt w:val="lowerLetter"/>
      <w:start w:val="7"/>
    </w:lvl>
    <w:lvl w:ilvl="1">
      <w:lvlJc w:val="left"/>
      <w:lvlText w:val="(%2)"/>
      <w:numFmt w:val="lowerLetter"/>
      <w:start w:val="9"/>
    </w:lvl>
  </w:abstractNum>
  <w:abstractNum w:abstractNumId="44">
    <w:nsid w:val="579478FE"/>
    <w:multiLevelType w:val="hybridMultilevel"/>
    <w:lvl w:ilvl="0">
      <w:lvlJc w:val="left"/>
      <w:lvlText w:val="(%1)"/>
      <w:numFmt w:val="lowerRoman"/>
      <w:start w:val="2"/>
    </w:lvl>
  </w:abstractNum>
  <w:abstractNum w:abstractNumId="45">
    <w:nsid w:val="749ABB43"/>
    <w:multiLevelType w:val="hybridMultilevel"/>
    <w:lvl w:ilvl="0">
      <w:lvlJc w:val="left"/>
      <w:lvlText w:val="(%1)"/>
      <w:numFmt w:val="lowerRoman"/>
      <w:start w:val="5"/>
    </w:lvl>
  </w:abstractNum>
  <w:abstractNum w:abstractNumId="46">
    <w:nsid w:val="3DC240FB"/>
    <w:multiLevelType w:val="hybridMultilevel"/>
    <w:lvl w:ilvl="0">
      <w:lvlJc w:val="left"/>
      <w:lvlText w:val="%1"/>
      <w:numFmt w:val="decimal"/>
      <w:start w:val="1"/>
    </w:lvl>
    <w:lvl w:ilvl="1">
      <w:lvlJc w:val="left"/>
      <w:lvlText w:val="(%2)"/>
      <w:numFmt w:val="lowerLetter"/>
      <w:start w:val="11"/>
    </w:lvl>
  </w:abstractNum>
  <w:abstractNum w:abstractNumId="47">
    <w:nsid w:val="1BA026FA"/>
    <w:multiLevelType w:val="hybridMultilevel"/>
    <w:lvl w:ilvl="0">
      <w:lvlJc w:val="left"/>
      <w:lvlText w:val="%1."/>
      <w:numFmt w:val="decimal"/>
      <w:start w:val="3"/>
    </w:lvl>
    <w:lvl w:ilvl="1">
      <w:lvlJc w:val="left"/>
      <w:lvlText w:val="(%2)"/>
      <w:numFmt w:val="lowerLetter"/>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lowerLetter"/>
      <w:start w:val="8"/>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2022-11-10T07:35:43Z</dcterms:created>
  <dcterms:modified xsi:type="dcterms:W3CDTF">2022-11-10T07:35:43Z</dcterms:modified>
</cp:coreProperties>
</file>