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Aptevo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CVI Investments, Inc.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83,854.00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83,854.00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83,854.00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6 and Row 8 above, Heights Capital Management, Inc. is the investment manager to CVI Investments, Inc. and as such may exercise voting and dispositive power over the shares reported as beneficially owned by CVI Investments, Inc. 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Heights Capital Management,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83,854.00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83,854.00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83,854.00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6 and Row 8 above, Heights Capital Management, Inc. is the investment manager to CVI Investments, Inc. and as such may exercise voting and dispositive power over the shares reported as beneficially owned by CVI Investments, Inc. 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3"/>
        <w:gridCol w:w="8907"/>
        <w:gridCol w:w="155"/>
      </w:tblGrid>
      <w:tr>
        <w:trPr/>
        <w:tc>
          <w:tcPr>
            <w:tcW w:w="1143" w:type="dxa"/>
            <w:tcBorders/>
            <w:vAlign w:val="center"/>
          </w:tcPr>
          <w:p>
            <w:pPr>
              <w:pStyle w:val="TableContents"/>
              <w:bidi w:val="0"/>
              <w:spacing w:before="0" w:after="283"/>
              <w:jc w:val="left"/>
              <w:rPr/>
            </w:pPr>
            <w:r>
              <w:rPr/>
              <w:t>Item 1.</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issuer: </w:t>
            </w:r>
          </w:p>
          <w:p>
            <w:pPr>
              <w:pStyle w:val="TableContents"/>
              <w:bidi w:val="0"/>
              <w:spacing w:before="0" w:after="0"/>
              <w:jc w:val="left"/>
              <w:rPr/>
            </w:pPr>
            <w:r>
              <w:rPr/>
              <w:t>Aptevo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2401 4th Avenue, Suite 1050, Seattle, WA 98121</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2.</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statement is filed by the entities listed below, who are collectively referred to herein as "Reporting Persons," with respect to the shares of common stock of Aptevo Therapeutics Inc. (the "Company"), $0.001 par value per share (the "Shares"). (i) CVI Investments, Inc. (ii) Heights Capital Management, Inc.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address of the principal business office of CVI Investments, Inc. is: P.O. Box 309GT Ugland House South Church Street George Town Grand Cayman KY1-1104 Cayman Islands The address of the principal business office of Heights Capital Management, Inc. is: 101 California Street, Suite 3250 San Francisco, California 94111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jc w:val="left"/>
              <w:rPr/>
            </w:pPr>
            <w:r>
              <w:rPr/>
              <w:t xml:space="preserve">Citizenship: </w:t>
            </w:r>
          </w:p>
          <w:p>
            <w:pPr>
              <w:pStyle w:val="TableContents"/>
              <w:bidi w:val="0"/>
              <w:spacing w:before="0" w:after="0"/>
              <w:jc w:val="left"/>
              <w:rPr/>
            </w:pPr>
            <w:r>
              <w:rPr/>
              <w:t>Citizenship is set forth in Row 4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3.</w:t>
            </w:r>
          </w:p>
        </w:tc>
        <w:tc>
          <w:tcPr>
            <w:tcW w:w="890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(f)</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(g)</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(h)</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(j)</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(k)</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4.</w:t>
            </w:r>
          </w:p>
        </w:tc>
        <w:tc>
          <w:tcPr>
            <w:tcW w:w="890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Item 4(a) is set forth in Row 9 of the cover page for each Reporting Person hereto and is incorporated herein by reference for each such Reporting Person. The number of Shares reported as beneficially owned consists of Shares issuable upon the exercise of warrants to purchase Shares (the "Warrants"). The Warrants are not exercisable to the extent that the total number of Shares then beneficially owned by a Reporting Person and its affiliates and any other persons whose beneficial ownership of Shares would be aggregated with such Reporting Person for purposes of Section 13(d) of the Securities Exchange Act of 1934, as amended, would exceed 9.99%. The Company's Quarterly Report on Form 10-Q, filed on May 13, 2026, indicates there were 1,246,105 Shares outstanding as of the date of such filing.</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6.3  %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The information required by this Item 4(c)(i) is set forth in Row 5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The information required by this Item 4(c)(ii) is set forth in Row 6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The information required by this Item 4(c)(iii) is set forth in Row 7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required by this Item 4(c)(iv) is set forth in Row 8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5.</w:t>
            </w:r>
          </w:p>
        </w:tc>
        <w:tc>
          <w:tcPr>
            <w:tcW w:w="890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6.</w:t>
            </w:r>
          </w:p>
        </w:tc>
        <w:tc>
          <w:tcPr>
            <w:tcW w:w="890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7.</w:t>
            </w:r>
          </w:p>
        </w:tc>
        <w:tc>
          <w:tcPr>
            <w:tcW w:w="890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8.</w:t>
            </w:r>
          </w:p>
        </w:tc>
        <w:tc>
          <w:tcPr>
            <w:tcW w:w="890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9.</w:t>
            </w:r>
          </w:p>
        </w:tc>
        <w:tc>
          <w:tcPr>
            <w:tcW w:w="890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 xml:space="preserve">CVI Investments, Inc. </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9"/>
        <w:gridCol w:w="4206"/>
      </w:tblGrid>
      <w:tr>
        <w:trPr/>
        <w:tc>
          <w:tcPr>
            <w:tcW w:w="59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Sarah Travis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Sarah Travis, Assistant General Counsel and Assistant Secretary of Heights Capital Management, Inc.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 xml:space="preserve">Heights Capital Management, Inc. </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Sarah Travis</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Sarah Travis, Assistant General Counsel and Assistant Secretary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Heights Capital Management, Inc. serves as authorized agent of CVI Investments, Inc. pursuant to a Limited Power of Attorney, a copy of which was previously filed.</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INDEX EXHIBIT DESCRIPTION 24 Limited Power of Attorney* 99 Joint Filing Agreement* * Previously filed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1480</Words>
  <Characters>7706</Characters>
  <CharactersWithSpaces>9165</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