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428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p>
      <w:pPr>
        <w:spacing w:after="0" w:line="20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81-1567056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71" w:lineRule="exact"/>
        <w:rPr>
          <w:sz w:val="24"/>
          <w:szCs w:val="24"/>
          <w:color w:val="auto"/>
        </w:rPr>
      </w:pPr>
    </w:p>
    <w:p>
      <w:pPr>
        <w:sectPr>
          <w:pgSz w:w="11900" w:h="16838" w:orient="portrait"/>
          <w:cols w:equalWidth="0" w:num="2">
            <w:col w:w="7140" w:space="720"/>
            <w:col w:w="3380"/>
          </w:cols>
          <w:pgMar w:left="320" w:top="1132"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b w:val="1"/>
          <w:bCs w:val="1"/>
          <w:color w:val="auto"/>
        </w:rPr>
        <w:t>2401 4</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1050</w:t>
      </w:r>
    </w:p>
    <w:p>
      <w:pPr>
        <w:ind w:left="20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Seattle, Washington</w:t>
      </w:r>
      <w:r>
        <w:rPr>
          <w:sz w:val="20"/>
          <w:szCs w:val="20"/>
          <w:color w:val="auto"/>
        </w:rPr>
        <w:tab/>
      </w:r>
      <w:r>
        <w:rPr>
          <w:rFonts w:ascii="Times New Roman" w:cs="Times New Roman" w:eastAsia="Times New Roman" w:hAnsi="Times New Roman"/>
          <w:sz w:val="18"/>
          <w:szCs w:val="18"/>
          <w:b w:val="1"/>
          <w:bCs w:val="1"/>
          <w:color w:val="auto"/>
        </w:rPr>
        <w:t>98121</w:t>
      </w:r>
    </w:p>
    <w:p>
      <w:pPr>
        <w:spacing w:after="0" w:line="10"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0" w:lineRule="exact"/>
        <w:rPr>
          <w:sz w:val="24"/>
          <w:szCs w:val="24"/>
          <w:color w:val="auto"/>
        </w:rPr>
      </w:pPr>
    </w:p>
    <w:p>
      <w:pPr>
        <w:ind w:left="1280"/>
        <w:spacing w:after="0"/>
        <w:tabs>
          <w:tab w:leader="none" w:pos="5040" w:val="left"/>
          <w:tab w:leader="none" w:pos="78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Symbols(s)</w:t>
      </w:r>
      <w:r>
        <w:rPr>
          <w:sz w:val="20"/>
          <w:szCs w:val="20"/>
          <w:color w:val="auto"/>
        </w:rPr>
        <w:tab/>
      </w:r>
      <w:r>
        <w:rPr>
          <w:rFonts w:ascii="Times New Roman" w:cs="Times New Roman" w:eastAsia="Times New Roman" w:hAnsi="Times New Roman"/>
          <w:sz w:val="18"/>
          <w:szCs w:val="18"/>
          <w:b w:val="1"/>
          <w:bCs w:val="1"/>
          <w:color w:val="auto"/>
        </w:rPr>
        <w:t>Name of Exchange on Which Registered</w:t>
      </w:r>
    </w:p>
    <w:p>
      <w:pPr>
        <w:spacing w:after="0" w:line="31" w:lineRule="exact"/>
        <w:rPr>
          <w:sz w:val="24"/>
          <w:szCs w:val="24"/>
          <w:color w:val="auto"/>
        </w:rPr>
      </w:pPr>
    </w:p>
    <w:p>
      <w:pPr>
        <w:ind w:left="360"/>
        <w:spacing w:after="0"/>
        <w:tabs>
          <w:tab w:leader="none" w:pos="5540" w:val="left"/>
          <w:tab w:leader="none" w:pos="8200" w:val="left"/>
        </w:tabs>
        <w:rPr>
          <w:sz w:val="20"/>
          <w:szCs w:val="20"/>
          <w:color w:val="auto"/>
        </w:rPr>
      </w:pPr>
      <w:r>
        <w:rPr>
          <w:rFonts w:ascii="Times New Roman" w:cs="Times New Roman" w:eastAsia="Times New Roman" w:hAnsi="Times New Roman"/>
          <w:sz w:val="18"/>
          <w:szCs w:val="18"/>
          <w:b w:val="1"/>
          <w:bCs w:val="1"/>
          <w:color w:val="auto"/>
        </w:rPr>
        <w:t>Common Stock, $0.001 par value per share</w:t>
      </w:r>
      <w:r>
        <w:rPr>
          <w:sz w:val="20"/>
          <w:szCs w:val="20"/>
          <w:color w:val="auto"/>
        </w:rPr>
        <w:tab/>
      </w:r>
      <w:r>
        <w:rPr>
          <w:rFonts w:ascii="Times New Roman" w:cs="Times New Roman" w:eastAsia="Times New Roman" w:hAnsi="Times New Roman"/>
          <w:sz w:val="18"/>
          <w:szCs w:val="18"/>
          <w:b w:val="1"/>
          <w:bCs w:val="1"/>
          <w:color w:val="auto"/>
        </w:rPr>
        <w:t>APVO</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3" w:lineRule="exact"/>
        <w:rPr>
          <w:sz w:val="24"/>
          <w:szCs w:val="24"/>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7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8, 2024, the number of shares of the registrant’s common stock outstanding was 9,420,489.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9520" w:type="dxa"/>
            <w:vAlign w:val="bottom"/>
            <w:gridSpan w:val="18"/>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18"/>
                <w:szCs w:val="18"/>
                <w:color w:val="auto"/>
              </w:rPr>
            </w:pPr>
          </w:p>
        </w:tc>
        <w:tc>
          <w:tcPr>
            <w:tcW w:w="708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180" w:type="dxa"/>
            <w:vAlign w:val="bottom"/>
            <w:gridSpan w:val="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42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90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gridSpan w:val="7"/>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5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0" w:type="dxa"/>
            <w:vAlign w:val="bottom"/>
            <w:gridSpan w:val="1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00" w:type="dxa"/>
            <w:vAlign w:val="bottom"/>
            <w:tcBorders>
              <w:top w:val="single" w:sz="8" w:color="0000FF"/>
            </w:tcBorders>
            <w:gridSpan w:val="7"/>
          </w:tcPr>
          <w:p>
            <w:pPr>
              <w:spacing w:after="0"/>
              <w:rPr>
                <w:sz w:val="18"/>
                <w:szCs w:val="18"/>
                <w:color w:val="auto"/>
              </w:rPr>
            </w:pP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4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or outstanding</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4,080,665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442,458 shares issued and outstanding at June 30, 2024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240,558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(236,164 )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(223,447 )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-3762375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-3128010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-1859280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43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(3,643 )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(5,462 )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(7,395 )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(9,630 )</w:t>
            </w:r>
          </w:p>
        </w:tc>
      </w:tr>
      <w:tr>
        <w:trPr>
          <w:trHeight w:val="24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(2,381 )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(2,716 )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(5,612 )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(6,304 )</w:t>
            </w:r>
          </w:p>
        </w:tc>
      </w:tr>
      <w:tr>
        <w:trPr>
          <w:trHeight w:val="20"/>
        </w:trPr>
        <w:tc>
          <w:tcPr>
            <w:tcW w:w="4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(6,024 )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(8,178 )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(13,007 )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(15,934 )</w:t>
            </w:r>
          </w:p>
        </w:tc>
      </w:tr>
      <w:tr>
        <w:trPr>
          <w:trHeight w:val="24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from continuing operations, net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r>
      <w:tr>
        <w:trPr>
          <w:trHeight w:val="243"/>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related to sale of non-financial asset</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(5,883 )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(7,948 )</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(12,717 )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(6,121 )</w:t>
            </w: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7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(5,883 )</w:t>
            </w:r>
          </w:p>
        </w:tc>
        <w:tc>
          <w:tcPr>
            <w:tcW w:w="16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(7,948 )</w:t>
            </w:r>
          </w:p>
        </w:tc>
        <w:tc>
          <w:tcPr>
            <w:tcW w:w="1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(12,717 )</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(5,175 )</w:t>
            </w:r>
          </w:p>
        </w:tc>
      </w:tr>
      <w:tr>
        <w:trPr>
          <w:trHeight w:val="228"/>
        </w:trPr>
        <w:tc>
          <w:tcPr>
            <w:tcW w:w="43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1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from continuing</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(53.95 )</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(37.45 )</w:t>
            </w:r>
          </w:p>
        </w:tc>
      </w:tr>
      <w:tr>
        <w:trPr>
          <w:trHeight w:val="20"/>
        </w:trPr>
        <w:tc>
          <w:tcPr>
            <w:tcW w:w="4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(53.95 )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(37.45 )</w:t>
            </w:r>
          </w:p>
        </w:tc>
      </w:tr>
      <w:tr>
        <w:trPr>
          <w:trHeight w:val="237"/>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(53.95 )</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(31.67 )</w:t>
            </w: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(53.95 )</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(6.02 )</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(31.67 )</w:t>
            </w:r>
          </w:p>
        </w:tc>
      </w:tr>
      <w:tr>
        <w:trPr>
          <w:trHeight w:val="20"/>
        </w:trPr>
        <w:tc>
          <w:tcPr>
            <w:tcW w:w="4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3,519,875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163,425</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3,519,875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2,111,131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163,425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-3042285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-3042285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-3042285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-2407920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-2407920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-2407920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-1773555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-1756410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-1773555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-1756410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-1773555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-1756410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-984885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-984885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-984885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-668020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-650875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-668020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-650875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-668020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-650875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(12,717 )</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(5,175 )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9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9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(1,805 )</w:t>
            </w: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(357 )</w:t>
            </w:r>
          </w:p>
        </w:tc>
        <w:tc>
          <w:tcPr>
            <w:tcW w:w="9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(331 )</w:t>
            </w:r>
          </w:p>
        </w:tc>
      </w:tr>
      <w:tr>
        <w:trPr>
          <w:trHeight w:val="20"/>
        </w:trPr>
        <w:tc>
          <w:tcPr>
            <w:tcW w:w="7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(12,804 )</w:t>
            </w:r>
          </w:p>
        </w:tc>
        <w:tc>
          <w:tcPr>
            <w:tcW w:w="96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(237 )</w:t>
            </w:r>
          </w:p>
        </w:tc>
      </w:tr>
      <w:tr>
        <w:trPr>
          <w:trHeight w:val="239"/>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3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9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long-term debt, including fees</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(3,467 )</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in lieu of fractional shares</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(1,392 )</w:t>
            </w:r>
          </w:p>
        </w:tc>
      </w:tr>
      <w:tr>
        <w:trPr>
          <w:trHeight w:val="20"/>
        </w:trPr>
        <w:tc>
          <w:tcPr>
            <w:tcW w:w="78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(8,838 )</w:t>
            </w:r>
          </w:p>
        </w:tc>
        <w:tc>
          <w:tcPr>
            <w:tcW w:w="9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(1,629 )</w:t>
            </w:r>
          </w:p>
        </w:tc>
      </w:tr>
      <w:tr>
        <w:trPr>
          <w:trHeight w:val="24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21,006</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-1773555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-1447800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-504825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640" w:type="dxa"/>
            <w:vAlign w:val="bottom"/>
            <w:gridSpan w:val="3"/>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6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3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442,458</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(223,447 )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68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231,130</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in lieu of fractional shares in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connection with the 1-for-44 reverse stock split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effected on March 5, 2024</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(6,834 )</w:t>
            </w: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(6,834 )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673,430</w:t>
            </w: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236,318</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(230,281 )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8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3,404,978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(5,883 )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(5,883 )</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4,080,665</w:t>
            </w:r>
          </w:p>
        </w:tc>
        <w:tc>
          <w:tcPr>
            <w:tcW w:w="280" w:type="dxa"/>
            <w:vAlign w:val="bottom"/>
          </w:tcPr>
          <w:p>
            <w:pPr>
              <w:spacing w:after="0"/>
              <w:rPr>
                <w:sz w:val="20"/>
                <w:szCs w:val="20"/>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(236,164 )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680" w:type="dxa"/>
            <w:vAlign w:val="bottom"/>
          </w:tcPr>
          <w:p>
            <w:pPr>
              <w:spacing w:after="0"/>
              <w:rPr>
                <w:sz w:val="24"/>
                <w:szCs w:val="24"/>
                <w:color w:val="auto"/>
              </w:rPr>
            </w:pPr>
          </w:p>
        </w:tc>
        <w:tc>
          <w:tcPr>
            <w:tcW w:w="2640" w:type="dxa"/>
            <w:vAlign w:val="bottom"/>
            <w:gridSpan w:val="3"/>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6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3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146,961</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(206,036 )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68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164,533</w:t>
            </w:r>
          </w:p>
        </w:tc>
        <w:tc>
          <w:tcPr>
            <w:tcW w:w="280" w:type="dxa"/>
            <w:vAlign w:val="bottom"/>
          </w:tcPr>
          <w:p>
            <w:pPr>
              <w:spacing w:after="0"/>
              <w:rPr>
                <w:sz w:val="20"/>
                <w:szCs w:val="20"/>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(7,948 )</w:t>
            </w: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(7,948 )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171,441</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(211,211 )</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-4876800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-4876800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-4876800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-4876800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-3522345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-3505200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-3522345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-3505200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-3522345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-3505200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-3522345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-3505200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-2742565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-2742565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-2742565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-2742565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-1893570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-1893570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-1893570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-1893570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-1130935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-1130935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-1130935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-1130935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The consolidated financial statements do not include any adjustments that might result from the outcome of the uncertainty of our ability to continue as a going concern, nor do they include adjustments to reflect the possible future effects of the recoverability and classification of recorded asset amounts and classifications of liabilities that might be necessary should the Company be unable to continue as a going concern. For the six months ended June 30, 2024, we had a net loss of $12.7 million. We had an accumulated deficit of $236.2 million as of June 30, 2024. For the six months ended June 30, 2024, net cash used in our operating activities was $12.8 million.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Pharmaceuticals ("Medexus"), and exercise of common warrants. We may choose to raise additional funds to support our operating and capital needs in the future.</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potential milestones are received from Medexus with respect to IXINITY; (e) macroeconomic conditions such as rising interest rates, inflation and costs; and (f) other items affecting our forecasted level of expenditures and use of cash resources. We may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2023, and the notes thereto, which are included in the Company’s Annual Report on Form 10-K for the year ended December 31, 2023.</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subsidiary, Aptevo Research and Development LLC ("Aptevo R&amp;D"). All intercompany balances and transactions have been eliminated.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 Related to Sale of Nonfinancial Asset to XOMA (US) LLC</w:t>
      </w:r>
    </w:p>
    <w:p>
      <w:pPr>
        <w:spacing w:after="0" w:line="121"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8"/>
          <w:szCs w:val="18"/>
          <w:color w:val="auto"/>
        </w:rPr>
        <w:t>On March 29, 2023, we entered into and closed a payment interest purchase agreement (the "Purchase Agreement") with XOMA (US) LLC ("XOMA") pursuant to which we sold to XOMA our right, title and interest in all of the deferred payments and a portion of the milestone payments from Medexus pursuant to our LLC Purchase Agreement with Medexus, dated February 28, 2020 (the "LLC Purchase Agreement"). Under the terms of the Purchase Agreement, we received $9.6 million at closing (the "Closing Payment") and an additional post-closing payment of $0.05 million.</w:t>
      </w:r>
    </w:p>
    <w:p>
      <w:pPr>
        <w:spacing w:after="0" w:line="72"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Accounting Standards Codification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Nonfinancial Assets </w:t>
      </w:r>
      <w:r>
        <w:rPr>
          <w:rFonts w:ascii="Times New Roman" w:cs="Times New Roman" w:eastAsia="Times New Roman" w:hAnsi="Times New Roman"/>
          <w:sz w:val="18"/>
          <w:szCs w:val="18"/>
          <w:color w:val="auto"/>
        </w:rPr>
        <w:t>for which XOMA bears all benefit and Aptevo has no obligations going forward. The Company will continue to account for its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future milestones under our LLC Purchase Agreement with Medexus as contingent consideration under </w:t>
      </w:r>
      <w:r>
        <w:rPr>
          <w:rFonts w:ascii="Times New Roman" w:cs="Times New Roman" w:eastAsia="Times New Roman" w:hAnsi="Times New Roman"/>
          <w:sz w:val="18"/>
          <w:szCs w:val="18"/>
          <w:i w:val="1"/>
          <w:iCs w:val="1"/>
          <w:color w:val="auto"/>
        </w:rPr>
        <w:t>ASC 450-30 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other significant accounting policies were reported in our Annual Report on Form 10-K for the year ended December 31, 2023 that was filed with the Securities and Exchange Commission (the "SEC") on March 5, 2024. Our other significant accounting policies have not changed materially from the policies previously reported.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discontinued operations from the sale of business products and segments.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3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13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20"/>
                <w:szCs w:val="20"/>
                <w:color w:val="auto"/>
              </w:rPr>
            </w:pPr>
          </w:p>
        </w:tc>
      </w:tr>
      <w:tr>
        <w:trPr>
          <w:trHeight w:val="21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release of escrow related to sale of</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Aptevo BioTherapeutics</w:t>
            </w:r>
          </w:p>
        </w:tc>
        <w:tc>
          <w:tcPr>
            <w:tcW w:w="1360" w:type="dxa"/>
            <w:vAlign w:val="bottom"/>
          </w:tcPr>
          <w:p>
            <w:pPr>
              <w:spacing w:after="0"/>
              <w:rPr>
                <w:sz w:val="20"/>
                <w:szCs w:val="20"/>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r>
      <w:tr>
        <w:trPr>
          <w:trHeight w:val="245"/>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contingent consideration from Kamada</w:t>
            </w:r>
          </w:p>
        </w:tc>
        <w:tc>
          <w:tcPr>
            <w:tcW w:w="13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360" w:type="dxa"/>
            <w:vAlign w:val="bottom"/>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-187960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and 2023, and the six months ended June 30, 2024, we did not record income from discontinued operations. For the six months ended June 30, 2023, we collected $0.5 million in deferred payments from Medexus related to IXINITY sales and $0.2 million related to funds released from escrow from the sale of Aptevo BioTherapeutics in 2020. Additionally, we received $0.3 million related to the sale of hyperimmune business to Saol (later acquired by Kamada, Ltd.) as a result of the collection of certain accounts receivable.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color w:val="auto"/>
        </w:rPr>
        <w:t>Note 3. XOMA Transaction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LLC Purchase Agreement. Under the terms of our Purchase Agreement with XOMA, we received $9.6 million at closing and an additional post-closing payment of $0.05 million.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for which XOMA bears all benefit and Aptevo has no obligations going forward. The Company will continue to account for its portion of future milestones under our LLC Purchase Agreement with Medexus as contingent consideration under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R&amp;D, entered into a collaboration and option agreement (the "Collaboration Agreement") with Alligator Bioscience AB ("Alligator"), pursuant to which Aptevo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we recorded approximately $1.3 million and $1.5 million, which represent our 50% cost share,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we had $7.1 million and $13.2 million in Level 1 money market funds, respectively. The carrying amounts of our money market funds approximate their fair value. At June 30, 2024 and December 31, 2023, we did not have any Level 2 or Level 3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color w:val="auto"/>
        </w:rPr>
        <w:t>Note 6. Cash and Cash Equivalents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as of June 30, 2024 and December 31,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14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shd w:val="clear" w:color="auto" w:fill="CFF0FC"/>
          </w:tcPr>
          <w:p>
            <w:pPr>
              <w:spacing w:after="0"/>
              <w:rPr>
                <w:sz w:val="20"/>
                <w:szCs w:val="20"/>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7,104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00" w:type="dxa"/>
            <w:vAlign w:val="bottom"/>
          </w:tcPr>
          <w:p>
            <w:pPr>
              <w:spacing w:after="0"/>
              <w:rPr>
                <w:sz w:val="20"/>
                <w:szCs w:val="20"/>
                <w:color w:val="auto"/>
              </w:rPr>
            </w:pPr>
          </w:p>
        </w:tc>
      </w:tr>
      <w:tr>
        <w:trPr>
          <w:trHeight w:val="277"/>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8,066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with a term through April 2030 and two options to extend the lease term, each by five years. As of June 30, 2024, we are not reasonably certain to exercise the two options to extend the lease term and our lease liability is recorded through April 30, 2030.</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we recorded $0.2 million and $0.4 million, respectively, related to variable lease expense.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92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Right of use assets acquired under operating leases: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8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8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gridSpan w:val="8"/>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-2073910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-2073910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-2073910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-2073910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-1028065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long-term and current portion of the lease liabilities was $5.0 million and $0.7 million, respectively. As of June 30, 2023, the long-term and current portion of the lease liabilities was $5.7 million and $0.6 million, respectively.</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weighted-average remaining lease term and weighted-average discount rate for operating leases was 5.84 years and 12.03%.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Reverse Stock Split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5, 2024, we held a Special Meeting of the Stockholders (the "Special Meeting") at which our stockholders approved a series of alternate amendments to the Amended and Restated Certificate of Incorporation to effect, at the option of our Board of Directors (the "Board"), a reverse split of Aptevo's common stock at a ratio ranging from 1-for-15 to 1-for-44, inclusive, with the effectiveness of one of such amendments and the abandonment of the other amendments, or the abandonment of all amendments, to be determined by the Board in its sole discretion following the Special Meeting. The specific 1-for-44 reverse split ratio was subsequently approved by the Board on February 27, 2024. On March 5, 2024, the Company filed a Certificate of Amendment of Amended and Restated Certificate of Incorporation with the Secretary of State of the State of Delaware to effect a 1-for-44 reverse stock split of the Company's outstanding common stock (the "Reverse Stock Split"). The Reverse Stock Split became effective on March 5, 2024 at 5:01</w:t>
      </w:r>
    </w:p>
    <w:p>
      <w:pPr>
        <w:sectPr>
          <w:pgSz w:w="11900" w:h="16838" w:orient="portrait"/>
          <w:cols w:equalWidth="0" w:num="1">
            <w:col w:w="11240"/>
          </w:cols>
          <w:pgMar w:left="320" w:top="98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p.m. Eastern Time, and our common stock began trading on the Nasdaq Capital Market, on a split-adjusted basis, at market open on March 6, 2024.</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adjusted all common stock and stock equivalent figures retroactively in this Form 10-Q for all periods presented to reflect the Reverse Stock Split.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Net Income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common shares outstanding for the period. Diluted net income (loss) per share is computed by dividing the net income (loss) by the weighted-average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(loss)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share and per share amounts):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5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0" w:type="dxa"/>
            <w:vAlign w:val="bottom"/>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(5,883 )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(7,948 )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(12,717 )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(6,121 )</w:t>
            </w:r>
          </w:p>
        </w:tc>
      </w:tr>
      <w:tr>
        <w:trPr>
          <w:trHeight w:val="23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r>
      <w:tr>
        <w:trPr>
          <w:trHeight w:val="277"/>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(5,883 )</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(7,948 )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(12,717 )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(5,175 )</w:t>
            </w:r>
          </w:p>
        </w:tc>
      </w:tr>
      <w:tr>
        <w:trPr>
          <w:trHeight w:val="228"/>
        </w:trPr>
        <w:tc>
          <w:tcPr>
            <w:tcW w:w="120" w:type="dxa"/>
            <w:vAlign w:val="bottom"/>
            <w:tcBorders>
              <w:top w:val="single" w:sz="8" w:color="CFF0FC"/>
            </w:tcBorders>
          </w:tcPr>
          <w:p>
            <w:pPr>
              <w:spacing w:after="0"/>
              <w:rPr>
                <w:sz w:val="19"/>
                <w:szCs w:val="19"/>
                <w:color w:val="auto"/>
              </w:rPr>
            </w:pPr>
          </w:p>
        </w:tc>
        <w:tc>
          <w:tcPr>
            <w:tcW w:w="5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43"/>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from continuing operations: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left w:val="single" w:sz="8" w:color="CFF0FC"/>
            </w:tcBorders>
            <w:shd w:val="clear" w:color="auto" w:fill="CFF0FC"/>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(37.45 )</w:t>
            </w:r>
          </w:p>
        </w:tc>
      </w:tr>
      <w:tr>
        <w:trPr>
          <w:trHeight w:val="20"/>
        </w:trPr>
        <w:tc>
          <w:tcPr>
            <w:tcW w:w="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37"/>
        </w:trPr>
        <w:tc>
          <w:tcPr>
            <w:tcW w:w="120" w:type="dxa"/>
            <w:vAlign w:val="bottom"/>
            <w:shd w:val="clear" w:color="auto" w:fill="CFF0FC"/>
          </w:tcPr>
          <w:p>
            <w:pPr>
              <w:spacing w:after="0"/>
              <w:rPr>
                <w:sz w:val="20"/>
                <w:szCs w:val="2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(37.45 )</w:t>
            </w:r>
          </w:p>
        </w:tc>
      </w:tr>
      <w:tr>
        <w:trPr>
          <w:trHeight w:val="236"/>
        </w:trPr>
        <w:tc>
          <w:tcPr>
            <w:tcW w:w="53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r>
      <w:tr>
        <w:trPr>
          <w:trHeight w:val="243"/>
        </w:trPr>
        <w:tc>
          <w:tcPr>
            <w:tcW w:w="120" w:type="dxa"/>
            <w:vAlign w:val="bottom"/>
            <w:tcBorders>
              <w:bottom w:val="single" w:sz="8" w:color="CFF0FC"/>
            </w:tcBorders>
            <w:shd w:val="clear" w:color="auto" w:fill="CFF0FC"/>
          </w:tcPr>
          <w:p>
            <w:pPr>
              <w:spacing w:after="0"/>
              <w:rPr>
                <w:sz w:val="21"/>
                <w:szCs w:val="21"/>
                <w:color w:val="auto"/>
              </w:rPr>
            </w:pPr>
          </w:p>
        </w:tc>
        <w:tc>
          <w:tcPr>
            <w:tcW w:w="5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left w:val="single" w:sz="8" w:color="CFF0FC"/>
              <w:bottom w:val="single" w:sz="8" w:color="CFF0FC"/>
            </w:tcBorders>
            <w:shd w:val="clear" w:color="auto" w:fill="CFF0FC"/>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0"/>
                <w:szCs w:val="20"/>
                <w:color w:val="auto"/>
              </w:rPr>
            </w:pPr>
          </w:p>
        </w:tc>
      </w:tr>
      <w:tr>
        <w:trPr>
          <w:trHeight w:val="241"/>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left w:val="single" w:sz="8" w:color="CFF0FC"/>
            </w:tcBorders>
            <w:shd w:val="clear" w:color="auto" w:fill="CFF0FC"/>
          </w:tcPr>
          <w:p>
            <w:pPr>
              <w:spacing w:after="0"/>
              <w:rPr>
                <w:sz w:val="20"/>
                <w:szCs w:val="20"/>
                <w:color w:val="auto"/>
              </w:rPr>
            </w:pPr>
          </w:p>
        </w:tc>
      </w:tr>
      <w:tr>
        <w:trPr>
          <w:trHeight w:val="239"/>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(31.67 )</w:t>
            </w:r>
          </w:p>
        </w:tc>
      </w:tr>
      <w:tr>
        <w:trPr>
          <w:trHeight w:val="20"/>
        </w:trPr>
        <w:tc>
          <w:tcPr>
            <w:tcW w:w="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120" w:type="dxa"/>
            <w:vAlign w:val="bottom"/>
            <w:shd w:val="clear" w:color="auto" w:fill="CFF0FC"/>
          </w:tcPr>
          <w:p>
            <w:pPr>
              <w:spacing w:after="0"/>
              <w:rPr>
                <w:sz w:val="22"/>
                <w:szCs w:val="22"/>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(31.67 )</w:t>
            </w:r>
          </w:p>
        </w:tc>
      </w:tr>
      <w:tr>
        <w:trPr>
          <w:trHeight w:val="223"/>
        </w:trPr>
        <w:tc>
          <w:tcPr>
            <w:tcW w:w="53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47"/>
        </w:trPr>
        <w:tc>
          <w:tcPr>
            <w:tcW w:w="120" w:type="dxa"/>
            <w:vAlign w:val="bottom"/>
            <w:shd w:val="clear" w:color="auto" w:fill="CFF0FC"/>
          </w:tcPr>
          <w:p>
            <w:pPr>
              <w:spacing w:after="0"/>
              <w:rPr>
                <w:sz w:val="21"/>
                <w:szCs w:val="21"/>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2,111,131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163,425</w:t>
            </w:r>
          </w:p>
        </w:tc>
        <w:tc>
          <w:tcPr>
            <w:tcW w:w="120" w:type="dxa"/>
            <w:vAlign w:val="bottom"/>
            <w:tcBorders>
              <w:left w:val="single" w:sz="8" w:color="CFF0FC"/>
            </w:tcBorders>
            <w:shd w:val="clear" w:color="auto" w:fill="CFF0FC"/>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3,519,875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2,111,131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163,425</w:t>
            </w:r>
          </w:p>
        </w:tc>
        <w:tc>
          <w:tcPr>
            <w:tcW w:w="120" w:type="dxa"/>
            <w:vAlign w:val="bottom"/>
          </w:tcPr>
          <w:p>
            <w:pPr>
              <w:spacing w:after="0"/>
              <w:rPr>
                <w:sz w:val="20"/>
                <w:szCs w:val="20"/>
                <w:color w:val="auto"/>
              </w:rPr>
            </w:pPr>
          </w:p>
        </w:tc>
      </w:tr>
      <w:tr>
        <w:trPr>
          <w:trHeight w:val="481"/>
        </w:trPr>
        <w:tc>
          <w:tcPr>
            <w:tcW w:w="5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2"/>
        </w:trPr>
        <w:tc>
          <w:tcPr>
            <w:tcW w:w="1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7,489,253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120" w:type="dxa"/>
            <w:vAlign w:val="bottom"/>
          </w:tcPr>
          <w:p>
            <w:pPr>
              <w:spacing w:after="0"/>
              <w:rPr>
                <w:sz w:val="21"/>
                <w:szCs w:val="21"/>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9,670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5,263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-3251200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-3234055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-3251200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-3234055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-3251200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-3234055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-3251200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-3234055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-2599690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-2599690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-2599690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-2599690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-2282825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-2282825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-2282825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-2282825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-1622425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-1605280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-1622425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-1605280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-1622425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-1605280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-1622425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-1605280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For the three and six months ended June 30, 2024 and 2023, the Company was in a net loss position, therefore the share number used to calculate diluted earnings per share is the same as the basic earnings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August 2023 Public Raise</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August 4, 2023, we completed a public offering of common stock and warrants, which included the following:</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50,488 shares of common stock at a price of $27.28 per share.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132,793 shares of common stock at a price of $27.28 per with an exercise price of $0.001 per share. As of June 30, 2024, all pre-funded warrants have been exercised.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and Series B common warrants to purchase up to an aggregate of 366,562 shares of common stock at an exercise price of $27.28 per share.</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received net proceeds of $4.3 million, net of transaction costs, as a result of this offering. In the fourth quarter of 2023, an aggregate of 322,691 Series A and Series B common warrants were exercised as part of our November 2023 warrant inducement agreement with certain holders of our common warrants. The Series A and Series B common warrants are exercisable immediately following the date of issuance and will expire on August 4, 2028 and February 4, 2025, respectively. In connection with a registered direct offering of the Company that closed on July 1, 2024 (the “Registered Direct Offering”), the Company amended certain existing common warrants held by certain stockholders who participated in the Registered Direct Offering that were issued in our August 2023 public offering, such that these common warrants will have a reduced exercise price equal to $0.515 per share and include the same exercise price adjustments as the common warrants issued in the Registered Direct Offering. As of June 30, 2024, we have 42,555 Series A and 1,316 Series B common warrants outstanding from our August 2023 public offering with an exercise price of $27.28 per share. Of these outstanding common warrants, 41,239 Series A common warrants have an amended exercise price of $0.515 as part of the Registered Direct Offering. For additional information on the Registered Direct Offering, refer to "Note 11 Subsequent Events."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such warrants are exercised, we will receive up to an additional $0.1 million in gross proceeds.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2023 Warrant Inducement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9, 2023, we entered into a warrant inducement agreement (the "Inducement Agreement") with certain holders of our Series A and Series B common warrants issued in connection with our August 2023 public offering to exercise for cash 140,726 Series A and 181,965 Series B common warrants at a reduced exercise price of $10.25. We received $3.3 million in gross proceeds from the exercise of these warrants and issued an aggregate of 645,382 new Series A and new Series B warrants as follows: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281,452 Series A common warrants to purchase an aggregate of up to 281,452 shares of common stock at $10.25 per share, of which 140,726 Series A-1 common warrants were immediately exercisable and 140,726 Series A-2 common warrants were exercisable at any time on or after February 5, 2024. The Series A-1 and Series A-2 common warrants have terms of four years and eight months, and five years, respectively.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363,930 Series B common warrants to purchase an aggregate of up to 363,930 shares of common stock at $10.25 per share, of which 181,965 Series B-1 common warrants were immediately exercisable and 181,695 Series B-2 common warrants were exercisable at any time on or after February 5, 2024. The Series B-1 and Series B-2 common warrants have terms of fourteen months and twenty-four months, respectively.</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July 1, 2024, in connection with the Registered Direct Offering, the Company amended certain existing common warrants held by certain stockholders who participated in the Registered Direct Offering that were issued in our November 2023 warrant inducement, such that these common warrants will have a reduced exercise price equal to $0.515 per share and include the same exercise price adjustments as the common warrants issued in the Registered Direct Offering. As of June 30, 2024, we have 140,726 Series A-1, 140,726 Series A-2, 181,965 Series B-1 and 181,965 Series B-2 common warrants outstanding from our November 2023 warrant inducement with an exercise price of $10.25 per share. Of these outstanding common warrants, 131,964 Series A-1, 131,964 Series A-2, 173,203 Series B-1 and 173,203 Series B-2 common warrants have an amended exercise price of $0.515 as part of the Registered Direct Offering. For additional information on the Registered Direct Offering, refer to "Note 11 Subsequent Events."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such warrants are exercised, we will receive up to an additional $0.7 million in gross proceeds.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April 2024 Public Raise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April 15, 2024, we completed a public offering of common stock and warrants, in which we received net proceeds of $4.0 million, net of transaction costs, which included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926,666 shares of common stock and accompanying common warrants to purchase up to 1,853,332 shares of common stock at a public offering price of $1.35 per share;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2,473,334 shares of common stock and accompanying common warrants to purchase up to 4,946,668 shares of common stock at a combined public offering price of $1.3499 per pre-funded warrant, which is equal to the public offering price per share of common stock less the $0.0001 per share exercise price of each such pre-funded warrant. As of June 30, 2024, all pre-funded warrants have been exercised.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common warrants are exercisable immediately following the date of issuance and will expire in April 2029. On July 1, 2024, in connection with the Registered Direct Offering, the Company amended certain existing common warrants held by certain stockholders who participated in the Registered Direct Offering that were issued in our April 2024 public offering, such that these common warrants will have a reduced exercise price equal to $0.515 per share and include the same exercise price adjustments as the common warrants issued in the Registered Direct Offering. As of June 30, 2024, we have 6,800,000 common warrants outstanding from our April 2024 public offering with an exercise price of $1.35 per share, of which 6,666,668 common warrants have an amended exercise price of $0.515 as part of the Registered Direct Offering. For additional information on the Registered Direct Offering, refer to "Note 11 Subsequent Events."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such warrants are exercised, we will receive up to an additional $3.6 million in proceeds.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6180" w:type="dxa"/>
            <w:vAlign w:val="bottom"/>
          </w:tcPr>
          <w:p>
            <w:pPr>
              <w:spacing w:after="0"/>
              <w:rPr>
                <w:sz w:val="16"/>
                <w:szCs w:val="16"/>
                <w:color w:val="auto"/>
              </w:rPr>
            </w:pPr>
          </w:p>
        </w:tc>
        <w:tc>
          <w:tcPr>
            <w:tcW w:w="15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697,220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(7,967 )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2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7,489,253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7,489,253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-205105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-205105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Aptevo uses Black-Scholes valuation model for estimating the fair value of the common warrants included in the April 2024 public offering. Set forth below are the assumptions used in valuing the common warrants issued: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8260" w:type="dxa"/>
            <w:vAlign w:val="bottom"/>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7"/>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110.01%</w:t>
            </w:r>
          </w:p>
        </w:tc>
      </w:tr>
      <w:tr>
        <w:trPr>
          <w:trHeight w:val="247"/>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5.16%</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life of warrants</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3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previously entered into an Equity Distribution Agreement with Piper Sandler (the "Equity Distribution Agreement") under which we could issue and sell through Piper Sandler shares of our common stock pursuant to a Registration Statement on Form S-3 (the "Shelf Registration Statement") which we filed on December 14, 2020, and expired in December 2023. In the six months ended June 30, 2023, the Company issued 16,611 shares of common stock at an average price of $99.43 under the Equity Distribution Agreement. We received $1.6 million in proceeds from the issuance of these shares.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16, 2022, we entered into a Purchase Agreement ("2022 Purchase Agreement") and a Registration Rights Agreement with Lincoln Park (the "Registration Rights Agreement") to purchase up to $35.0 million of our common stock over a 36-month period, for which we issued 2,256 shares of our common stock to Lincoln Park for no cash consideration as an initial fee for its commitment to purchase shares of our common stock under the 2022 Purchase Agreement. For the six months ended June 30, 2024, we did not issue shares of our common stock and for the six months ended June 30, 2023, we issued 6,818 shares of our common stock to Lincoln Park under the 2022 Purchase Agreement and we received $0.5 million in proceeds from issuance of these shares. Our Shelf Registration Statement on Form S-3 expired on December 18, 2023, without which we cannot issue shares pursuant to the 2022 Purchase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8, 2020, our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in the Rights Agreement)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w:t>
      </w:r>
    </w:p>
    <w:p>
      <w:pPr>
        <w:sectPr>
          <w:pgSz w:w="11900" w:h="16838" w:orient="portrait"/>
          <w:cols w:equalWidth="0" w:num="1">
            <w:col w:w="11240"/>
          </w:cols>
          <w:pgMar w:left="320" w:top="87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percent (10%) or more of the Company’s common stock without the approval of the Board. On November 2, 2023, we entered into amendment No. 3 to the Rights Agreement and extended the expiration of such agreement to November 4, 2024 and changed the exercise price to $2.02 per one one-thousandth of a Series A Junior Participating Preferred Share (as defined in the Rights Agreement), subject to adjustment.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24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(the "2018 SIP"), which replaced the Restated 2016 Plan (the "2016 SIP") on a go-forward basis. All stock options, RSUs or other equity awards granted subsequent to June 1, 2018 have been and will be issued out of the 2018 SIP, which has 0.2 million shares of Aptevo common stock authorized for issuance. The 2018 SIP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SIP (such shares, the "Returning Shares") will immediately be added to the share reserve under the 2018 SIP as and when such shares become Returning Shares, up to a maximum of 0.2 million shares.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2022, at the 2022 annual meeting of the stockholders, our stockholders approved the Amended and Restated 2018 SIP (the "Amended 2018 SIP") to increase the number of shares authorized for issuance under the 2018 SIP by 11,363 shares of common stock (adjusted for 1-for-44 reverse stock split effective as of March 5, 2024).</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2024, at the 2024 annual meeting of the stockholders, our stockholders approved the Second Amended and Restated 2018 SIP (the "Second Amended 2018 SIP") to increase the number of shares authorized for issuance under the Amended 2018 SIP by 165,000 shares of common stock. As of June 30, 2024, there are 0.2 million shares available to be granted under the Second Amended 2018 SIP.</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Second Amended 2018 SIP generally vest pro rata over a one-year or three-year period. Stock options terminate ten years from the grant date, though the specific terms of each grant are determined individually. The Company’s executive officers, members of our Board,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20" w:type="dxa"/>
            <w:vAlign w:val="bottom"/>
          </w:tcPr>
          <w:p>
            <w:pPr>
              <w:spacing w:after="0"/>
              <w:rPr>
                <w:sz w:val="13"/>
                <w:szCs w:val="13"/>
                <w:color w:val="auto"/>
              </w:rPr>
            </w:pPr>
          </w:p>
        </w:tc>
        <w:tc>
          <w:tcPr>
            <w:tcW w:w="23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 The stock compensation is lower in the current period mainly due to a decrease in our stock price.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6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103.63%</w:t>
            </w:r>
          </w:p>
        </w:tc>
        <w:tc>
          <w:tcPr>
            <w:tcW w:w="100" w:type="dxa"/>
            <w:vAlign w:val="bottom"/>
          </w:tcPr>
          <w:p>
            <w:pPr>
              <w:spacing w:after="0"/>
              <w:rPr>
                <w:sz w:val="20"/>
                <w:szCs w:val="20"/>
                <w:color w:val="auto"/>
              </w:rPr>
            </w:pPr>
          </w:p>
        </w:tc>
      </w:tr>
      <w:tr>
        <w:trPr>
          <w:trHeight w:val="247"/>
        </w:trPr>
        <w:tc>
          <w:tcPr>
            <w:tcW w:w="7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4.18%</w:t>
            </w:r>
          </w:p>
        </w:tc>
        <w:tc>
          <w:tcPr>
            <w:tcW w:w="100" w:type="dxa"/>
            <w:vAlign w:val="bottom"/>
            <w:shd w:val="clear" w:color="auto" w:fill="CFF0FC"/>
          </w:tcPr>
          <w:p>
            <w:pPr>
              <w:spacing w:after="0"/>
              <w:rPr>
                <w:sz w:val="21"/>
                <w:szCs w:val="2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 w:name="page15"/>
    <w:bookmarkEnd w:id="1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grant stock options for the three and six months ended June 30, 2024 or for the three months ended June 30, 2023. For the six months ended June 30, 2023, management has applied an estimated forfeiture rate of 30%.</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six months ended June 30,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658.89</w:t>
            </w: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559.24</w:t>
            </w:r>
          </w:p>
        </w:tc>
        <w:tc>
          <w:tcPr>
            <w:tcW w:w="1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586.09</w:t>
            </w:r>
          </w:p>
        </w:tc>
        <w:tc>
          <w:tcPr>
            <w:tcW w:w="1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-385445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-367665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-385445</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-367665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-385445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we had $0.2 million of unrecognized compensation expense related to options expected to vest over a weighted-average remaining vesting period of 0.9 years. The weighted-average grant date fair value per share of options granted during the six months ended June 30, 2023, was $73.92. The total fair value of stock options vested for the six months ended June 30, 2024 and 2023 was $1.0 million and $1.1 million, respectively.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the total pretax intrinsic value (the difference between the closing stock price of Aptevo’s common stock on the last trading day of June 30, 2024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RSU activity for the six months ended June 30,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3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(2,578 )</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June 30, 2024</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there was $0.4 million unrecognized stock-based compensation expense related to unvested RSUs expected to vest over the weighted-average period of 1.13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July 1, 2024, we completed the Registered Direct Offering of (i) 3,621,460 shares of our common stock and accompanying common warrants ("Common Warrants") to purchase up to 7,242,920 shares of common stock at an offering price of $0.515 per share and accompanying Common Warrants and (ii) pre-funded warrants ("Pre-Funded Warrants") to purchase 1,718,346 shares of common stock and accompanying Common Warrants to purchase up to 3,436,692 shares of common stock at a combined offering price of $0.5149 per Pre-funded Warrant and accompanying Common Warrants, which is equal to the offering price per share of Common Stock and accompanying Common Warrant less the $0.0001 per share exercise price of each such Pre-funded Warrant. The exercise price of the Common Warrants is subject to adjustment for stock splits and similar capital transactions and is subject to repricing in the event of a share split, share dividend, share combination or other such event as described in the Common Warrants. We received $2.7 million in gross proceeds from the offering. Our net proceeds from the offering amounted to approximately $2.3 million after deducting offering expenses payable by us, including placement agent and other fees. The Common Warrants have an exercise price of $0.515 per share and are exercisable upon stockholder approval and will expire in August 2029. If the Common Warrants are exercised, we will receive up to an additional $5.5 million in proceeds.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Registered Direct Offering, the Company amended certain existing warrants that were previously issued to certain investors on (i) August 4, 2023 to purchase up to 41,239 shares of our common stock and have exercise price of $27.28 per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share, (ii) November 9, 2023 to purchase up to 610,334 shares of our common stock and have exercise price of $10.252 per share, and (iii) April 15, 2024 to purchase up to 6,666,668 shares of our common stock and have exercise price of $1.35 per share (collectively, the “Existing Warrants”), such that the Existing Warrants have a reduced exercise price equal to $0.515 per share and include the same exercise price adjustments as the Common Warrants issued in the Registered Direct Offering. The amended warrants become exercisable upon the same stockholder approval as for the Common Warrants. As of June 30, 2024, all pre-funded warrants have been exercised.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three preclinical candidates currently in development. Clinical candidate APVO436 is a CD123xCD3 T-cell engager currently being clinically evaluated for the treatment of acute myelogenous leukemia (AML). Clinical candidate ALG.APV-527 targets 4-1BB (co-stimulatory receptor) and 5T4 (tumor antigen). The compound is designed to reactivate antigen-primed T-cells to specifically kill tumor cells and is currently being evaluated for the treatment of multiple solid tumor types.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Preclinical candidates, APVO603 and APVO711, were also developed using our ADAPTIR™ modular protein technology platform. Our preclinical candidate APVO442 was developed using our ADAPTIR-FLEX™ modular protein technology platform.</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and ADAPTIR-FLEX molecules over monoclonal antibodies allow for the development of immunotherapies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bispecific and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2024 and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72" w:lineRule="exact"/>
        <w:rPr>
          <w:sz w:val="20"/>
          <w:szCs w:val="20"/>
          <w:color w:val="auto"/>
        </w:rPr>
      </w:pPr>
    </w:p>
    <w:p>
      <w:pPr>
        <w:ind w:left="1800" w:hanging="384"/>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related to our clinical and pre-clinical programs;</w:t>
      </w:r>
    </w:p>
    <w:p>
      <w:pPr>
        <w:spacing w:after="0" w:line="117" w:lineRule="exact"/>
        <w:rPr>
          <w:rFonts w:ascii="Times New Roman" w:cs="Times New Roman" w:eastAsia="Times New Roman" w:hAnsi="Times New Roman"/>
          <w:sz w:val="18"/>
          <w:szCs w:val="18"/>
          <w:color w:val="auto"/>
        </w:rPr>
      </w:pPr>
    </w:p>
    <w:p>
      <w:pPr>
        <w:ind w:left="1800" w:hanging="384"/>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and six months ended June 30, 2024 and 2023 are shown in the following table: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6"/>
                <w:szCs w:val="16"/>
                <w:color w:val="auto"/>
              </w:rPr>
            </w:pPr>
          </w:p>
        </w:tc>
        <w:tc>
          <w:tcPr>
            <w:tcW w:w="420" w:type="dxa"/>
            <w:vAlign w:val="bottom"/>
          </w:tcPr>
          <w:p>
            <w:pPr>
              <w:spacing w:after="0"/>
              <w:rPr>
                <w:sz w:val="16"/>
                <w:szCs w:val="16"/>
                <w:color w:val="auto"/>
              </w:rPr>
            </w:pPr>
          </w:p>
        </w:tc>
        <w:tc>
          <w:tcPr>
            <w:tcW w:w="3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69"/>
        </w:trPr>
        <w:tc>
          <w:tcPr>
            <w:tcW w:w="5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APVO436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ALG.APV-527</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3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69"/>
        </w:trPr>
        <w:tc>
          <w:tcPr>
            <w:tcW w:w="5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APVO436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ALG.APV-527</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3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-1242695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-1224915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-1242695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-1224915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$1.9 million, from $5.5 million for the three months ended June 30, 2023 to $3.6 million for the three months ended June 30, 2024. Research and development expenses decreased by $2.2 million, from $9.6 million for the six months ended June 30, 2023 to $7.4 million for the six months ended June 30, 2024. The decrease was primarily due to lower spending on APVO436 clinical trial as we concluded the Phase 1b dose expansion study while preparing to initiate a Phase 1b/2 dose optimization study and lower spending on preclinical projects and employee costs.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$0.3 million, from $2.7 million for the three months ended June 30, 2023 to $2.4 million for the three months ended June 30, 2024. General and administrative expenses decreased by $0.7 million, from $6.3 million for the six months ended June 30, 2023 to $5.6 million for the six months ended June 30, 2024. The decrease is primarily due to lower employee and consulting costs.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from our cash equivalents and interest expense related to debt financing, which was paid off in Q1 2023.</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$0.1 million and $0.3 million for the three and six months ended June 30, 2024, respectively. Other income, net was $0.2 million and $0.2 million for the three and six months ended June 30, 2023, respectively. The change in other income, net is primarily due to the repayment of our MidCap term loan in the first quarter of 2023 and the decrease in interest income from our money market accounts.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Gain Related to Sale of Nonfinancial Asset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recorded $9.7 million in other income for the six months ended June 30, 2023, due to the sale of the deferred payments and milestones to XOMA during the quarter (see Note 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record income from discontinued operations for the six months ended June 30, 2024. For the six months ended June 30, 2023, we recorded $0.9 million of contingent gain consideration from previous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2024 and 2023</w:t>
      </w:r>
      <w:r>
        <w:rPr>
          <w:rFonts w:ascii="Times New Roman" w:cs="Times New Roman" w:eastAsia="Times New Roman" w:hAnsi="Times New Roman"/>
          <w:sz w:val="18"/>
          <w:szCs w:val="18"/>
          <w:color w:val="231F20"/>
        </w:rPr>
        <w:t>:</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(12,804 )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4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(8,838 )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(1,629 )</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$12.8 million for the six months ended June 30, 2024 was primarily due to our net loss of $12.7 million for the period and changes in working capital accounts. Net cash used in operating activities of $0.2 million for the six months ended June 30, 2023 was primarily due to our net loss of $5.2 million for the period and changes in working capital accounts.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of $4.0 million was primarily due to the issuance of common stock. Net cash used in financing activities of $1.4 million for the six months ended June 30, 2023 was primarily due to the $3.5 million of repayments of the MidCap Financial term loan, which included the remaining outstanding principal balance and loan prepayment fees. This was offset by the $2.1 million proceeds received from issuance of common stock pursuant to our Equity Distribution Agreement with Piper Sandler and our 2022 Purchase Agreement with Lincoln Park.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Milestone Payments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For the six months ended June 30, 2023, Aptevo received $0.5 million in deferred payments from Medexus related to IXINITY sales for the fourth quarter of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August 2023</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4, 2023, in connection with the completion of a public offering, we issued Series A common warrants to purchase up to an aggregate of 183,281 shares of common stock and Series B common warrants to purchase up to an aggregate of 183,281 shares of common stock. The Series A and Series B common warrants are exercisable immediately following the date of issuance and will expire on August 4, 2028 and February 4, 2025, respectively. As of June 30, 2024, we have 1,316 Series A and 1,316 Series B common warrants outstanding from our August 2023 public offering with an exercise price of $27.28 per share and 41,239 Series A common warrants outstanding with an amended exercise price of $0.515 as part of the Registered Direct Offering that was closed on July 1, 2024. If the remaining August 2023 warrants are exercised, we will receive up to an additional $0.1 million in gross proceeds.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November 2023</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9, 2023, we entered into an Inducement Agreement with certain holders of our Series A and Series B common warrants issued in connection with our August 2023 public offering to exercise for cash 140,726 Series A and 181,965 Series B common warrants at a reduced exercise price of $10.25. We received $3.3 million in gross proceeds from the exercise of these warrants and issued an aggregate of 645,382 new Series A and new Series B warrants. As of June 30, 2024, we have 17,524 Series A and 17,524 Series B common warrants outstanding from our November 2023 warrant inducement with an exercise price of $10.25 per share and 263,928 Series A and 346,406 Series B common warrants with an amended exercise price of $0.515 as part of the Registered Direct Offering that was closed on July 1, 2024. If the warrants are exercised, we will receive up to an additional $0.7 million in gross proceeds.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April 2024</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April 10, 2024, we completed a public offering related to the issuance and sale of 3,400,000 shares of our common stock (or pre-funded warrants in lieu thereof) at a purchase price of $1.35 per share. We received $4.6 million in gross proceeds from the issuance of these shares. Our net proceeds from the offering amounted to $4.0 million after placement agent and other fees. Additionally, we issued common warrants to purchase up to an aggregate of 6,800,000 shares of common stock. The common warrants are exercisable immediately following the date of issuance and will expire in April 2029. As of June 30, 2024, we have 133,332 common warrants outstanding from our April public offering with an exercise price of $1.35 per share and 6,666,668 common warrants outstanding with an amended exercise price of $0.515 as part of the Registered Direct Offering that was closed on July 1, 2024. If the warrants are exercised, we will receive up to an additional $3.6 million in proceeds.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July 2024</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July 1, 2024, we completed the Registered Direct Offering related to the issuance and sale of 5,339,806 shares of our common stock (or pre-funded warrants in lieu thereof) at a purchase price of $0.515 per share. We received $2.7 million in gross proceeds from the issuance of these shares. Our net proceeds from the offering amounted to $2.3 million after placement agent and other fees. Additionally, we issued common warrants to purchase up to an aggregate of 10,679,612 shares of common stock. The common warrants have an exercise price of $0.515 per share, are exercisable immediately following the date of issuance and will expire in August 2029. If the warrants are exercised, we will receive up to an additional $5.5 million in proceeds.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$8.1 million and an accumulated deficit of $236.2 million as of June 30,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 months ended June 30, 2024, net cash used in our operating activities was $12.8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interest rates and supply chain constraints;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from Medexus with respect to IXINITY; and</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are required to make a $2.0 million milestone payment upon dosing the first patient in a Phase 2 clinical trial of APVO436.</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there were no material changes to the information provided under Item 7A, Quantitative and Qualitative Disclosures About Market Risk in our Annual Report on Form 10-K for the year ended December 31, 2023 filed on March 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June 30, 2024,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June 30, 2024,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interest rates, market volatility, economic uncertainty, bank failure, and supply chain constraints.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may continue to be volatile.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six months ended June 30, 2024, we had net loss of $12.7 million compared to $5.2 million net loss for the same period in 2023. As of June 30, 2024, we had an accumulated deficit of $236.2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have concluded that a substantial doubt is deemed to exist concerning our ability to continue as a going concern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Form 10-Q, substantial doubt is deemed to exist about the company’s ability to continue as a going concern through August 2025.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and exercise of warrants. The reaction of investors to the inclusion of a going concern statement in this report on Form 10-Q, our current lack of cash resources and our potential inability to continue as a going concern may materially adversely affect our share price and our ability to raise new capital and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June 30, 2024, we had cash and cash equivalents in the amount of $8.1 million. We will require additional funding to continue our business including to support the ongoing clinical development of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would harm our business, results of operations and future prospects. Our future capital requirements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attract, motivate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payments under our agreements with Medexus with respect to the sales of IXINITY;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initiate and complete our Phase 1b/2 clinical trial for APVO436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and cost of capital.</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and the rising conflict in the Middle East, reoccurrences of COVID-19 or other pandemics, or other future widespread public health epidemics, or other factors that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On August 4, 2023, we completed a public offering related to the issuance and sale of 183,281 shares of common stock (or pre-funded warrant in lieu thereof, all of which have since been exercised) and received net proceeds of $4.3 million. On November 9, 2023, we entered into the Inducement Agreement to exercise for cash 322,691 existing common warrants issued on August 4, 2023, and issue 645,382 new warrants, for which we received net proceeds of $3.0 million. On April 10, 2024, we completed a public offering related to the issuance and sale of 3,400,000 shares of our common stock (or pre-funded warrant in lieu thereof, all of which have since been exercised) and received $4.0 million in net proceeds. On July 1, 2024, we completed the Registered Direct Offering related to the issuance and sale of 5,339,806 shares of our common stock (or pre-funded warrants in lieu thereof, all of which have since been exercised) and received $2.3 million in net proceeds. Future issuances of common stock may include, but not be limited to, (i) the issuance of the remaining outstanding shares of common stock upon the exercise of warrants issued in connection with our August and November 2023 and April and July 2024 offerings of common stock and warrants that would result in gross proceeds of $9.9 million, and (ii)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and limiting or restricting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Shelf Registration Statement on Form S-3 expired on December 18, 2023. SEC regulations limit the amount of funds we can raise during any 12-month period pursuant to a shelf registration statement on Form S-3. Prior to expiration of our Shelf Registration Statement, on March 29, 2022, we filed an amendment to the prospectus related to the Shelf Registration Statement on Form S-3 filed on December 14, 2020 pursuant to General Instruction I.B.6 of Form S-3 (General Instruction I.B.6), which updated the amount of registered shares that we were eligible to sell. So long as the aggregate market value of our common stock held by non-affiliates was less than $75 million, we would not be permitted to sell any registered shares under such Shelf Registration Statement on Form S-3 with a value of more than one-third of the aggregate market value of our common stock held by non-affiliates in any 12-month period due to the limitations of General Instruction I.B.6 of Form S-3 and the then-current public float of our common stock. If we are required to file a new registration statement on another form, we may incur additional costs and be subject to delays in raising capital due to review by SEC staff.</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and management. Activist campaigns that contest or conflict with our strategic direction or seek changes in the composition of our Board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and management, diverting their attention from the pursuit of our business strategy. Any perceived uncertainties as to our future direction and control, our ability to execute on our strategy, or changes to the composition of our Board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would serve as a further distraction to our Board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Nonfinancial Assets </w:t>
      </w:r>
      <w:r>
        <w:rPr>
          <w:rFonts w:ascii="Times New Roman" w:cs="Times New Roman" w:eastAsia="Times New Roman" w:hAnsi="Times New Roman"/>
          <w:sz w:val="18"/>
          <w:szCs w:val="18"/>
          <w:color w:val="auto"/>
        </w:rPr>
        <w:t>in the first quarter of 2023.</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5540" w:right="3400" w:hanging="5023"/>
        <w:spacing w:after="0" w:line="532" w:lineRule="auto"/>
        <w:tabs>
          <w:tab w:leader="none" w:pos="10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payments with respect to sales of IXINITY by Medexus;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may incur to acquire or develop additional technologies, products and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June 2024 is 3.44%).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3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$168.2 million and $70.5 million of federal and state net operating loss carryforwards, respectively, available to reduce future taxable income that will begin to expire in 2037 for federal income tax purposes. We completed an IRC Section 382 study through December 31, 2023. The study concluded that we have experienced an ownership change in November of 2020 and December of 2020 and $162.6 million of our net operating loss ("NOL") carry forwards are subject to an annual limitation. It is not expected that the annual limitations will result in the expiration of NOL carryforwards prior to utilization assuming sufficient income.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such as a deterioration in the bilateral relationship between the US and China, the rising conflict in the Middle East,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completed our Phase 1b dose expansion clinical trial with APVO436 in 2023 and plan to initiate a dose optimization Phase 1b/2 study in the second half of 2024 to assess safety and efficacy of APVO436 and to determine an optimal dose in front line patients. Additionally, we initiated a first-in-human Phase 1 clinical study of ALG.APV-527 in the first quarter of 2023 and we are currently enrolling new patients.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and the interim data from the dose escalation phase are positive, we cannot guarantee that this trial or future trials of ALG.APV-527 will show the desired safety and efficacy.</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biologics license application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investigational new drugs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submitted INDs and received approvals to proceed into clinical trials for multiple product candidates, including ALG.APV-527 and APVO436,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2"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immune stimulatory and/or blockades in oncology and other therapeutic areas. Our goal is to leverage our technology to make targeted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ALX Oncology Holdings Inc., Amgen Inc., Arcellx, AstraZeneca, AvenCell Therapeutics, Inc., BioNTech, Bio-Path, Bristol Myers Squibb, Cellectis, Faron Pharma, F-star Therapeutics, Genentech Inc. (a subsidiary of F. Hoffmann-La Roche Ltd.), Genmab A/S, Gilead Sciences, Inc., GlaxoSmithKline plc, ImmunoGen, Inc., Johnson &amp; Johnson, Macrogenics, Inc., Menarini Group, Molecular Partners, Novartis, Pfizer Inc., Pieris Pharmaceuticals, Inc., Regeneron Pharma, Sanofi-Aventis US LLC, Shattuck Labs, Syros Pharmaceuticals, Inc., Servier Laboratories,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administration or other efforts, if any, to challenge, repeal or replace the ACA will impact our business. In addition, other legislative changes have been proposed and adopted in the United States since the ACA was enacted:</w:t>
      </w:r>
    </w:p>
    <w:p>
      <w:pPr>
        <w:spacing w:after="0" w:line="54" w:lineRule="exact"/>
        <w:rPr>
          <w:sz w:val="20"/>
          <w:szCs w:val="20"/>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impose more stringent or different requirements than currently in effect, which may adversely affect our planned and ongoing drug development and/or our sales and marketing efforts.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08"/>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08"/>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1040"/>
        <w:spacing w:after="0" w:line="282" w:lineRule="auto"/>
        <w:rPr>
          <w:sz w:val="20"/>
          <w:szCs w:val="20"/>
          <w:color w:val="auto"/>
        </w:rPr>
      </w:pPr>
      <w:r>
        <w:rPr>
          <w:rFonts w:ascii="Times New Roman" w:cs="Times New Roman" w:eastAsia="Times New Roman" w:hAnsi="Times New Roman"/>
          <w:sz w:val="18"/>
          <w:szCs w:val="18"/>
          <w:color w:val="auto"/>
        </w:rPr>
        <w:t>approval from Medicare, Medicaid or other federal health care programs that are false or fraudulent or knowingly making any materially false statement in connection with the delivery or payment for healthcare benefits, items or services;</w:t>
      </w:r>
    </w:p>
    <w:p>
      <w:pPr>
        <w:spacing w:after="0" w:line="54" w:lineRule="exact"/>
        <w:rPr>
          <w:sz w:val="20"/>
          <w:szCs w:val="20"/>
          <w:color w:val="auto"/>
        </w:rPr>
      </w:pPr>
    </w:p>
    <w:p>
      <w:pPr>
        <w:jc w:val="both"/>
        <w:ind w:left="1040" w:hanging="508"/>
        <w:spacing w:after="0" w:line="255"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those that we have rights through licenses from third parties, will adequately protect our intellectual property. Our success in protecting our intellectual property depends significantly on our ability to:</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first-in-class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Between August 1, 2016 and June 30, 2024, the reported closing price of our common stock has fluctuated between $0.306 and $3,659.04 per share (as adjusted to reflect our 1-for-44 reverse stock split of our outstanding common stock that was effective on March 5, 2024).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the rising conflict in the Middle East, and macroeconomic conditions, including rising and fluctuating inflation and interest rates and reduced consumer confidence. The market price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may fluctuate significantly due to a number of factors, some of which may be beyond our control or unrelated to our operations, including, among others:</w:t>
      </w:r>
    </w:p>
    <w:p>
      <w:pPr>
        <w:spacing w:after="0" w:line="125"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and macroeconomic conditions, including domestic and global financial, economic, and geopolitical instability;</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as a going concern;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 and a minimum stockholders' equity of at least $2.5 million, among other requirements.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25, 2024, the Company received a letter from Nasdaq notifying the Company that, for the last 30 consecutive business days, the bid price of the Company’s common stock had closed below $1.00 per share, the minimum closing bid price required by the continued listing requirements of Nasdaq Listing Rule 5550(a)(2) (the “Bid Price Requirement”).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Nasdaq’s letter has no immediate impact on the listing of the Company’s common stock, which will continue to be listed and traded on Nasdaq, subject to the Company’s compliance with the other continued listing requirements. Nasdaq’s letter provides the Company 180 calendar days, or until December 23, 2024 (the "Compliance Date"), to regain compliance with the Bid Price Requirement. To regain compliance with the Bid Price Requirement, the closing bid price of the Company’s common stock must be at least $1.00 per share for a minimum of ten consecutive business days before the Compliance Date. The Company may be eligible for an additional 180-day period to regain compliance if the Company meets all other listing standards of Nasdaq, with the exception of the Bid Price Requirement, and provides written notice to Nasdaq of its intention to cure the deficiency during the second compliance period, by effecting a reverse stock split, if necessary. In the event the Company fails to regain compliance, the Company would have the right to a hearing before the Nasdaq Listing Qualifications Panel (the "Panel"). There can be no assurance that, if the Company receives a delisting notice and appeals the delisting determination by the Panel, such appeal would be successful.</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intends to take all reasonable measures available to regain compliance under the Nasdaq Listing Rules and remain listed on Nasdaq, including by effecting a reverse stock split.</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stock" rules, broker-dealers may find it difficult to effectuate customer transactions and trading activity in our securities may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Rights Agreement with Broadridge Corporate Issuer Solutions, Inc., upon the exercise of warrants issued in connection with both of our 2023 and 2024 registered offerings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On November 2, 2023, we entered into amendment No. 3 to the Rights Agreement and extended the expiration of such agreement to November 4, 2024.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Any such sales or perception that such sales may occur could decrease the market price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quarter ended June 30, 2024, none of our directors or executive officers adopted, terminated or materially modified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00" w:type="dxa"/>
            <w:vAlign w:val="bottom"/>
            <w:gridSpan w:val="20"/>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14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1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Common Warrant, dated July 1, 2024, filed as Exhibit 4.1 to the Current Report on Form 8-K filed with the SEC on July 1, 2024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incorporated herein by reference.</w:t>
              </w:r>
            </w:hyperlink>
          </w:p>
        </w:tc>
        <w:tc>
          <w:tcPr>
            <w:tcW w:w="7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Pre-Funded Warrant, dated July 1, 2024, filed as Exhibit 4.2 to the Current Report on Form 8-K filed with the SEC on July 1, 2024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0" w:type="dxa"/>
            <w:vAlign w:val="bottom"/>
            <w:tcBorders>
              <w:left w:val="single" w:sz="8" w:color="0000EE"/>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Common Warrant, dated April 15, 2024, filed as Exhibit 4.1 to the Current Report on Form 8-K filed with the SEC on April 15, 2024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Pre-Funded Warrant, dated April 15, 2024, filed as Exhibit 4.2 to the Current Report on Form 8-K filed with the SEC on April 15, 2024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0" w:type="dxa"/>
            <w:vAlign w:val="bottom"/>
            <w:tcBorders>
              <w:left w:val="single" w:sz="8" w:color="0000EE"/>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Placement Agency Agreement dated June 28, 2024, between the Company and Roth Capital Partners, filed as Exhibit 10.1 to the Current</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Report on Form 8-K filed with the SEC on July 1,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3"/>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8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Securities Purchase Agreement, dated June 28, 2024, between the Company and the purchasers party thereto, filed as Exhibit 10.2 to the</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Current Report on Form 8-K filed with the SEC on July 1,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9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Form of Amended Common Warrant, dated as of July 1, 2024, between the Company and certain warrant holders, filed as Exhibit 10.3 to</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the Current Report on Form 8-K filed with the SEC on July 1,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Amended Series A Common Warrant, dated as of July 1, 2024, between the Company and certain warrant holders, filed as Exhibit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Current Report on Form 8-K filed with the SEC on July 1, 2024 and incorporated herein by reference.</w:t>
              </w:r>
            </w:hyperlink>
          </w:p>
        </w:tc>
        <w:tc>
          <w:tcPr>
            <w:tcW w:w="20" w:type="dxa"/>
            <w:vAlign w:val="bottom"/>
            <w:tcBorders>
              <w:bottom w:val="single" w:sz="8" w:color="0000EE"/>
            </w:tcBorders>
          </w:tcPr>
          <w:p>
            <w:pPr>
              <w:spacing w:after="0"/>
              <w:rPr>
                <w:sz w:val="17"/>
                <w:szCs w:val="17"/>
                <w:color w:val="auto"/>
              </w:rPr>
            </w:pPr>
          </w:p>
        </w:tc>
        <w:tc>
          <w:tcPr>
            <w:tcW w:w="1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Amended Series A-1 Common Warrant, dated as of July 1, 2024, between the Company and certain warrant holders, filed as</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Exhibit 10.5 to the Current Report on Form 8-K filed with the SEC on July 1,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Amended Series A-2 Common Warrant, dated as of July 1, 2024, between the Company and certain warrant holders, filed as</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Exhibit 10.6 to the Current Report on Form 8-K filed with the SEC on July 1,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Amended Series B-1 Common Warrant, dated as of July 1, 2024, between the Company and certain warrant holders, filed as</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Exhibit 10.7 to the Current Report on Form 8-K filed with the SEC on July 1,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9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Amended Series B-2 Common Warrant, dated as of July 1, 2024, between the Company and certain warrant holders, filed as</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Exhibit 10.8 to the Current Report on Form 8-K filed with the SEC on July 1, 2024 and incorporated herein by reference.</w:t>
              </w:r>
            </w:hyperlink>
          </w:p>
        </w:tc>
        <w:tc>
          <w:tcPr>
            <w:tcW w:w="1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9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Placement Agent Agreement, dated April 10, 2024, between the Company and Roth Capital Partners, filed as Exhibit 10.1 to the Current</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Report on Form 8-K filed with the SEC on April 15, 2024 and incorporated herein by reference.</w:t>
              </w:r>
            </w:hyperlink>
          </w:p>
        </w:tc>
        <w:tc>
          <w:tcPr>
            <w:tcW w:w="32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9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Securities Purchase Agreement, dated April 10, 2024, between the Company and the purchasers party thereto, filed as Exhibit 10.2 to the</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Current Report on Form 8-K filed with the SEC on April 15, 2024 and incorporated herein by reference.</w:t>
              </w:r>
            </w:hyperlink>
          </w:p>
        </w:tc>
        <w:tc>
          <w:tcPr>
            <w:tcW w:w="100" w:type="dxa"/>
            <w:vAlign w:val="bottom"/>
            <w:tcBorders>
              <w:bottom w:val="single" w:sz="8" w:color="0000EE"/>
            </w:tcBorders>
          </w:tcPr>
          <w:p>
            <w:pPr>
              <w:spacing w:after="0"/>
              <w:rPr>
                <w:sz w:val="17"/>
                <w:szCs w:val="17"/>
                <w:color w:val="auto"/>
              </w:rPr>
            </w:pPr>
          </w:p>
        </w:tc>
        <w:tc>
          <w:tcPr>
            <w:tcW w:w="2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gridSpan w:val="3"/>
            <w:shd w:val="clear" w:color="auto" w:fill="0000FF"/>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gridSpan w:val="3"/>
            <w:shd w:val="clear" w:color="auto" w:fill="0000FF"/>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830"/>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100" w:type="dxa"/>
            <w:vAlign w:val="bottom"/>
            <w:tcBorders>
              <w:bottom w:val="single" w:sz="8" w:color="auto"/>
            </w:tcBorders>
          </w:tcPr>
          <w:p>
            <w:pPr>
              <w:spacing w:after="0"/>
              <w:rPr>
                <w:sz w:val="16"/>
                <w:szCs w:val="16"/>
                <w:color w:val="auto"/>
              </w:rPr>
            </w:pPr>
          </w:p>
        </w:tc>
      </w:tr>
      <w:tr>
        <w:trPr>
          <w:trHeight w:val="205"/>
        </w:trPr>
        <w:tc>
          <w:tcPr>
            <w:tcW w:w="1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10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9"/>
                <w:szCs w:val="19"/>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3" w:lineRule="exact"/>
        <w:rPr>
          <w:sz w:val="20"/>
          <w:szCs w:val="20"/>
          <w:color w:val="auto"/>
        </w:rPr>
      </w:pPr>
    </w:p>
    <w:p>
      <w:pPr>
        <w:ind w:left="20"/>
        <w:spacing w:after="0"/>
        <w:tabs>
          <w:tab w:leader="none" w:pos="6200" w:val="left"/>
          <w:tab w:leader="none" w:pos="81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3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97" w:lineRule="exact"/>
        <w:rPr>
          <w:sz w:val="20"/>
          <w:szCs w:val="20"/>
          <w:color w:val="auto"/>
        </w:rPr>
      </w:pPr>
    </w:p>
    <w:p>
      <w:pPr>
        <w:ind w:left="20"/>
        <w:spacing w:after="0"/>
        <w:tabs>
          <w:tab w:leader="none" w:pos="6200" w:val="left"/>
          <w:tab w:leader="none" w:pos="82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Therapeutics Inc. on Form 10-Q for the period ending June 30,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6720" w:val="left"/>
          <w:tab w:leader="none" w:pos="84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574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Inc. on Form 10-Q for the period ending June 30,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6720" w:val="left"/>
          <w:tab w:leader="none" w:pos="84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574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7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3"/>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lvl w:ilvl="1">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36" Type="http://schemas.openxmlformats.org/officeDocument/2006/relationships/hyperlink" Target="https://www.sec.gov/Archives/edgar/data/1671584/000095017024079653/apvo-ex4_1.htm" TargetMode="External"/><Relationship Id="rId237" Type="http://schemas.openxmlformats.org/officeDocument/2006/relationships/hyperlink" Target="https://www.sec.gov/Archives/edgar/data/1671584/000095017024079653/apvo-ex4_2.htm" TargetMode="External"/><Relationship Id="rId238" Type="http://schemas.openxmlformats.org/officeDocument/2006/relationships/hyperlink" Target="https://www.sec.gov/Archives/edgar/data/1671584/000095017024044419/apvo-ex4_1.htm" TargetMode="External"/><Relationship Id="rId239" Type="http://schemas.openxmlformats.org/officeDocument/2006/relationships/hyperlink" Target="https://www.sec.gov/Archives/edgar/data/1671584/000095017024044419/apvo-ex4_2.htm" TargetMode="External"/><Relationship Id="rId240" Type="http://schemas.openxmlformats.org/officeDocument/2006/relationships/hyperlink" Target="https://www.sec.gov/Archives/edgar/data/1671584/000095017024079653/apvo-ex10_1.htm" TargetMode="External"/><Relationship Id="rId241" Type="http://schemas.openxmlformats.org/officeDocument/2006/relationships/hyperlink" Target="https://www.sec.gov/Archives/edgar/data/1671584/000095017024079653/apvo-ex10_2.htm" TargetMode="External"/><Relationship Id="rId242" Type="http://schemas.openxmlformats.org/officeDocument/2006/relationships/hyperlink" Target="https://www.sec.gov/Archives/edgar/data/1671584/000095017024079653/apvo-ex10_3.htm" TargetMode="External"/><Relationship Id="rId243" Type="http://schemas.openxmlformats.org/officeDocument/2006/relationships/hyperlink" Target="https://www.sec.gov/Archives/edgar/data/1671584/000095017024079653/apvo-ex10_4.htm" TargetMode="External"/><Relationship Id="rId244" Type="http://schemas.openxmlformats.org/officeDocument/2006/relationships/hyperlink" Target="https://www.sec.gov/Archives/edgar/data/1671584/000095017024079653/apvo-ex10_5.htm" TargetMode="External"/><Relationship Id="rId245" Type="http://schemas.openxmlformats.org/officeDocument/2006/relationships/hyperlink" Target="https://www.sec.gov/Archives/edgar/data/1671584/000095017024079653/apvo-ex10_6.htm" TargetMode="External"/><Relationship Id="rId246" Type="http://schemas.openxmlformats.org/officeDocument/2006/relationships/hyperlink" Target="https://www.sec.gov/Archives/edgar/data/1671584/000095017024079653/apvo-ex10_7.htm" TargetMode="External"/><Relationship Id="rId247" Type="http://schemas.openxmlformats.org/officeDocument/2006/relationships/hyperlink" Target="https://www.sec.gov/Archives/edgar/data/1671584/000095017024079653/apvo-ex10_8.htm" TargetMode="External"/><Relationship Id="rId248" Type="http://schemas.openxmlformats.org/officeDocument/2006/relationships/hyperlink" Target="https://www.sec.gov/Archives/edgar/data/1671584/000095017024044419/apvo-ex10_1.htm" TargetMode="External"/><Relationship Id="rId249" Type="http://schemas.openxmlformats.org/officeDocument/2006/relationships/hyperlink" Target="https://www.sec.gov/Archives/edgar/data/1671584/000095017024044419/apvo-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2024-08-08T07:35:03Z</dcterms:created>
  <dcterms:modified xsi:type="dcterms:W3CDTF">2024-08-08T07:35:03Z</dcterms:modified>
</cp:coreProperties>
</file>