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pvo-20260724.htm"/>
      <w:bookmarkStart w:id="1" w:name="ksapvo20260724"/>
      <w:bookmarkEnd w:id="0"/>
      <w:bookmarkEnd w:id="1"/>
      <w:r>
        <w:rPr/>
        <w:t> </w:t>
      </w:r>
      <w:r>
        <mc:AlternateContent>
          <mc:Choice Requires="wps">
            <w:drawing>
              <wp:anchor behindDoc="0" distT="0" distB="0" distL="0" distR="0" simplePos="0" locked="0" layoutInCell="1" allowOverlap="1" relativeHeight="2">
                <wp:simplePos x="0" y="0"/>
                <wp:positionH relativeFrom="page">
                  <wp:posOffset>457200</wp:posOffset>
                </wp:positionH>
                <wp:positionV relativeFrom="page">
                  <wp:posOffset>457200</wp:posOffset>
                </wp:positionV>
                <wp:extent cx="1372235" cy="428625"/>
                <wp:effectExtent l="0" t="0" r="0" b="0"/>
                <wp:wrapNone/>
                <wp:docPr id="1" name="Frame4"/>
                <a:graphic xmlns:a="http://schemas.openxmlformats.org/drawingml/2006/main">
                  <a:graphicData uri="http://schemas.microsoft.com/office/word/2010/wordprocessingShape">
                    <wps:wsp>
                      <wps:cNvSpPr txBox="1"/>
                      <wps:spPr>
                        <a:xfrm>
                          <a:off x="0" y="0"/>
                          <a:ext cx="1372235" cy="428625"/>
                        </a:xfrm>
                        <a:prstGeom prst="rect"/>
                        <a:solidFill>
                          <a:srgbClr val="FFFFFF"/>
                        </a:solidFill>
                      </wps:spPr>
                      <wps:txbx>
                        <w:txbxContent>
                          <w:p>
                            <w:pPr>
                              <w:pStyle w:val="TextBody"/>
                              <w:bidi w:val="0"/>
                              <w:spacing w:before="0" w:after="283"/>
                              <w:jc w:val="left"/>
                              <w:rPr/>
                            </w:pPr>
                            <w:r>
                              <w:rPr/>
                              <w:drawing>
                                <wp:inline distT="0" distB="0" distL="0" distR="0">
                                  <wp:extent cx="1371600" cy="400050"/>
                                  <wp:effectExtent l="0" t="0" r="0" b="0"/>
                                  <wp:docPr id="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6" descr=""/>
                                          <pic:cNvPicPr>
                                            <a:picLocks noChangeAspect="1" noChangeArrowheads="1"/>
                                          </pic:cNvPicPr>
                                        </pic:nvPicPr>
                                        <pic:blipFill>
                                          <a:blip r:embed="rId2"/>
                                          <a:stretch>
                                            <a:fillRect/>
                                          </a:stretch>
                                        </pic:blipFill>
                                        <pic:spPr bwMode="auto">
                                          <a:xfrm>
                                            <a:off x="0" y="0"/>
                                            <a:ext cx="1371600" cy="4000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08.05pt;height:33.75pt;mso-wrap-distance-left:0pt;mso-wrap-distance-right:0pt;mso-wrap-distance-top:0pt;mso-wrap-distance-bottom:0pt;margin-top:36pt;mso-position-vertical-relative:page;margin-left:36pt;mso-position-horizontal-relative:page">
                <v:textbox inset="0in,0in,0in,0in">
                  <w:txbxContent>
                    <w:p>
                      <w:pPr>
                        <w:pStyle w:val="TextBody"/>
                        <w:bidi w:val="0"/>
                        <w:spacing w:before="0" w:after="283"/>
                        <w:jc w:val="left"/>
                        <w:rPr/>
                      </w:pPr>
                      <w:r>
                        <w:rPr/>
                        <w:drawing>
                          <wp:inline distT="0" distB="0" distL="0" distR="0">
                            <wp:extent cx="1371600" cy="400050"/>
                            <wp:effectExtent l="0" t="0" r="0" b="0"/>
                            <wp:docPr id="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6" descr=""/>
                                    <pic:cNvPicPr>
                                      <a:picLocks noChangeAspect="1" noChangeArrowheads="1"/>
                                    </pic:cNvPicPr>
                                  </pic:nvPicPr>
                                  <pic:blipFill>
                                    <a:blip r:embed="rId3"/>
                                    <a:stretch>
                                      <a:fillRect/>
                                    </a:stretch>
                                  </pic:blipFill>
                                  <pic:spPr bwMode="auto">
                                    <a:xfrm>
                                      <a:off x="0" y="0"/>
                                      <a:ext cx="1371600" cy="4000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457200</wp:posOffset>
                </wp:positionH>
                <wp:positionV relativeFrom="page">
                  <wp:posOffset>457200</wp:posOffset>
                </wp:positionV>
                <wp:extent cx="1372235" cy="428625"/>
                <wp:effectExtent l="0" t="0" r="0" b="0"/>
                <wp:wrapNone/>
                <wp:docPr id="4" name="Frame3"/>
                <a:graphic xmlns:a="http://schemas.openxmlformats.org/drawingml/2006/main">
                  <a:graphicData uri="http://schemas.microsoft.com/office/word/2010/wordprocessingShape">
                    <wps:wsp>
                      <wps:cNvSpPr txBox="1"/>
                      <wps:spPr>
                        <a:xfrm>
                          <a:off x="0" y="0"/>
                          <a:ext cx="1372235" cy="428625"/>
                        </a:xfrm>
                        <a:prstGeom prst="rect"/>
                        <a:solidFill>
                          <a:srgbClr val="FFFFFF"/>
                        </a:solidFill>
                      </wps:spPr>
                      <wps:txbx>
                        <w:txbxContent>
                          <w:p>
                            <w:pPr>
                              <w:pStyle w:val="TextBody"/>
                              <w:bidi w:val="0"/>
                              <w:spacing w:before="0" w:after="283"/>
                              <w:jc w:val="left"/>
                              <w:rPr/>
                            </w:pPr>
                            <w:r>
                              <w:rPr/>
                              <w:drawing>
                                <wp:inline distT="0" distB="0" distL="0" distR="0">
                                  <wp:extent cx="1371600" cy="40005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4"/>
                                          <a:stretch>
                                            <a:fillRect/>
                                          </a:stretch>
                                        </pic:blipFill>
                                        <pic:spPr bwMode="auto">
                                          <a:xfrm>
                                            <a:off x="0" y="0"/>
                                            <a:ext cx="1371600" cy="4000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08.05pt;height:33.75pt;mso-wrap-distance-left:0pt;mso-wrap-distance-right:0pt;mso-wrap-distance-top:0pt;mso-wrap-distance-bottom:0pt;margin-top:36pt;mso-position-vertical-relative:page;margin-left:36pt;mso-position-horizontal-relative:page">
                <v:textbox inset="0in,0in,0in,0in">
                  <w:txbxContent>
                    <w:p>
                      <w:pPr>
                        <w:pStyle w:val="TextBody"/>
                        <w:bidi w:val="0"/>
                        <w:spacing w:before="0" w:after="283"/>
                        <w:jc w:val="left"/>
                        <w:rPr/>
                      </w:pPr>
                      <w:r>
                        <w:rPr/>
                        <w:drawing>
                          <wp:inline distT="0" distB="0" distL="0" distR="0">
                            <wp:extent cx="1371600" cy="40005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371600" cy="4000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457200</wp:posOffset>
                </wp:positionH>
                <wp:positionV relativeFrom="page">
                  <wp:posOffset>457200</wp:posOffset>
                </wp:positionV>
                <wp:extent cx="1753235" cy="514350"/>
                <wp:effectExtent l="0" t="0" r="0" b="0"/>
                <wp:wrapNone/>
                <wp:docPr id="7" name="Frame2"/>
                <a:graphic xmlns:a="http://schemas.openxmlformats.org/drawingml/2006/main">
                  <a:graphicData uri="http://schemas.microsoft.com/office/word/2010/wordprocessingShape">
                    <wps:wsp>
                      <wps:cNvSpPr txBox="1"/>
                      <wps:spPr>
                        <a:xfrm>
                          <a:off x="0" y="0"/>
                          <a:ext cx="1753235" cy="514350"/>
                        </a:xfrm>
                        <a:prstGeom prst="rect"/>
                        <a:solidFill>
                          <a:srgbClr val="FFFFFF"/>
                        </a:solidFill>
                      </wps:spPr>
                      <wps:txbx>
                        <w:txbxContent>
                          <w:p>
                            <w:pPr>
                              <w:pStyle w:val="TextBody"/>
                              <w:bidi w:val="0"/>
                              <w:spacing w:before="0" w:after="283"/>
                              <w:jc w:val="left"/>
                              <w:rPr/>
                            </w:pPr>
                            <w:r>
                              <w:rPr/>
                              <w:drawing>
                                <wp:inline distT="0" distB="0" distL="0" distR="0">
                                  <wp:extent cx="1752600" cy="5143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6"/>
                                          <a:stretch>
                                            <a:fillRect/>
                                          </a:stretch>
                                        </pic:blipFill>
                                        <pic:spPr bwMode="auto">
                                          <a:xfrm>
                                            <a:off x="0" y="0"/>
                                            <a:ext cx="1752600" cy="5143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38.05pt;height:40.5pt;mso-wrap-distance-left:0pt;mso-wrap-distance-right:0pt;mso-wrap-distance-top:0pt;mso-wrap-distance-bottom:0pt;margin-top:36pt;mso-position-vertical-relative:page;margin-left:36pt;mso-position-horizontal-relative:page">
                <v:textbox inset="0in,0in,0in,0in">
                  <w:txbxContent>
                    <w:p>
                      <w:pPr>
                        <w:pStyle w:val="TextBody"/>
                        <w:bidi w:val="0"/>
                        <w:spacing w:before="0" w:after="283"/>
                        <w:jc w:val="left"/>
                        <w:rPr/>
                      </w:pPr>
                      <w:r>
                        <w:rPr/>
                        <w:drawing>
                          <wp:inline distT="0" distB="0" distL="0" distR="0">
                            <wp:extent cx="1752600" cy="51435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7"/>
                                    <a:stretch>
                                      <a:fillRect/>
                                    </a:stretch>
                                  </pic:blipFill>
                                  <pic:spPr bwMode="auto">
                                    <a:xfrm>
                                      <a:off x="0" y="0"/>
                                      <a:ext cx="1752600" cy="5143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3017520</wp:posOffset>
                </wp:positionH>
                <wp:positionV relativeFrom="page">
                  <wp:posOffset>9418320</wp:posOffset>
                </wp:positionV>
                <wp:extent cx="4343400" cy="365760"/>
                <wp:effectExtent l="0" t="0" r="0" b="0"/>
                <wp:wrapNone/>
                <wp:docPr id="10" name="Frame1"/>
                <a:graphic xmlns:a="http://schemas.openxmlformats.org/drawingml/2006/main">
                  <a:graphicData uri="http://schemas.microsoft.com/office/word/2010/wordprocessingShape">
                    <wps:wsp>
                      <wps:cNvSpPr txBox="1"/>
                      <wps:spPr>
                        <a:xfrm>
                          <a:off x="0" y="0"/>
                          <a:ext cx="4343400" cy="365760"/>
                        </a:xfrm>
                        <a:prstGeom prst="rect"/>
                        <a:solidFill>
                          <a:srgbClr val="FFFFFF"/>
                        </a:solidFill>
                      </wps:spPr>
                      <wps:txbx>
                        <w:txbxContent>
                          <w:p>
                            <w:pPr>
                              <w:pStyle w:val="TextBody"/>
                              <w:bidi w:val="0"/>
                              <w:spacing w:before="0" w:after="283"/>
                              <w:jc w:val="left"/>
                              <w:rPr/>
                            </w:pPr>
                            <w:r>
                              <w:rPr/>
                              <w:drawing>
                                <wp:inline distT="0" distB="0" distL="0" distR="0">
                                  <wp:extent cx="4314825" cy="285750"/>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8"/>
                                          <a:stretch>
                                            <a:fillRect/>
                                          </a:stretch>
                                        </pic:blipFill>
                                        <pic:spPr bwMode="auto">
                                          <a:xfrm>
                                            <a:off x="0" y="0"/>
                                            <a:ext cx="4314825" cy="2857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342pt;height:28.8pt;mso-wrap-distance-left:0pt;mso-wrap-distance-right:0pt;mso-wrap-distance-top:0pt;mso-wrap-distance-bottom:0pt;margin-top:741.6pt;mso-position-vertical-relative:page;margin-left:237.6pt;mso-position-horizontal-relative:page">
                <v:textbox inset="0in,0in,0in,0in">
                  <w:txbxContent>
                    <w:p>
                      <w:pPr>
                        <w:pStyle w:val="TextBody"/>
                        <w:bidi w:val="0"/>
                        <w:spacing w:before="0" w:after="283"/>
                        <w:jc w:val="left"/>
                        <w:rPr/>
                      </w:pPr>
                      <w:r>
                        <w:rPr/>
                        <w:drawing>
                          <wp:inline distT="0" distB="0" distL="0" distR="0">
                            <wp:extent cx="4314825" cy="28575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9"/>
                                    <a:stretch>
                                      <a:fillRect/>
                                    </a:stretch>
                                  </pic:blipFill>
                                  <pic:spPr bwMode="auto">
                                    <a:xfrm>
                                      <a:off x="0" y="0"/>
                                      <a:ext cx="4314825" cy="285750"/>
                                    </a:xfrm>
                                    <a:prstGeom prst="rect">
                                      <a:avLst/>
                                    </a:prstGeom>
                                  </pic:spPr>
                                </pic:pic>
                              </a:graphicData>
                            </a:graphic>
                          </wp:inline>
                        </w:drawing>
                      </w:r>
                    </w:p>
                  </w:txbxContent>
                </v:textbox>
                <w10:wrap type="none"/>
              </v:rect>
            </w:pict>
          </mc:Fallback>
        </mc:AlternateContent>
      </w:r>
    </w:p>
    <w:p>
      <w:pPr>
        <w:pStyle w:val="TextBody"/>
        <w:bidi w:val="0"/>
        <w:jc w:val="center"/>
        <w:rPr>
          <w:rFonts w:ascii="Times New Roman" w:hAnsi="Times New Roman"/>
          <w:color w:val="000000"/>
          <w:sz w:val="20"/>
        </w:rPr>
      </w:pPr>
      <w:r>
        <w:rPr>
          <w:rFonts w:ascii="Times New Roman" w:hAnsi="Times New Roman"/>
          <w:color w:val="000000"/>
          <w:sz w:val="20"/>
        </w:rPr>
        <w:t>As filed with the U.S. Securities and Exchange Commission on July 24, 2026</w:t>
      </w:r>
    </w:p>
    <w:p>
      <w:pPr>
        <w:pStyle w:val="TextBody"/>
        <w:bidi w:val="0"/>
        <w:jc w:val="right"/>
        <w:rPr>
          <w:rFonts w:ascii="Times New Roman" w:hAnsi="Times New Roman"/>
          <w:color w:val="000000"/>
          <w:sz w:val="20"/>
        </w:rPr>
      </w:pPr>
      <w:r>
        <w:rPr>
          <w:rFonts w:ascii="Times New Roman" w:hAnsi="Times New Roman"/>
          <w:color w:val="000000"/>
          <w:sz w:val="20"/>
        </w:rPr>
        <w:t xml:space="preserve">Registration No. 333- </w:t>
      </w:r>
    </w:p>
    <w:p>
      <w:pPr>
        <w:pStyle w:val="TextBody"/>
        <w:pBdr>
          <w:bottom w:val="double" w:sz="4" w:space="1" w:color="000000"/>
        </w:pBdr>
        <w:bidi w:val="0"/>
        <w:jc w:val="right"/>
        <w:rPr/>
      </w:pPr>
      <w:r>
        <w:rPr/>
        <w:t> </w:t>
      </w:r>
    </w:p>
    <w:p>
      <w:pPr>
        <w:pStyle w:val="TextBody"/>
        <w:bidi w:val="0"/>
        <w:spacing w:before="240" w:after="283"/>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pBdr>
          <w:bottom w:val="single" w:sz="4" w:space="1" w:color="000000"/>
        </w:pBdr>
        <w:bidi w:val="0"/>
        <w:spacing w:before="0" w:after="180"/>
        <w:jc w:val="center"/>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FORM S-8</w:t>
      </w:r>
    </w:p>
    <w:p>
      <w:pPr>
        <w:pStyle w:val="TextBody"/>
        <w:bidi w:val="0"/>
        <w:jc w:val="center"/>
        <w:rPr>
          <w:rFonts w:ascii="Times New Roman" w:hAnsi="Times New Roman"/>
          <w:color w:val="000000"/>
          <w:sz w:val="20"/>
        </w:rPr>
      </w:pPr>
      <w:r>
        <w:rPr>
          <w:rFonts w:ascii="Times New Roman" w:hAnsi="Times New Roman"/>
          <w:color w:val="000000"/>
          <w:sz w:val="20"/>
        </w:rPr>
        <w:t>REGISTRATION STATEMENT</w:t>
      </w:r>
    </w:p>
    <w:p>
      <w:pPr>
        <w:pStyle w:val="TextBody"/>
        <w:bidi w:val="0"/>
        <w:jc w:val="center"/>
        <w:rPr>
          <w:rFonts w:ascii="Times New Roman" w:hAnsi="Times New Roman"/>
          <w:color w:val="000000"/>
          <w:sz w:val="20"/>
        </w:rPr>
      </w:pPr>
      <w:r>
        <w:rPr>
          <w:rFonts w:ascii="Times New Roman" w:hAnsi="Times New Roman"/>
          <w:color w:val="000000"/>
          <w:sz w:val="20"/>
        </w:rPr>
        <w:t>UNDER</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THE SECURITIES ACT OF 1933</w:t>
      </w:r>
    </w:p>
    <w:p>
      <w:pPr>
        <w:pStyle w:val="TextBody"/>
        <w:pBdr>
          <w:bottom w:val="single" w:sz="4" w:space="1" w:color="000000"/>
        </w:pBdr>
        <w:bidi w:val="0"/>
        <w:spacing w:before="0" w:after="18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Aptevo Therapeutics Inc.</w:t>
      </w:r>
    </w:p>
    <w:p>
      <w:pPr>
        <w:pStyle w:val="TextBody"/>
        <w:bidi w:val="0"/>
        <w:spacing w:before="0" w:after="240"/>
        <w:jc w:val="center"/>
        <w:rPr>
          <w:rFonts w:ascii="Times New Roman" w:hAnsi="Times New Roman"/>
          <w:i/>
          <w:color w:val="000000"/>
          <w:sz w:val="16"/>
        </w:rPr>
      </w:pPr>
      <w:r>
        <w:rPr>
          <w:rFonts w:ascii="Times New Roman" w:hAnsi="Times New Roman"/>
          <w:i/>
          <w:color w:val="000000"/>
          <w:sz w:val="16"/>
        </w:rPr>
        <w:t>(Exact name of registrant as specified in its charter)</w:t>
      </w:r>
    </w:p>
    <w:tbl>
      <w:tblPr>
        <w:tblW w:w="7183" w:type="dxa"/>
        <w:jc w:val="left"/>
        <w:tblInd w:w="0" w:type="dxa"/>
        <w:tblLayout w:type="fixed"/>
        <w:tblCellMar>
          <w:top w:w="28" w:type="dxa"/>
          <w:left w:w="28" w:type="dxa"/>
          <w:bottom w:w="28" w:type="dxa"/>
          <w:right w:w="28" w:type="dxa"/>
        </w:tblCellMar>
      </w:tblPr>
      <w:tblGrid>
        <w:gridCol w:w="4321"/>
        <w:gridCol w:w="146"/>
        <w:gridCol w:w="2716"/>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81-1567056</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2401 4th Avenue, Suite 1050</w:t>
      </w:r>
    </w:p>
    <w:p>
      <w:pPr>
        <w:pStyle w:val="TextBody"/>
        <w:bidi w:val="0"/>
        <w:jc w:val="center"/>
        <w:rPr>
          <w:rFonts w:ascii="Times New Roman" w:hAnsi="Times New Roman"/>
          <w:sz w:val="20"/>
        </w:rPr>
      </w:pPr>
      <w:r>
        <w:rPr>
          <w:rFonts w:ascii="Times New Roman" w:hAnsi="Times New Roman"/>
          <w:b/>
          <w:color w:val="000000"/>
          <w:sz w:val="20"/>
        </w:rPr>
        <w:t>Seattle, WA 98121</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(Zip code)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Aptevo Therapeutics Inc. Third Amended and Restated 2018 Stock Incentive Plan</w:t>
      </w:r>
    </w:p>
    <w:p>
      <w:pPr>
        <w:pStyle w:val="TextBody"/>
        <w:bidi w:val="0"/>
        <w:jc w:val="center"/>
        <w:rPr>
          <w:rFonts w:ascii="Times New Roman" w:hAnsi="Times New Roman"/>
          <w:color w:val="000000"/>
          <w:sz w:val="16"/>
        </w:rPr>
      </w:pPr>
      <w:r>
        <w:rPr>
          <w:rFonts w:ascii="Times New Roman" w:hAnsi="Times New Roman"/>
          <w:color w:val="000000"/>
          <w:sz w:val="16"/>
        </w:rPr>
        <w:t>(Full title of the plan)</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spacing w:before="88" w:after="283"/>
        <w:jc w:val="center"/>
        <w:rPr>
          <w:rFonts w:ascii="Times New Roman" w:hAnsi="Times New Roman"/>
          <w:b/>
          <w:color w:val="000000"/>
          <w:sz w:val="20"/>
        </w:rPr>
      </w:pPr>
      <w:r>
        <w:rPr>
          <w:rFonts w:ascii="Times New Roman" w:hAnsi="Times New Roman"/>
          <w:b/>
          <w:color w:val="000000"/>
          <w:sz w:val="20"/>
        </w:rPr>
        <w:t>SoYoung Kwon</w:t>
      </w:r>
    </w:p>
    <w:p>
      <w:pPr>
        <w:pStyle w:val="TextBody"/>
        <w:bidi w:val="0"/>
        <w:jc w:val="center"/>
        <w:rPr>
          <w:rFonts w:ascii="Times New Roman" w:hAnsi="Times New Roman"/>
          <w:b/>
          <w:color w:val="000000"/>
          <w:sz w:val="20"/>
        </w:rPr>
      </w:pPr>
      <w:r>
        <w:rPr>
          <w:rFonts w:ascii="Times New Roman" w:hAnsi="Times New Roman"/>
          <w:b/>
          <w:color w:val="000000"/>
          <w:sz w:val="20"/>
        </w:rPr>
        <w:t>Senior Vice President and General Counsel</w:t>
      </w:r>
    </w:p>
    <w:p>
      <w:pPr>
        <w:pStyle w:val="TextBody"/>
        <w:bidi w:val="0"/>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2401 4th Avenue, Suite 1050</w:t>
      </w:r>
    </w:p>
    <w:p>
      <w:pPr>
        <w:pStyle w:val="TextBody"/>
        <w:bidi w:val="0"/>
        <w:jc w:val="center"/>
        <w:rPr>
          <w:rFonts w:ascii="Times New Roman" w:hAnsi="Times New Roman"/>
          <w:sz w:val="20"/>
        </w:rPr>
      </w:pPr>
      <w:r>
        <w:rPr>
          <w:rFonts w:ascii="Times New Roman" w:hAnsi="Times New Roman"/>
          <w:b/>
          <w:color w:val="000000"/>
          <w:sz w:val="20"/>
        </w:rPr>
        <w:t>Seattle, WA 98121</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(206) 838-0500</w:t>
      </w:r>
    </w:p>
    <w:p>
      <w:pPr>
        <w:pStyle w:val="TextBody"/>
        <w:bidi w:val="0"/>
        <w:jc w:val="center"/>
        <w:rPr>
          <w:rFonts w:ascii="Times New Roman" w:hAnsi="Times New Roman"/>
          <w:color w:val="000000"/>
          <w:sz w:val="16"/>
        </w:rPr>
      </w:pPr>
      <w:r>
        <w:rPr>
          <w:rFonts w:ascii="Times New Roman" w:hAnsi="Times New Roman"/>
          <w:color w:val="000000"/>
          <w:sz w:val="16"/>
        </w:rPr>
        <w:t>(Name and address of agent for service) (Telephone number, including area code, of agent for service)</w:t>
      </w:r>
    </w:p>
    <w:p>
      <w:pPr>
        <w:pStyle w:val="TextBody"/>
        <w:bidi w:val="0"/>
        <w:jc w:val="center"/>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w:t>
        <w:noBreakHyphen/>
        <w:t>accelerated filer, a smaller reporting company, or an emerging growth company. See the definitions of “large accelerated filer,” “accelerated filer,” “smaller reporting company,” and “emerging growth company” in Rule 12b</w:t>
        <w:noBreakHyphen/>
        <w:t>2 of the Exchange Act.</w:t>
      </w:r>
    </w:p>
    <w:tbl>
      <w:tblPr>
        <w:tblW w:w="4905" w:type="dxa"/>
        <w:jc w:val="left"/>
        <w:tblInd w:w="0" w:type="dxa"/>
        <w:tblLayout w:type="fixed"/>
        <w:tblCellMar>
          <w:top w:w="28" w:type="dxa"/>
          <w:left w:w="28" w:type="dxa"/>
          <w:bottom w:w="28" w:type="dxa"/>
          <w:right w:w="28" w:type="dxa"/>
        </w:tblCellMar>
      </w:tblPr>
      <w:tblGrid>
        <w:gridCol w:w="1921"/>
        <w:gridCol w:w="241"/>
        <w:gridCol w:w="146"/>
        <w:gridCol w:w="2311"/>
        <w:gridCol w:w="286"/>
      </w:tblGrid>
      <w:tr>
        <w:trPr/>
        <w:tc>
          <w:tcPr>
            <w:tcW w:w="19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2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2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accelerated filer</w:t>
            </w:r>
          </w:p>
        </w:tc>
        <w:tc>
          <w:tcPr>
            <w:tcW w:w="2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2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2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4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jc w:val="both"/>
        <w:rPr>
          <w:rFonts w:ascii="Times New Roman" w:hAnsi="Times New Roman"/>
          <w:color w:val="000000"/>
          <w:sz w:val="20"/>
        </w:rPr>
      </w:pPr>
      <w:r>
        <w:rPr>
          <w:rFonts w:ascii="Times New Roman" w:hAnsi="Times New Roman"/>
          <w:color w:val="000000"/>
          <w:sz w:val="20"/>
        </w:rPr>
        <w:t>On July 12, 2024, Aptevo Therapeutics Inc. (the “Company” or the “Registrant”) filed a registration statement on Form S-8 (File No. 333-280789) with the Securities and Exchange Commission (the “Commission”) to register 12 shares (adjusted for the 1-for-37 reverse stock split effective December 3, 2024, the 1-for-20 reverse stock split effective May 23, 2025, and the 1-for-18 reverse stock split effective December 29, 2025) of the Company’s common stock, par value $0.001 per share (“Common Stock”), for issuance or sale pursuant to the Company’s Second Amended and Restated 2018 Stock Incentive Plan (the “Current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board of directors adopted, subject to approval by stockholders, the Third Amended and Restated 2018 Stock Incentive Plan (the “Third Amended Plan”), which the Company’s stockholders approved at the Company’s 2025 annual meeting of stockholders held on July 24, 2025. Below is a summary of the principal provisions of the Third Amended Plan:</w:t>
      </w:r>
    </w:p>
    <w:p>
      <w:pPr>
        <w:pStyle w:val="TextBody"/>
        <w:bidi w:val="0"/>
        <w:spacing w:before="240" w:after="240"/>
        <w:jc w:val="both"/>
        <w:rPr>
          <w:color w:val="000000"/>
        </w:rPr>
      </w:pPr>
      <w:r>
        <w:rPr>
          <w:color w:val="000000"/>
        </w:rPr>
        <w:t>•</w:t>
      </w:r>
    </w:p>
    <w:p>
      <w:pPr>
        <w:pStyle w:val="TextBody"/>
        <w:bidi w:val="0"/>
        <w:spacing w:before="240" w:after="240"/>
        <w:jc w:val="both"/>
        <w:rPr/>
      </w:pPr>
      <w:r>
        <w:rPr>
          <w:rFonts w:ascii="Times New Roman" w:hAnsi="Times New Roman"/>
          <w:i/>
          <w:color w:val="000000"/>
          <w:sz w:val="20"/>
        </w:rPr>
        <w:t xml:space="preserve">Increased authorized pool of shares. </w:t>
      </w:r>
      <w:r>
        <w:rPr>
          <w:rFonts w:ascii="Times New Roman" w:hAnsi="Times New Roman"/>
          <w:color w:val="000000"/>
          <w:sz w:val="20"/>
        </w:rPr>
        <w:t>The Third Amended Plan increased the number of shares authorized for issuance under the Current Plan by 13,888 (adjusted for the 1-for-18 reverse stock split effective December 29, 2025) shares of Common Stock.</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i/>
          <w:color w:val="000000"/>
          <w:sz w:val="20"/>
        </w:rPr>
        <w:t>No liberal share recycling of options or stock appreciation rights. S</w:t>
      </w:r>
      <w:r>
        <w:rPr>
          <w:rFonts w:ascii="Times New Roman" w:hAnsi="Times New Roman"/>
          <w:color w:val="000000"/>
          <w:sz w:val="20"/>
        </w:rPr>
        <w:t>hares underlying options and stock appreciation rights issued under the Third Amended Plan are not recycled into the share pool under the Third Amended Plan if they are withheld in payment of the exercise price of the award or to satisfy tax withholding obligations in respect of such awards.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i/>
          <w:color w:val="000000"/>
          <w:sz w:val="20"/>
        </w:rPr>
        <w:t>Restrictions on Dividends and Dividend Equivalents</w:t>
      </w:r>
      <w:r>
        <w:rPr>
          <w:rFonts w:ascii="Times New Roman" w:hAnsi="Times New Roman"/>
          <w:color w:val="000000"/>
          <w:sz w:val="20"/>
        </w:rPr>
        <w:t>. The Third Amended Plan prohibits participants from receiving current dividends or dividend equivalents that are paid before the underlying award vests and is paid.</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i/>
          <w:color w:val="000000"/>
          <w:sz w:val="20"/>
        </w:rPr>
        <w:t>Enhanced clawback provisions</w:t>
      </w:r>
      <w:r>
        <w:rPr>
          <w:rFonts w:ascii="Times New Roman" w:hAnsi="Times New Roman"/>
          <w:color w:val="000000"/>
          <w:sz w:val="20"/>
        </w:rPr>
        <w:t>. The Third Amended Plan includes recoupment, or “clawback” provision set forth in the Current Plan, under which any award agreement may provide for the cancellation or forfeiture of an award or the forfeiture and repayment to the Company of any gain related to an award, or other provisions intended to have a similar effect, upon such terms and conditions as may be determined by the Committee (as defined below) in accordance with any Company clawback policy (or successor policy) or otherwise, including as required by the Sarbanes-Oxley Act of 2002, the Dodd-Frank Wall Street Reform and Consumer Protection Act, or other applicable law, regulation or stock exchange listing requirement. This clawback provision also provides that participants in the Third Amended Plan agree to and acknowledge that they are obligated to cooperate with, and provide any and all assistance necessary to, the Company to recover or recoup any award or amount paid under the Third Amended Plan that becomes subject to clawback pursuant to any applicable law, government regulation, stock exchange listing requirement or policy of the Company, including, but not limited to, submitting documentation necessary to recover or recoup any such award.</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i/>
          <w:color w:val="000000"/>
          <w:sz w:val="20"/>
        </w:rPr>
        <w:t>New Term</w:t>
      </w:r>
      <w:r>
        <w:rPr>
          <w:rFonts w:ascii="Times New Roman" w:hAnsi="Times New Roman"/>
          <w:color w:val="000000"/>
          <w:sz w:val="20"/>
        </w:rPr>
        <w:t>. The Third Amended Plan also provides that awards may be granted pursuant to the Third Amended Plan until July 24, 2035.</w:t>
      </w:r>
    </w:p>
    <w:p>
      <w:pPr>
        <w:pStyle w:val="TextBody"/>
        <w:bidi w:val="0"/>
        <w:jc w:val="both"/>
        <w:rPr>
          <w:rFonts w:ascii="Times New Roman" w:hAnsi="Times New Roman"/>
          <w:color w:val="000000"/>
          <w:sz w:val="20"/>
        </w:rPr>
      </w:pPr>
      <w:r>
        <w:rPr>
          <w:rFonts w:ascii="Times New Roman" w:hAnsi="Times New Roman"/>
          <w:color w:val="000000"/>
          <w:sz w:val="20"/>
        </w:rPr>
        <w:t>The Company is filing this registration statement on Form S-8 (this “Registration Statement”) solely for the purpose of registering the 13,888 additional shares of Common Stock authorized for issuance under the Third Amended Plan. Pursuant to Rule 416(a) under the Securities Act of 1933, as amended (the “Securities Act”), this Registration Statement also includes an indeterminate number of additional shares of Common Stock that may become issuable under the Third Amended Plan by reason of anti-dilution and other adjustments.</w:t>
      </w:r>
    </w:p>
    <w:p>
      <w:pPr>
        <w:pStyle w:val="TextBody"/>
        <w:bidi w:val="0"/>
        <w:jc w:val="both"/>
        <w:rPr>
          <w:rFonts w:ascii="Times New Roman" w:hAnsi="Times New Roman"/>
          <w:color w:val="000000"/>
          <w:sz w:val="20"/>
        </w:rPr>
      </w:pPr>
      <w:r>
        <w:rPr>
          <w:rFonts w:ascii="Times New Roman" w:hAnsi="Times New Roman"/>
          <w:color w:val="000000"/>
          <w:sz w:val="20"/>
        </w:rPr>
        <w:t>Pursuant to General Instruction E of Form S-8, this Registration Statement hereby incorporates by reference the contents of the previously filed registration statements on Form S-8 filed with the Commission on August 8, 2018 (File No. 333-226717), June 7, 2022 (File No. 333-265468), and July 12, 2024 (File No. 333-280789), and the information required by Part II is omitted, except as supplemented by the information set forth below.</w:t>
      </w:r>
    </w:p>
    <w:p>
      <w:pPr>
        <w:pStyle w:val="TextBody"/>
        <w:bidi w:val="0"/>
        <w:jc w:val="both"/>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4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SECTION 10(a) PROSPECTUS</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information specified in Item 1 and Item 2 of Part I of Form S-8 is omitted from this Registration Statement in accordance with the provisions of Rule 428 under the Securities Act. The documents containing the information specified in Part I of Form S-8 will be delivered to the participants in the plans covered by this Registration Statement as specified by Rule 428(b)(1) under the Securities Act. </w:t>
      </w:r>
    </w:p>
    <w:p>
      <w:pPr>
        <w:pStyle w:val="TextBody"/>
        <w:bidi w:val="0"/>
        <w:spacing w:before="0" w:after="240"/>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3. Incorporation Of Certain Documents By Reference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documents filed by the Registrant with the Commission are incorporated by reference into this Registration Statement: </w:t>
      </w:r>
    </w:p>
    <w:p>
      <w:pPr>
        <w:pStyle w:val="TextBody"/>
        <w:bidi w:val="0"/>
        <w:jc w:val="both"/>
        <w:rPr/>
      </w:pPr>
      <w:r>
        <w:rPr>
          <w:rFonts w:ascii="Times New Roman" w:hAnsi="Times New Roman"/>
          <w:color w:val="000000"/>
          <w:sz w:val="20"/>
        </w:rPr>
        <w:t xml:space="preserve">(a) the Company’s </w:t>
      </w:r>
      <w:hyperlink r:id="rId10">
        <w:r>
          <w:rPr>
            <w:rStyle w:val="InternetLink"/>
            <w:rFonts w:ascii="Times New Roman" w:hAnsi="Times New Roman"/>
            <w:color w:val="0000FF"/>
            <w:sz w:val="20"/>
            <w:u w:val="single"/>
          </w:rPr>
          <w:t>Annual Report on Form 10-K</w:t>
        </w:r>
      </w:hyperlink>
      <w:r>
        <w:rPr>
          <w:rFonts w:ascii="Times New Roman" w:hAnsi="Times New Roman"/>
          <w:color w:val="000000"/>
          <w:sz w:val="20"/>
        </w:rPr>
        <w:t xml:space="preserve"> for the fiscal year ended December 31, 2025, filed on </w:t>
      </w:r>
      <w:hyperlink r:id="rId11">
        <w:r>
          <w:rPr>
            <w:rStyle w:val="InternetLink"/>
            <w:rFonts w:ascii="Times New Roman" w:hAnsi="Times New Roman"/>
            <w:color w:val="0000FF"/>
            <w:sz w:val="20"/>
            <w:u w:val="single"/>
          </w:rPr>
          <w:t>March 26, 2026</w:t>
        </w:r>
      </w:hyperlink>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rFonts w:ascii="Times New Roman" w:hAnsi="Times New Roman"/>
          <w:color w:val="000000"/>
          <w:sz w:val="20"/>
        </w:rPr>
        <w:t xml:space="preserve">(b) the Company’s Current Reports on Form 8-K filed on </w:t>
      </w:r>
      <w:hyperlink r:id="rId12">
        <w:r>
          <w:rPr>
            <w:rStyle w:val="InternetLink"/>
            <w:rFonts w:ascii="Times New Roman" w:hAnsi="Times New Roman"/>
            <w:color w:val="0000FF"/>
            <w:sz w:val="20"/>
            <w:u w:val="single"/>
          </w:rPr>
          <w:t>January 9, 2026</w:t>
        </w:r>
      </w:hyperlink>
      <w:r>
        <w:rPr>
          <w:rFonts w:ascii="Times New Roman" w:hAnsi="Times New Roman"/>
          <w:color w:val="000000"/>
          <w:sz w:val="20"/>
        </w:rPr>
        <w:t xml:space="preserve">, </w:t>
      </w:r>
      <w:hyperlink r:id="rId13">
        <w:r>
          <w:rPr>
            <w:rStyle w:val="InternetLink"/>
            <w:rFonts w:ascii="Times New Roman" w:hAnsi="Times New Roman"/>
            <w:color w:val="0000FF"/>
            <w:sz w:val="20"/>
            <w:u w:val="single"/>
          </w:rPr>
          <w:t>February 3, 2026</w:t>
        </w:r>
      </w:hyperlink>
      <w:r>
        <w:rPr>
          <w:rFonts w:ascii="Times New Roman" w:hAnsi="Times New Roman"/>
          <w:color w:val="000000"/>
          <w:sz w:val="20"/>
        </w:rPr>
        <w:t xml:space="preserve">, </w:t>
      </w:r>
      <w:hyperlink r:id="rId14">
        <w:r>
          <w:rPr>
            <w:rStyle w:val="InternetLink"/>
            <w:rFonts w:ascii="Times New Roman" w:hAnsi="Times New Roman"/>
            <w:color w:val="0000FF"/>
            <w:sz w:val="20"/>
            <w:u w:val="single"/>
          </w:rPr>
          <w:t>February 19, 2026</w:t>
        </w:r>
      </w:hyperlink>
      <w:r>
        <w:rPr>
          <w:rFonts w:ascii="Times New Roman" w:hAnsi="Times New Roman"/>
          <w:color w:val="000000"/>
          <w:sz w:val="20"/>
        </w:rPr>
        <w:t xml:space="preserve">, </w:t>
      </w:r>
      <w:hyperlink r:id="rId15">
        <w:r>
          <w:rPr>
            <w:rStyle w:val="InternetLink"/>
            <w:rFonts w:ascii="Times New Roman" w:hAnsi="Times New Roman"/>
            <w:color w:val="0000FF"/>
            <w:sz w:val="20"/>
            <w:u w:val="single"/>
          </w:rPr>
          <w:t>March 11, 2026</w:t>
        </w:r>
      </w:hyperlink>
      <w:r>
        <w:rPr>
          <w:rFonts w:ascii="Times New Roman" w:hAnsi="Times New Roman"/>
          <w:color w:val="000000"/>
          <w:sz w:val="20"/>
        </w:rPr>
        <w:t xml:space="preserve">, </w:t>
      </w:r>
      <w:hyperlink r:id="rId16">
        <w:r>
          <w:rPr>
            <w:rStyle w:val="InternetLink"/>
            <w:rFonts w:ascii="Times New Roman" w:hAnsi="Times New Roman"/>
            <w:color w:val="0000FF"/>
            <w:sz w:val="20"/>
            <w:u w:val="single"/>
          </w:rPr>
          <w:t>May 6, 2026</w:t>
        </w:r>
      </w:hyperlink>
      <w:r>
        <w:rPr>
          <w:rFonts w:ascii="Times New Roman" w:hAnsi="Times New Roman"/>
          <w:color w:val="000000"/>
          <w:sz w:val="20"/>
        </w:rPr>
        <w:t xml:space="preserve">, </w:t>
      </w:r>
      <w:hyperlink r:id="rId17">
        <w:r>
          <w:rPr>
            <w:rStyle w:val="InternetLink"/>
            <w:rFonts w:ascii="Times New Roman" w:hAnsi="Times New Roman"/>
            <w:color w:val="0000FF"/>
            <w:sz w:val="20"/>
            <w:u w:val="single"/>
          </w:rPr>
          <w:t>May 27, 2026</w:t>
        </w:r>
      </w:hyperlink>
      <w:r>
        <w:rPr>
          <w:rFonts w:ascii="Times New Roman" w:hAnsi="Times New Roman"/>
          <w:color w:val="000000"/>
          <w:sz w:val="20"/>
        </w:rPr>
        <w:t xml:space="preserve">, and </w:t>
      </w:r>
      <w:hyperlink r:id="rId18">
        <w:r>
          <w:rPr>
            <w:rStyle w:val="InternetLink"/>
            <w:rFonts w:ascii="Times New Roman" w:hAnsi="Times New Roman"/>
            <w:color w:val="0000FF"/>
            <w:sz w:val="20"/>
            <w:u w:val="single"/>
          </w:rPr>
          <w:t>June 30, 2026</w:t>
        </w:r>
      </w:hyperlink>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rFonts w:ascii="Times New Roman" w:hAnsi="Times New Roman"/>
          <w:color w:val="000000"/>
          <w:sz w:val="20"/>
        </w:rPr>
        <w:t xml:space="preserve">(c) the description of the Registrant’s Common Stock which is contained in </w:t>
      </w:r>
      <w:hyperlink r:id="rId19">
        <w:r>
          <w:rPr>
            <w:rStyle w:val="InternetLink"/>
            <w:rFonts w:ascii="Times New Roman" w:hAnsi="Times New Roman"/>
            <w:color w:val="0000FF"/>
            <w:sz w:val="20"/>
            <w:u w:val="single"/>
          </w:rPr>
          <w:t>Exhibit 4.10</w:t>
        </w:r>
      </w:hyperlink>
      <w:r>
        <w:rPr>
          <w:rFonts w:ascii="Times New Roman" w:hAnsi="Times New Roman"/>
          <w:color w:val="000000"/>
          <w:sz w:val="20"/>
        </w:rPr>
        <w:t xml:space="preserve"> to the Company’s Annual Report on Form 10-K for the fiscal year ended December 31, 2025;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Item 8.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15"/>
        <w:gridCol w:w="196"/>
        <w:gridCol w:w="9294"/>
      </w:tblGrid>
      <w:tr>
        <w:trPr/>
        <w:tc>
          <w:tcPr>
            <w:tcW w:w="7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94" w:type="dxa"/>
            <w:tcBorders/>
            <w:vAlign w:val="center"/>
          </w:tcPr>
          <w:p>
            <w:pPr>
              <w:pStyle w:val="TableContents"/>
              <w:bidi w:val="0"/>
              <w:spacing w:before="0" w:after="283"/>
              <w:jc w:val="left"/>
              <w:rPr>
                <w:sz w:val="4"/>
                <w:szCs w:val="4"/>
              </w:rPr>
            </w:pPr>
            <w:r>
              <w:rPr>
                <w:sz w:val="4"/>
                <w:szCs w:val="4"/>
              </w:rPr>
            </w:r>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pBdr>
                <w:bottom w:val="single" w:sz="6" w:space="1" w:color="000000"/>
              </w:pBdr>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3.1</w:t>
            </w:r>
            <w:r>
              <w:rPr>
                <w:rFonts w:ascii="Times New Roman" w:hAnsi="Times New Roman"/>
                <w:color w:val="000000"/>
                <w:sz w:val="13"/>
              </w:rPr>
              <w:t>(1)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Amended and Restated Certificate of Incorporation of Aptevo Therapeutics Inc.</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color w:val="000000"/>
                <w:sz w:val="21"/>
              </w:rPr>
              <w:t>3.2</w:t>
            </w:r>
            <w:r>
              <w:rPr>
                <w:rFonts w:ascii="Times New Roman" w:hAnsi="Times New Roman"/>
                <w:color w:val="000000"/>
                <w:sz w:val="14"/>
              </w:rPr>
              <w:t>(2)</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Certificate of Amendment of Amended and Restated Certificate of Incorporation of Aptevo Therapeutics Inc.</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3.3</w:t>
            </w:r>
            <w:r>
              <w:rPr>
                <w:rFonts w:ascii="Times New Roman" w:hAnsi="Times New Roman"/>
                <w:color w:val="000000"/>
                <w:sz w:val="13"/>
              </w:rPr>
              <w:t>(3)</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Certificate of Designation of Series A Junior Participating Preferred Stock of Aptevo Therapeutics Inc.</w:t>
              </w:r>
            </w:hyperlink>
            <w:hyperlink r:id="rId23">
              <w:r>
                <w:rPr>
                  <w:rStyle w:val="InternetLink"/>
                  <w:rFonts w:ascii="Times New Roman" w:hAnsi="Times New Roman"/>
                  <w:color w:val="0000FF"/>
                  <w:sz w:val="20"/>
                </w:rPr>
                <w:t xml:space="preserve"> </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3.4</w:t>
            </w:r>
            <w:r>
              <w:rPr>
                <w:rFonts w:ascii="Times New Roman" w:hAnsi="Times New Roman"/>
                <w:color w:val="000000"/>
                <w:sz w:val="13"/>
              </w:rPr>
              <w:t>(4)</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Certificate of Amendment of Amended and Restated Certificate of Incorporation of Aptevo Therapeutics, Inc.</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3.5</w:t>
            </w:r>
            <w:r>
              <w:rPr>
                <w:rFonts w:ascii="Times New Roman" w:hAnsi="Times New Roman"/>
                <w:color w:val="000000"/>
                <w:sz w:val="13"/>
              </w:rPr>
              <w:t>(5)</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Amended and Restated Bylaws of Aptevo Therapeutics Inc.</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20"/>
              </w:rPr>
              <w:t>3.6</w:t>
            </w:r>
            <w:r>
              <w:rPr>
                <w:rFonts w:ascii="Times New Roman" w:hAnsi="Times New Roman"/>
                <w:color w:val="000000"/>
                <w:sz w:val="13"/>
              </w:rPr>
              <w:t>(6)</w:t>
            </w:r>
          </w:p>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Certificate of Amendment of Amended and Restated Certificate of Incorporation of Aptevo Therapeutics, Inc.</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3.7</w:t>
            </w:r>
            <w:r>
              <w:rPr>
                <w:rFonts w:ascii="Times New Roman" w:hAnsi="Times New Roman"/>
                <w:color w:val="000000"/>
                <w:sz w:val="13"/>
              </w:rPr>
              <w:t>(7)</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Certificate of Amendment of Amended and Restated Certificate of Incorporation of Aptevo Therapeutics, Inc.</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3.8</w:t>
            </w:r>
            <w:r>
              <w:rPr>
                <w:rFonts w:ascii="Times New Roman" w:hAnsi="Times New Roman"/>
                <w:color w:val="000000"/>
                <w:sz w:val="13"/>
              </w:rPr>
              <w:t>(8)</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Amended and Restated Bylaws of Aptevo Therapeutics Inc.</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4.1</w:t>
            </w:r>
            <w:r>
              <w:rPr>
                <w:rFonts w:ascii="Times New Roman" w:hAnsi="Times New Roman"/>
                <w:color w:val="000000"/>
                <w:sz w:val="13"/>
              </w:rPr>
              <w:t>(9)</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Common Stock Certificate</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tcMar>
              <w:top w:w="0" w:type="dxa"/>
              <w:left w:w="0" w:type="dxa"/>
              <w:bottom w:w="0" w:type="dxa"/>
              <w:right w:w="0" w:type="dxa"/>
            </w:tcMar>
            <w:vAlign w:val="center"/>
          </w:tcPr>
          <w:p>
            <w:pPr>
              <w:pStyle w:val="TableContents"/>
              <w:bidi w:val="0"/>
              <w:spacing w:before="0" w:after="283"/>
              <w:jc w:val="both"/>
              <w:rPr/>
            </w:pPr>
            <w:hyperlink w:anchor="apvo-ex5_1.htm">
              <w:r>
                <w:rPr>
                  <w:rStyle w:val="InternetLink"/>
                  <w:rFonts w:ascii="Times New Roman" w:hAnsi="Times New Roman"/>
                  <w:color w:val="0000FF"/>
                  <w:sz w:val="20"/>
                  <w:u w:val="single"/>
                </w:rPr>
                <w:t>Opinion of Paul Hastings LLP, legal counsel of Registrant</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tcMar>
              <w:top w:w="0" w:type="dxa"/>
              <w:left w:w="0" w:type="dxa"/>
              <w:bottom w:w="0" w:type="dxa"/>
              <w:right w:w="0" w:type="dxa"/>
            </w:tcMar>
            <w:vAlign w:val="center"/>
          </w:tcPr>
          <w:p>
            <w:pPr>
              <w:pStyle w:val="TableContents"/>
              <w:bidi w:val="0"/>
              <w:spacing w:before="0" w:after="283"/>
              <w:jc w:val="both"/>
              <w:rPr/>
            </w:pPr>
            <w:hyperlink w:anchor="apvo-ex23_1.htm">
              <w:r>
                <w:rPr>
                  <w:rStyle w:val="InternetLink"/>
                  <w:rFonts w:ascii="Times New Roman" w:hAnsi="Times New Roman"/>
                  <w:color w:val="0000FF"/>
                  <w:sz w:val="20"/>
                  <w:u w:val="single"/>
                </w:rPr>
                <w:t>Consent of Baker Tilly US, LLP</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tcMar>
              <w:top w:w="0" w:type="dxa"/>
              <w:left w:w="0" w:type="dxa"/>
              <w:bottom w:w="0" w:type="dxa"/>
              <w:right w:w="0" w:type="dxa"/>
            </w:tcMar>
            <w:vAlign w:val="center"/>
          </w:tcPr>
          <w:p>
            <w:pPr>
              <w:pStyle w:val="TableContents"/>
              <w:bidi w:val="0"/>
              <w:spacing w:before="0" w:after="283"/>
              <w:jc w:val="both"/>
              <w:rPr/>
            </w:pPr>
            <w:hyperlink w:anchor="apvo-ex5_1.htm">
              <w:r>
                <w:rPr>
                  <w:rStyle w:val="InternetLink"/>
                  <w:rFonts w:ascii="Times New Roman" w:hAnsi="Times New Roman"/>
                  <w:color w:val="0000FF"/>
                  <w:sz w:val="20"/>
                  <w:u w:val="single"/>
                </w:rPr>
                <w:t>Consent of Paul Hastings LLP, legal counsel of Registrant (included in Exhibit 5.1)</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(see signature page hereto).</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99.1</w:t>
            </w:r>
            <w:r>
              <w:rPr>
                <w:rFonts w:ascii="Times New Roman" w:hAnsi="Times New Roman"/>
                <w:color w:val="000000"/>
                <w:sz w:val="13"/>
              </w:rPr>
              <w:t>(10)</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"https://www.sec.gov/ix?doc=/Archives/edgar/data/1671584/000095017025093924/apvo-20250702.htm" \l "apb"</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Third Amended and Restated 2018 Stock Incentive Plan</w:t>
            </w:r>
            <w:r>
              <w:rPr>
                <w:rStyle w:val="InternetLink"/>
                <w:sz w:val="20"/>
                <w:u w:val="single"/>
                <w:rFonts w:ascii="Times New Roman" w:hAnsi="Times New Roman"/>
                <w:color w:val="0000FF"/>
              </w:rPr>
              <w:fldChar w:fldCharType="end"/>
            </w:r>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94" w:type="dxa"/>
            <w:tcBorders>
              <w:bottom w:val="single" w:sz="4" w:space="0" w:color="000000"/>
            </w:tcBorders>
            <w:tcMar>
              <w:top w:w="0" w:type="dxa"/>
              <w:left w:w="0" w:type="dxa"/>
              <w:right w:w="0" w:type="dxa"/>
            </w:tcMar>
            <w:vAlign w:val="center"/>
          </w:tcPr>
          <w:p>
            <w:pPr>
              <w:pStyle w:val="TableContents"/>
              <w:bidi w:val="0"/>
              <w:jc w:val="left"/>
              <w:rPr/>
            </w:pPr>
            <w:hyperlink w:anchor="apvo_exfilingfees.htm">
              <w:r>
                <w:rPr>
                  <w:rStyle w:val="InternetLink"/>
                  <w:rFonts w:ascii="Times New Roman" w:hAnsi="Times New Roman"/>
                  <w:color w:val="0000FF"/>
                  <w:sz w:val="20"/>
                  <w:u w:val="single"/>
                </w:rPr>
                <w:t>Filing Fee Table</w:t>
              </w:r>
            </w:hyperlink>
          </w:p>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w:t>
            </w:r>
          </w:p>
        </w:tc>
        <w:tc>
          <w:tcPr>
            <w:tcW w:w="949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Previously filed as Exhibit 3.1 of the Registrant’s Form 8-K filed on August 2, 2016, File No. 001-37746 and incorporated herein by reference. </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w:t>
            </w:r>
          </w:p>
        </w:tc>
        <w:tc>
          <w:tcPr>
            <w:tcW w:w="949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Previously filed as Exhibit 3.1 of the Registrant’s Form 8-K filed on March 27, 2020, File No. 001-37746 and incorporated herein by reference.</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w:t>
            </w:r>
          </w:p>
        </w:tc>
        <w:tc>
          <w:tcPr>
            <w:tcW w:w="949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Previously filed as Exhibit 3.1 of the Registrant’s Form 8-K filed on November 9, 2020, File No. 001-37746 and incorporated herein by reference.</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w:t>
            </w:r>
          </w:p>
        </w:tc>
        <w:tc>
          <w:tcPr>
            <w:tcW w:w="949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Previously filed as Exhibit 3.1 of the Registrant’s Form 8-K filed on March 5, 2024, File No. 001-37746 and incorporated herein by reference.</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(5)</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Previously filed as Exhibit 3.1 of the Registrant’s Form 8-K filed on December 3, 2024, File No. 001-37746 and incorporated herein by reference.</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(6)</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Previously filed as Exhibit 3.1 of the Registrant’s Form 8-K filed on May 23, 2025, File No. 001-37746 and incorporated herein by reference.</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(7)</w:t>
            </w:r>
          </w:p>
        </w:tc>
        <w:tc>
          <w:tcPr>
            <w:tcW w:w="9490"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Previously filed as Exhibit 3.1 of the Registrant’s Form 8-K filed on December 29, 2025, File No. 001-37746 and incorporated herein by reference.</w:t>
            </w:r>
          </w:p>
          <w:p>
            <w:pPr>
              <w:pStyle w:val="TableContents"/>
              <w:bidi w:val="0"/>
              <w:spacing w:before="0" w:after="283"/>
              <w:jc w:val="both"/>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Previously filed as Exhibit 3.1 of the Registrant’s Form 10-Q filed on November 10, 2022, File No. 001-37746 and incorporated herein by reference. </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Previously filed as Exhibit 4.1 of the Registrant’s Form 10 filed on June 29, 2016, File No. 001-37746 and incorporated herein by reference. </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w:t>
            </w:r>
          </w:p>
        </w:tc>
        <w:tc>
          <w:tcPr>
            <w:tcW w:w="9490" w:type="dxa"/>
            <w:gridSpan w:val="2"/>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Previously filed as Appendix B of the Registrant’s Definitive Proxy Statement on Schedule 14A filed on July 3, 2025, File No. 001-37746 and incorporated herein by reference. </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4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center"/>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this 24</w:t>
      </w:r>
      <w:r>
        <w:rPr>
          <w:rFonts w:ascii="Times New Roman" w:hAnsi="Times New Roman"/>
          <w:color w:val="000000"/>
          <w:sz w:val="13"/>
        </w:rPr>
        <w:t>th</w:t>
      </w:r>
      <w:r>
        <w:rPr>
          <w:rFonts w:ascii="Times New Roman" w:hAnsi="Times New Roman"/>
          <w:color w:val="000000"/>
          <w:sz w:val="20"/>
        </w:rPr>
        <w:t xml:space="preserve"> day of July, 2026. </w:t>
      </w:r>
    </w:p>
    <w:tbl>
      <w:tblPr>
        <w:tblW w:w="3778" w:type="dxa"/>
        <w:jc w:val="left"/>
        <w:tblInd w:w="0" w:type="dxa"/>
        <w:tblLayout w:type="fixed"/>
        <w:tblCellMar>
          <w:top w:w="28" w:type="dxa"/>
          <w:left w:w="28" w:type="dxa"/>
          <w:bottom w:w="28" w:type="dxa"/>
          <w:right w:w="28" w:type="dxa"/>
        </w:tblCellMar>
      </w:tblPr>
      <w:tblGrid>
        <w:gridCol w:w="161"/>
        <w:gridCol w:w="406"/>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3617"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Aptevo Therapeutics Inc.</w:t>
            </w:r>
          </w:p>
        </w:tc>
      </w:tr>
      <w:tr>
        <w:trPr/>
        <w:tc>
          <w:tcPr>
            <w:tcW w:w="161"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Jeffrey G. Lamothe</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G. Lamothe</w:t>
              <w:br/>
              <w:t>President and Chief Executive Officer</w:t>
            </w:r>
          </w:p>
        </w:tc>
      </w:tr>
    </w:tbl>
    <w:p>
      <w:pPr>
        <w:pStyle w:val="TextBody"/>
        <w:bidi w:val="0"/>
        <w:jc w:val="left"/>
        <w:rPr/>
      </w:pPr>
      <w:r>
        <w:rPr/>
        <w:t> </w:t>
      </w:r>
    </w:p>
    <w:p>
      <w:pPr>
        <w:pStyle w:val="TextBody"/>
        <w:bidi w:val="0"/>
        <w:spacing w:before="0" w:after="200"/>
        <w:jc w:val="center"/>
        <w:rPr>
          <w:rFonts w:ascii="Times New Roman" w:hAnsi="Times New Roman"/>
          <w:b/>
          <w:color w:val="000000"/>
          <w:sz w:val="20"/>
        </w:rPr>
      </w:pPr>
      <w:bookmarkStart w:id="2" w:name="power_of_attorney"/>
      <w:bookmarkEnd w:id="2"/>
      <w:r>
        <w:rPr>
          <w:rFonts w:ascii="Times New Roman" w:hAnsi="Times New Roman"/>
          <w:b/>
          <w:color w:val="000000"/>
          <w:sz w:val="20"/>
        </w:rPr>
        <w:t>POWER OF ATTORNEY</w:t>
      </w:r>
    </w:p>
    <w:p>
      <w:pPr>
        <w:pStyle w:val="TextBody"/>
        <w:bidi w:val="0"/>
        <w:jc w:val="both"/>
        <w:rPr>
          <w:rFonts w:ascii="Times New Roman" w:hAnsi="Times New Roman"/>
          <w:sz w:val="20"/>
        </w:rPr>
      </w:pPr>
      <w:r>
        <w:rPr>
          <w:rFonts w:ascii="Times New Roman" w:hAnsi="Times New Roman"/>
          <w:b/>
          <w:color w:val="000000"/>
          <w:sz w:val="20"/>
        </w:rPr>
        <w:t>KNOW ALL PERSONS BY THESE PRESENTS</w:t>
      </w:r>
      <w:r>
        <w:rPr>
          <w:rFonts w:ascii="Times New Roman" w:hAnsi="Times New Roman"/>
          <w:color w:val="000000"/>
          <w:sz w:val="20"/>
        </w:rPr>
        <w:t>, that each person whose signature appears below constitutes and appoints Jeffrey G. Lamothe, Daphne Taylor, and SoYoung Kwon and each of them, each with full power to act without the other, his or her true and lawful attorneys-in-fact and agents, each with full power of substitution and resubstitution, for such person and in his or her name, place and stead, in any and all capacities, to sign any amendments to this registration statement, and to sign any registration statement for the same offering covered by this registration statement, including post-effective amendments or registration statements filed pursuant to Rule 462(b) under the Securities Act of 1933, and to file the same, with all exhibits thereto and other documents in connection therewith, with the Securities and Exchange Commission, hereby ratifying and confirming that each of said such attorneys-in-fact and agents or his or her substitute or substitutes, may do or cause to be done by virtue hereof.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Pursuant to the requirements of the Securities Act of 1933, as amended, this Registration Statement has been signed by the following persons in the capacities on the 24</w:t>
      </w:r>
      <w:r>
        <w:rPr>
          <w:rFonts w:ascii="Times New Roman" w:hAnsi="Times New Roman"/>
          <w:color w:val="000000"/>
          <w:sz w:val="13"/>
        </w:rPr>
        <w:t xml:space="preserve">th </w:t>
      </w:r>
      <w:r>
        <w:rPr>
          <w:rFonts w:ascii="Times New Roman" w:hAnsi="Times New Roman"/>
          <w:color w:val="000000"/>
          <w:sz w:val="20"/>
        </w:rPr>
        <w:t>day of July, 2026.</w:t>
      </w:r>
    </w:p>
    <w:p>
      <w:pPr>
        <w:pStyle w:val="TextBody"/>
        <w:bidi w:val="0"/>
        <w:jc w:val="both"/>
        <w:rPr/>
      </w:pPr>
      <w:r>
        <w:rPr/>
        <w:t> </w:t>
      </w:r>
    </w:p>
    <w:p>
      <w:pPr>
        <w:pStyle w:val="TextBody"/>
        <w:bidi w:val="0"/>
        <w:jc w:val="both"/>
        <w:rPr/>
      </w:pPr>
      <w:r>
        <w:rPr/>
        <w:t> </w:t>
      </w:r>
    </w:p>
    <w:tbl>
      <w:tblPr>
        <w:tblW w:w="6823" w:type="dxa"/>
        <w:jc w:val="left"/>
        <w:tblInd w:w="0" w:type="dxa"/>
        <w:tblLayout w:type="fixed"/>
        <w:tblCellMar>
          <w:top w:w="28" w:type="dxa"/>
          <w:left w:w="28" w:type="dxa"/>
          <w:bottom w:w="28" w:type="dxa"/>
          <w:right w:w="28" w:type="dxa"/>
        </w:tblCellMar>
      </w:tblPr>
      <w:tblGrid>
        <w:gridCol w:w="2491"/>
        <w:gridCol w:w="146"/>
        <w:gridCol w:w="4186"/>
      </w:tblGrid>
      <w:tr>
        <w:trPr/>
        <w:tc>
          <w:tcPr>
            <w:tcW w:w="24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186" w:type="dxa"/>
            <w:tcBorders/>
            <w:shd w:fill="FFFFFF" w:val="clear"/>
            <w:vAlign w:val="center"/>
          </w:tcPr>
          <w:p>
            <w:pPr>
              <w:pStyle w:val="TableContents"/>
              <w:bidi w:val="0"/>
              <w:spacing w:before="0" w:after="283"/>
              <w:jc w:val="left"/>
              <w:rPr>
                <w:sz w:val="4"/>
                <w:szCs w:val="4"/>
              </w:rPr>
            </w:pPr>
            <w:r>
              <w:rPr>
                <w:sz w:val="4"/>
                <w:szCs w:val="4"/>
              </w:rPr>
            </w:r>
          </w:p>
        </w:tc>
      </w:tr>
      <w:tr>
        <w:trPr/>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/s/Jeffrey G. Lamothe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President, Chief Executive Officer and Director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Jeffrey G. Lamothe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(Principal Executive Officer)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Daphne Taylor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Senior Vice President and Chief Financial Officer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Daphne Taylor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(Principal Financial and Accounting Officer)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/s/Marvin L. White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Marvin L. White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/s/John E. Niederhuber, M.D.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Lead Independent Director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John E. Niederhuber,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/s/Daniel J. Abdun-Nabi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Daniel J. Abdun-Nabi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/s/Grady Grant, III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Grady Grant,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/s/Zsolt Harsanyi, Ph. 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Zsolt Harsanyi, Ph.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/s/Barbara Lopez Kunz</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Barbara Lopez Kunz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3" w:name="apvo-ex5_1.htm"/>
      <w:bookmarkStart w:id="4" w:name="ksapvoex5_1"/>
      <w:bookmarkEnd w:id="3"/>
      <w:bookmarkEnd w:id="4"/>
      <w:r>
        <w:rPr/>
        <w:t> </w:t>
      </w:r>
      <w:r>
        <w:br w:type="page"/>
      </w:r>
    </w:p>
    <w:p>
      <w:pPr>
        <w:pStyle w:val="TextBody"/>
        <w:bidi w:val="0"/>
        <w:spacing w:before="0" w:after="240"/>
        <w:jc w:val="right"/>
        <w:rPr>
          <w:rFonts w:ascii="Arial" w:hAnsi="Arial"/>
          <w:b/>
          <w:color w:val="000000"/>
          <w:sz w:val="20"/>
        </w:rPr>
      </w:pPr>
      <w:r>
        <w:rPr>
          <w:rFonts w:ascii="Arial" w:hAnsi="Arial"/>
          <w:b/>
          <w:color w:val="000000"/>
          <w:sz w:val="20"/>
        </w:rPr>
        <w:t>Exhibit 5.1</w:t>
      </w:r>
    </w:p>
    <w:p>
      <w:pPr>
        <w:pStyle w:val="TextBody"/>
        <w:bidi w:val="0"/>
        <w:spacing w:before="0" w:after="360"/>
        <w:jc w:val="left"/>
        <w:rPr>
          <w:rFonts w:ascii="Arial" w:hAnsi="Arial"/>
          <w:color w:val="000000"/>
          <w:sz w:val="20"/>
        </w:rPr>
      </w:pPr>
      <w:r>
        <w:rPr>
          <w:rFonts w:ascii="Arial" w:hAnsi="Arial"/>
          <w:color w:val="000000"/>
          <w:sz w:val="20"/>
        </w:rPr>
        <w:t>July 24, 2026</w:t>
      </w:r>
    </w:p>
    <w:p>
      <w:pPr>
        <w:pStyle w:val="TextBody"/>
        <w:bidi w:val="0"/>
        <w:jc w:val="left"/>
        <w:rPr>
          <w:rFonts w:ascii="Arial" w:hAnsi="Arial"/>
          <w:color w:val="000000"/>
          <w:sz w:val="20"/>
        </w:rPr>
      </w:pPr>
      <w:r>
        <w:rPr>
          <w:rFonts w:ascii="Arial" w:hAnsi="Arial"/>
          <w:color w:val="000000"/>
          <w:sz w:val="20"/>
        </w:rPr>
        <w:t>Aptevo Therapeutics Inc.</w:t>
      </w:r>
    </w:p>
    <w:p>
      <w:pPr>
        <w:pStyle w:val="TextBody"/>
        <w:pBdr/>
        <w:bidi w:val="0"/>
        <w:ind w:left="0" w:right="115" w:hanging="720"/>
        <w:jc w:val="left"/>
        <w:rPr>
          <w:rFonts w:ascii="Arial" w:hAnsi="Arial"/>
          <w:color w:val="000000"/>
          <w:sz w:val="20"/>
        </w:rPr>
      </w:pPr>
      <w:r>
        <w:rPr>
          <w:rFonts w:ascii="Arial" w:hAnsi="Arial"/>
          <w:color w:val="000000"/>
          <w:sz w:val="20"/>
        </w:rPr>
        <w:t>2401 4th Avenue, Suite 1050</w:t>
      </w:r>
    </w:p>
    <w:p>
      <w:pPr>
        <w:pStyle w:val="TextBody"/>
        <w:pBdr/>
        <w:bidi w:val="0"/>
        <w:spacing w:before="0" w:after="240"/>
        <w:ind w:left="0" w:right="115" w:hanging="720"/>
        <w:jc w:val="left"/>
        <w:rPr>
          <w:rFonts w:ascii="Arial" w:hAnsi="Arial"/>
          <w:color w:val="000000"/>
          <w:sz w:val="20"/>
        </w:rPr>
      </w:pPr>
      <w:r>
        <w:rPr>
          <w:rFonts w:ascii="Arial" w:hAnsi="Arial"/>
          <w:color w:val="000000"/>
          <w:sz w:val="20"/>
        </w:rPr>
        <w:t>Seattle, Washington 98121</w:t>
      </w:r>
    </w:p>
    <w:p>
      <w:pPr>
        <w:pStyle w:val="TextBody"/>
        <w:pBdr/>
        <w:bidi w:val="0"/>
        <w:spacing w:before="0" w:after="240"/>
        <w:ind w:left="0" w:right="115" w:hanging="720"/>
        <w:jc w:val="left"/>
        <w:rPr>
          <w:rFonts w:ascii="Arial" w:hAnsi="Arial"/>
          <w:color w:val="000000"/>
          <w:sz w:val="20"/>
        </w:rPr>
      </w:pPr>
      <w:r>
        <w:rPr>
          <w:rFonts w:ascii="Arial" w:hAnsi="Arial"/>
          <w:color w:val="000000"/>
          <w:sz w:val="20"/>
        </w:rPr>
        <w:t>Re: Registration Statement on Form S-8</w:t>
      </w:r>
    </w:p>
    <w:p>
      <w:pPr>
        <w:pStyle w:val="TextBody"/>
        <w:bidi w:val="0"/>
        <w:spacing w:before="0" w:after="240"/>
        <w:jc w:val="left"/>
        <w:rPr>
          <w:rFonts w:ascii="Times New Roman" w:hAnsi="Times New Roman"/>
          <w:sz w:val="20"/>
        </w:rPr>
      </w:pPr>
      <w:r>
        <w:rPr>
          <w:rFonts w:ascii="Arial" w:hAnsi="Arial"/>
          <w:color w:val="000000"/>
          <w:sz w:val="20"/>
        </w:rPr>
        <w:t>Ladies and Gentlemen: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We have acted as counsel to Aptevo Therapeutics Inc., a Delaware corporation (the “</w:t>
      </w:r>
      <w:r>
        <w:rPr>
          <w:rFonts w:ascii="Arial" w:hAnsi="Arial"/>
          <w:b/>
          <w:i/>
          <w:color w:val="000000"/>
          <w:sz w:val="20"/>
        </w:rPr>
        <w:t>Company</w:t>
      </w:r>
      <w:r>
        <w:rPr>
          <w:rFonts w:ascii="Times New Roman" w:hAnsi="Times New Roman"/>
          <w:color w:val="000000"/>
          <w:sz w:val="20"/>
        </w:rPr>
        <w:t>”</w:t>
      </w:r>
      <w:r>
        <w:rPr>
          <w:rFonts w:ascii="Arial" w:hAnsi="Arial"/>
          <w:color w:val="000000"/>
          <w:sz w:val="20"/>
        </w:rPr>
        <w:t>), in connection with the preparation of the registration statement on Form S-8 to be filed by the Company with the U.S. Securities and Exchange Commission (the “</w:t>
      </w:r>
      <w:r>
        <w:rPr>
          <w:rFonts w:ascii="Arial" w:hAnsi="Arial"/>
          <w:b/>
          <w:i/>
          <w:color w:val="000000"/>
          <w:sz w:val="20"/>
        </w:rPr>
        <w:t>Commission</w:t>
      </w:r>
      <w:r>
        <w:rPr>
          <w:rFonts w:ascii="Times New Roman" w:hAnsi="Times New Roman"/>
          <w:color w:val="000000"/>
          <w:sz w:val="20"/>
        </w:rPr>
        <w:t>”</w:t>
      </w:r>
      <w:r>
        <w:rPr>
          <w:rFonts w:ascii="Arial" w:hAnsi="Arial"/>
          <w:color w:val="000000"/>
          <w:sz w:val="20"/>
        </w:rPr>
        <w:t>) on or about the date hereof (the “</w:t>
      </w:r>
      <w:r>
        <w:rPr>
          <w:rFonts w:ascii="Arial" w:hAnsi="Arial"/>
          <w:b/>
          <w:i/>
          <w:color w:val="000000"/>
          <w:sz w:val="20"/>
        </w:rPr>
        <w:t>Registration Statement</w:t>
      </w:r>
      <w:r>
        <w:rPr>
          <w:rFonts w:ascii="Times New Roman" w:hAnsi="Times New Roman"/>
          <w:color w:val="000000"/>
          <w:sz w:val="20"/>
        </w:rPr>
        <w:t>”</w:t>
      </w:r>
      <w:r>
        <w:rPr>
          <w:rFonts w:ascii="Arial" w:hAnsi="Arial"/>
          <w:color w:val="000000"/>
          <w:sz w:val="20"/>
        </w:rPr>
        <w:t>) to effect registration under the Securities Act of 1933, as amended (the “</w:t>
      </w:r>
      <w:r>
        <w:rPr>
          <w:rFonts w:ascii="Arial" w:hAnsi="Arial"/>
          <w:b/>
          <w:i/>
          <w:color w:val="000000"/>
          <w:sz w:val="20"/>
        </w:rPr>
        <w:t>Securities Act</w:t>
      </w:r>
      <w:r>
        <w:rPr>
          <w:rFonts w:ascii="Times New Roman" w:hAnsi="Times New Roman"/>
          <w:color w:val="000000"/>
          <w:sz w:val="20"/>
        </w:rPr>
        <w:t>”</w:t>
      </w:r>
      <w:r>
        <w:rPr>
          <w:rFonts w:ascii="Arial" w:hAnsi="Arial"/>
          <w:color w:val="000000"/>
          <w:sz w:val="20"/>
        </w:rPr>
        <w:t>), of an aggregate of 13,888 shares (the “</w:t>
      </w:r>
      <w:r>
        <w:rPr>
          <w:rFonts w:ascii="Arial" w:hAnsi="Arial"/>
          <w:b/>
          <w:i/>
          <w:color w:val="000000"/>
          <w:sz w:val="20"/>
        </w:rPr>
        <w:t>Shares</w:t>
      </w:r>
      <w:r>
        <w:rPr>
          <w:rFonts w:ascii="Times New Roman" w:hAnsi="Times New Roman"/>
          <w:color w:val="000000"/>
          <w:sz w:val="20"/>
        </w:rPr>
        <w:t>”</w:t>
      </w:r>
      <w:r>
        <w:rPr>
          <w:rFonts w:ascii="Arial" w:hAnsi="Arial"/>
          <w:color w:val="000000"/>
          <w:sz w:val="20"/>
        </w:rPr>
        <w:t>) of the Company’s common stock, $0.001 par value per share (“</w:t>
      </w:r>
      <w:r>
        <w:rPr>
          <w:rFonts w:ascii="Arial" w:hAnsi="Arial"/>
          <w:b/>
          <w:i/>
          <w:color w:val="000000"/>
          <w:sz w:val="20"/>
        </w:rPr>
        <w:t>Common Stock</w:t>
      </w:r>
      <w:r>
        <w:rPr>
          <w:rFonts w:ascii="Times New Roman" w:hAnsi="Times New Roman"/>
          <w:color w:val="000000"/>
          <w:sz w:val="20"/>
        </w:rPr>
        <w:t>”</w:t>
      </w:r>
      <w:r>
        <w:rPr>
          <w:rFonts w:ascii="Arial" w:hAnsi="Arial"/>
          <w:color w:val="000000"/>
          <w:sz w:val="20"/>
        </w:rPr>
        <w:t>), reserved for issuance under the Company’s Third Amended and Restated 2018 Stock Incentive Plan (the “</w:t>
      </w:r>
      <w:r>
        <w:rPr>
          <w:rFonts w:ascii="Arial" w:hAnsi="Arial"/>
          <w:b/>
          <w:i/>
          <w:color w:val="000000"/>
          <w:sz w:val="20"/>
        </w:rPr>
        <w:t>Third Amended</w:t>
      </w:r>
      <w:r>
        <w:rPr>
          <w:rFonts w:ascii="Times New Roman" w:hAnsi="Times New Roman"/>
          <w:color w:val="000000"/>
          <w:sz w:val="20"/>
        </w:rPr>
        <w:t xml:space="preserve"> </w:t>
      </w:r>
      <w:r>
        <w:rPr>
          <w:rFonts w:ascii="Arial" w:hAnsi="Arial"/>
          <w:b/>
          <w:i/>
          <w:color w:val="000000"/>
          <w:sz w:val="20"/>
        </w:rPr>
        <w:t>Plan</w:t>
      </w:r>
      <w:r>
        <w:rPr>
          <w:rFonts w:ascii="Times New Roman" w:hAnsi="Times New Roman"/>
          <w:color w:val="000000"/>
          <w:sz w:val="20"/>
        </w:rPr>
        <w:t>”</w:t>
      </w:r>
      <w:r>
        <w:rPr>
          <w:rFonts w:ascii="Arial" w:hAnsi="Arial"/>
          <w:color w:val="000000"/>
          <w:sz w:val="20"/>
        </w:rPr>
        <w:t>) as a result of an increase of the number of shares available for grant and issuance under the Third Amended Plan, which was adopted by the Company’s board of directors and approved by the Company’s stockholders at the Company’s 2025 annual meeting of stockholders held on July 24, 2025.</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As such counsel and for purposes of our opinion set forth below, we have examined and relied upon originals or copies, certified or otherwise identified to our satisfaction, of such documents, resolutions, certificates and instruments of the Company and corporate records furnished to us by the Company, and have reviewed certificates of public officials, statutes, records and such other instruments and documents as we have deemed necessary or appropriate as a basis for the opinion set forth below, including, without limitation:</w:t>
      </w:r>
    </w:p>
    <w:p>
      <w:pPr>
        <w:pStyle w:val="TextBody"/>
        <w:bidi w:val="0"/>
        <w:spacing w:before="0" w:after="240"/>
        <w:ind w:left="720" w:right="0" w:hanging="0"/>
        <w:jc w:val="both"/>
        <w:rPr>
          <w:rFonts w:ascii="Arial" w:hAnsi="Arial"/>
          <w:color w:val="000000"/>
          <w:sz w:val="20"/>
        </w:rPr>
      </w:pPr>
      <w:r>
        <w:rPr>
          <w:rFonts w:ascii="Arial" w:hAnsi="Arial"/>
          <w:color w:val="000000"/>
          <w:sz w:val="20"/>
        </w:rPr>
        <w:t>(i)</w:t>
      </w:r>
    </w:p>
    <w:p>
      <w:pPr>
        <w:pStyle w:val="TextBody"/>
        <w:bidi w:val="0"/>
        <w:spacing w:before="0" w:after="240"/>
        <w:jc w:val="both"/>
        <w:rPr>
          <w:rFonts w:ascii="Arial" w:hAnsi="Arial"/>
          <w:color w:val="000000"/>
          <w:sz w:val="20"/>
        </w:rPr>
      </w:pPr>
      <w:r>
        <w:rPr>
          <w:rFonts w:ascii="Arial" w:hAnsi="Arial"/>
          <w:color w:val="000000"/>
          <w:sz w:val="20"/>
        </w:rPr>
        <w:t>the Registration Statement;</w:t>
      </w:r>
    </w:p>
    <w:p>
      <w:pPr>
        <w:pStyle w:val="TextBody"/>
        <w:bidi w:val="0"/>
        <w:spacing w:before="0" w:after="240"/>
        <w:ind w:left="720" w:right="0" w:hanging="0"/>
        <w:jc w:val="both"/>
        <w:rPr>
          <w:rFonts w:ascii="Arial" w:hAnsi="Arial"/>
          <w:color w:val="000000"/>
          <w:sz w:val="20"/>
        </w:rPr>
      </w:pPr>
      <w:r>
        <w:rPr>
          <w:rFonts w:ascii="Arial" w:hAnsi="Arial"/>
          <w:color w:val="000000"/>
          <w:sz w:val="20"/>
        </w:rPr>
        <w:t>(ii)</w:t>
      </w:r>
    </w:p>
    <w:p>
      <w:pPr>
        <w:pStyle w:val="TextBody"/>
        <w:bidi w:val="0"/>
        <w:spacing w:before="0" w:after="240"/>
        <w:jc w:val="both"/>
        <w:rPr/>
      </w:pPr>
      <w:r>
        <w:rPr>
          <w:rFonts w:ascii="Arial" w:hAnsi="Arial"/>
          <w:color w:val="000000"/>
          <w:sz w:val="20"/>
        </w:rPr>
        <w:t>the Amended and Restated Certificate of Incorporation of the Company (the “</w:t>
      </w:r>
      <w:r>
        <w:rPr>
          <w:rFonts w:ascii="Arial" w:hAnsi="Arial"/>
          <w:b/>
          <w:i/>
          <w:color w:val="000000"/>
          <w:sz w:val="20"/>
        </w:rPr>
        <w:t>Certificate of Incorporation</w:t>
      </w:r>
      <w:r>
        <w:rPr>
          <w:color w:val="000000"/>
        </w:rPr>
        <w:t>”</w:t>
      </w:r>
      <w:r>
        <w:rPr>
          <w:rFonts w:ascii="Arial" w:hAnsi="Arial"/>
          <w:color w:val="000000"/>
          <w:sz w:val="20"/>
        </w:rPr>
        <w:t>), as certified by an officer of the Company as of the date hereof;</w:t>
      </w:r>
    </w:p>
    <w:p>
      <w:pPr>
        <w:pStyle w:val="TextBody"/>
        <w:bidi w:val="0"/>
        <w:spacing w:before="0" w:after="240"/>
        <w:ind w:left="720" w:right="0" w:hanging="0"/>
        <w:jc w:val="both"/>
        <w:rPr>
          <w:rFonts w:ascii="Arial" w:hAnsi="Arial"/>
          <w:color w:val="000000"/>
          <w:sz w:val="20"/>
        </w:rPr>
      </w:pPr>
      <w:r>
        <w:rPr>
          <w:rFonts w:ascii="Arial" w:hAnsi="Arial"/>
          <w:color w:val="000000"/>
          <w:sz w:val="20"/>
        </w:rPr>
        <w:t>(iii)</w:t>
      </w:r>
    </w:p>
    <w:p>
      <w:pPr>
        <w:pStyle w:val="TextBody"/>
        <w:bidi w:val="0"/>
        <w:spacing w:before="0" w:after="240"/>
        <w:jc w:val="both"/>
        <w:rPr>
          <w:rFonts w:ascii="Arial" w:hAnsi="Arial"/>
          <w:color w:val="000000"/>
          <w:sz w:val="20"/>
        </w:rPr>
      </w:pPr>
      <w:r>
        <w:rPr>
          <w:rFonts w:ascii="Arial" w:hAnsi="Arial"/>
          <w:color w:val="000000"/>
          <w:sz w:val="20"/>
        </w:rPr>
        <w:t>the Amended and Restated Bylaws of the Company as presently in effect, as certified by an officer of the Company as of the date hereof;</w:t>
      </w:r>
    </w:p>
    <w:p>
      <w:pPr>
        <w:pStyle w:val="TextBody"/>
        <w:bidi w:val="0"/>
        <w:spacing w:before="0" w:after="240"/>
        <w:ind w:left="720" w:right="0" w:hanging="0"/>
        <w:jc w:val="both"/>
        <w:rPr>
          <w:rFonts w:ascii="Arial" w:hAnsi="Arial"/>
          <w:color w:val="000000"/>
          <w:sz w:val="20"/>
        </w:rPr>
      </w:pPr>
      <w:r>
        <w:rPr>
          <w:rFonts w:ascii="Arial" w:hAnsi="Arial"/>
          <w:color w:val="000000"/>
          <w:sz w:val="20"/>
        </w:rPr>
        <w:t>(iv)</w:t>
      </w:r>
    </w:p>
    <w:p>
      <w:pPr>
        <w:pStyle w:val="TextBody"/>
        <w:bidi w:val="0"/>
        <w:spacing w:before="0" w:after="240"/>
        <w:jc w:val="both"/>
        <w:rPr>
          <w:rFonts w:ascii="Arial" w:hAnsi="Arial"/>
          <w:color w:val="000000"/>
          <w:sz w:val="20"/>
        </w:rPr>
      </w:pPr>
      <w:r>
        <w:rPr>
          <w:rFonts w:ascii="Arial" w:hAnsi="Arial"/>
          <w:color w:val="000000"/>
          <w:sz w:val="20"/>
        </w:rPr>
        <w:t>the Third Amended Plan;</w:t>
      </w:r>
    </w:p>
    <w:p>
      <w:pPr>
        <w:pStyle w:val="TextBody"/>
        <w:bidi w:val="0"/>
        <w:spacing w:before="0" w:after="240"/>
        <w:ind w:left="720" w:right="0" w:hanging="0"/>
        <w:jc w:val="both"/>
        <w:rPr>
          <w:rFonts w:ascii="Arial" w:hAnsi="Arial"/>
          <w:color w:val="000000"/>
          <w:sz w:val="20"/>
        </w:rPr>
      </w:pPr>
      <w:r>
        <w:rPr>
          <w:rFonts w:ascii="Arial" w:hAnsi="Arial"/>
          <w:color w:val="000000"/>
          <w:sz w:val="20"/>
        </w:rPr>
        <w:t>(v)</w:t>
      </w:r>
    </w:p>
    <w:p>
      <w:pPr>
        <w:pStyle w:val="TextBody"/>
        <w:bidi w:val="0"/>
        <w:spacing w:before="0" w:after="240"/>
        <w:jc w:val="both"/>
        <w:rPr/>
      </w:pPr>
      <w:r>
        <w:rPr>
          <w:rFonts w:ascii="Arial" w:hAnsi="Arial"/>
          <w:color w:val="000000"/>
          <w:sz w:val="20"/>
        </w:rPr>
        <w:t>a certificate, dated as of the date hereof, from the Office of the Secretary of State of the State of Delaware, certifying as to the existence and good standing of the Company in the State of Delaware (the “</w:t>
      </w:r>
      <w:r>
        <w:rPr>
          <w:rFonts w:ascii="Arial" w:hAnsi="Arial"/>
          <w:b/>
          <w:i/>
          <w:color w:val="000000"/>
          <w:sz w:val="20"/>
        </w:rPr>
        <w:t>Good Standing Certificate</w:t>
      </w:r>
      <w:r>
        <w:rPr>
          <w:color w:val="000000"/>
        </w:rPr>
        <w:t>”</w:t>
      </w:r>
      <w:r>
        <w:rPr>
          <w:rFonts w:ascii="Arial" w:hAnsi="Arial"/>
          <w:color w:val="000000"/>
          <w:sz w:val="20"/>
        </w:rPr>
        <w:t xml:space="preserve">); </w:t>
      </w:r>
    </w:p>
    <w:p>
      <w:pPr>
        <w:pStyle w:val="TextBody"/>
        <w:bidi w:val="0"/>
        <w:spacing w:before="0" w:after="240"/>
        <w:ind w:left="720" w:right="0" w:hanging="0"/>
        <w:jc w:val="both"/>
        <w:rPr>
          <w:rFonts w:ascii="Arial" w:hAnsi="Arial"/>
          <w:color w:val="000000"/>
          <w:sz w:val="20"/>
        </w:rPr>
      </w:pPr>
      <w:r>
        <w:rPr>
          <w:rFonts w:ascii="Arial" w:hAnsi="Arial"/>
          <w:color w:val="000000"/>
          <w:sz w:val="20"/>
        </w:rPr>
        <w:t>(vi)</w:t>
      </w:r>
    </w:p>
    <w:p>
      <w:pPr>
        <w:pStyle w:val="TextBody"/>
        <w:bidi w:val="0"/>
        <w:spacing w:before="0" w:after="240"/>
        <w:jc w:val="both"/>
        <w:rPr>
          <w:rFonts w:ascii="Arial" w:hAnsi="Arial"/>
          <w:color w:val="000000"/>
          <w:sz w:val="20"/>
        </w:rPr>
      </w:pPr>
      <w:r>
        <w:rPr>
          <w:rFonts w:ascii="Arial" w:hAnsi="Arial"/>
          <w:color w:val="000000"/>
          <w:sz w:val="20"/>
        </w:rPr>
        <w:t>the resolutions adopted by the board of directors of the Company regarding the Third Amended Plan, and other matters related thereto, as certified by an officer of the Company as of the date hereof;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jc w:val="left"/>
        <w:rPr>
          <w:rFonts w:ascii="Arial" w:hAnsi="Arial"/>
          <w:color w:val="000000"/>
          <w:sz w:val="20"/>
        </w:rPr>
      </w:pPr>
      <w:r>
        <w:rPr>
          <w:rFonts w:ascii="Arial" w:hAnsi="Arial"/>
          <w:color w:val="000000"/>
          <w:sz w:val="20"/>
        </w:rPr>
        <w:t>Aptevo Therapeutics Inc.</w:t>
      </w:r>
    </w:p>
    <w:p>
      <w:pPr>
        <w:pStyle w:val="TextBody"/>
        <w:bidi w:val="0"/>
        <w:jc w:val="left"/>
        <w:rPr>
          <w:rFonts w:ascii="Arial" w:hAnsi="Arial"/>
          <w:color w:val="000000"/>
          <w:sz w:val="20"/>
        </w:rPr>
      </w:pPr>
      <w:r>
        <w:rPr>
          <w:rFonts w:ascii="Arial" w:hAnsi="Arial"/>
          <w:color w:val="000000"/>
          <w:sz w:val="20"/>
        </w:rPr>
        <w:t>July 24, 2026</w:t>
      </w:r>
    </w:p>
    <w:p>
      <w:pPr>
        <w:pStyle w:val="TextBody"/>
        <w:bidi w:val="0"/>
        <w:jc w:val="left"/>
        <w:rPr>
          <w:rFonts w:ascii="Arial" w:hAnsi="Arial"/>
          <w:color w:val="000000"/>
          <w:sz w:val="20"/>
        </w:rPr>
      </w:pPr>
      <w:r>
        <w:rPr>
          <w:rFonts w:ascii="Arial" w:hAnsi="Arial"/>
          <w:color w:val="000000"/>
          <w:sz w:val="20"/>
        </w:rPr>
        <w:t>Page 2</w:t>
      </w:r>
    </w:p>
    <w:p>
      <w:pPr>
        <w:pStyle w:val="TextBody"/>
        <w:bidi w:val="0"/>
        <w:jc w:val="left"/>
        <w:rPr/>
      </w:pPr>
      <w:r>
        <w:rPr/>
        <w:t> </w:t>
      </w:r>
    </w:p>
    <w:p>
      <w:pPr>
        <w:pStyle w:val="TextBody"/>
        <w:bidi w:val="0"/>
        <w:spacing w:before="0" w:after="240"/>
        <w:ind w:left="720" w:right="0" w:hanging="0"/>
        <w:jc w:val="both"/>
        <w:rPr>
          <w:rFonts w:ascii="Arial" w:hAnsi="Arial"/>
          <w:color w:val="000000"/>
          <w:sz w:val="20"/>
        </w:rPr>
      </w:pPr>
      <w:r>
        <w:rPr>
          <w:rFonts w:ascii="Arial" w:hAnsi="Arial"/>
          <w:color w:val="000000"/>
          <w:sz w:val="20"/>
        </w:rPr>
        <w:t>(vii)</w:t>
      </w:r>
    </w:p>
    <w:p>
      <w:pPr>
        <w:pStyle w:val="TextBody"/>
        <w:bidi w:val="0"/>
        <w:spacing w:before="0" w:after="240"/>
        <w:jc w:val="both"/>
        <w:rPr>
          <w:rFonts w:ascii="Arial" w:hAnsi="Arial"/>
          <w:color w:val="000000"/>
          <w:sz w:val="20"/>
        </w:rPr>
      </w:pPr>
      <w:r>
        <w:rPr>
          <w:rFonts w:ascii="Arial" w:hAnsi="Arial"/>
          <w:color w:val="000000"/>
          <w:sz w:val="20"/>
        </w:rPr>
        <w:t>the Certificate of Inspector of Election for the 2025 annual meeting of stockholders of the Company approving the Third Amended Plan, as certified by an officer of the Company as of the date hereof.</w:t>
      </w:r>
    </w:p>
    <w:p>
      <w:pPr>
        <w:pStyle w:val="TextBody"/>
        <w:bidi w:val="0"/>
        <w:spacing w:before="0" w:after="240"/>
        <w:jc w:val="both"/>
        <w:rPr>
          <w:rFonts w:ascii="Times New Roman" w:hAnsi="Times New Roman"/>
          <w:sz w:val="20"/>
        </w:rPr>
      </w:pPr>
      <w:r>
        <w:rPr>
          <w:rFonts w:ascii="Arial" w:hAnsi="Arial"/>
          <w:color w:val="000000"/>
          <w:sz w:val="20"/>
        </w:rPr>
        <w:t>In addition to the foregoing, we have made such investigations of law as we have deemed necessary or appropriate as a basis for the opinion set forth in this opinion letter.</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In such examination and in rendering the opinion expressed below, we have assumed, without independent investigation or verification: (i) the genuineness of all signatures on all agreements, instruments, corporate records, certificates and other documents submitted to us; (ii) the authenticity and completeness of all agreements, instruments, corporate records, certificates and other documents submitted to us as originals; (iii) that all agreements, instruments, corporate records, certificates and other documents submitted to us as certified, electronic, facsimile, conformed, photostatic or other copies conform to originals thereof, and that such originals are authentic and complete; (iv) the legal capacity, competency and authority of all individuals executing all agreements, instruments, corporate records, certificates and other documents; (v) the due authorization, execution and delivery of all agreements, instruments, corporate records, certificates and other documents by all parties thereto (other than the Company); (vi) that no documents submitted to us have been amended or terminated orally or in writing except as has been disclosed to us in writing; (vii) that the statements contained in the certificates and comparable documents of public officials, officers and representatives of the Company and other persons on which we have relied for the purposes of this opinion letter are true and correct on and as of the date hereof; (viii) that there has not been any change in the good standing status of the Company from that reported in the Good Standing Certificate; and (ix) that each of the officers and directors of the Company has properly exercised his or her fiduciary duties. As to all questions of fact material to this opinion letter, and as to the materiality of any fact or other matter referred to herein, we have relied (without independent investigation or verification) upon representations and certificates or comparable documents of officers and representatives of the Company. We have also assumed that the individual issuances, grants, awards or grants of purchase rights under the Third Amended Plan will be duly authorized by all necessary corporate action of the Company and duly issued, granted or awarded and exercised in accordance with the requirements of law, the Third Amended Plan and the agreements, forms of instrument, awards and grants duly adopted thereunder. We have also assumed that upon the issuance of any Shares, the total number of shares of Common Stock issued and outstanding will not exceed the total number of shares of Common Stock that the Company is then authorized to issue under the Certificate of Incorporation.</w:t>
      </w:r>
    </w:p>
    <w:p>
      <w:pPr>
        <w:pStyle w:val="TextBody"/>
        <w:bidi w:val="0"/>
        <w:spacing w:before="0" w:after="240"/>
        <w:jc w:val="both"/>
        <w:rPr>
          <w:rFonts w:ascii="Arial" w:hAnsi="Arial"/>
          <w:color w:val="000000"/>
          <w:sz w:val="20"/>
        </w:rPr>
      </w:pPr>
      <w:r>
        <w:rPr>
          <w:rFonts w:ascii="Arial" w:hAnsi="Arial"/>
          <w:color w:val="000000"/>
          <w:sz w:val="20"/>
        </w:rPr>
        <w:t>Based upon the foregoing, and in reliance thereon, and subject to the assumptions, limitations, qualifications and exceptions set forth herein, we are of the opinion that the Shares are duly authorized and, when issued and sold as described in the Registration Statement and in accordance with the Third Amended Plan and the applicable award agreements or forms of instrument evidencing purchase rights thereunder (including the receipt by the Company of the full consideration therefor), will be validly issued, fully paid and nonassessable.</w:t>
      </w:r>
    </w:p>
    <w:p>
      <w:pPr>
        <w:pStyle w:val="TextBody"/>
        <w:bidi w:val="0"/>
        <w:spacing w:before="0" w:after="240"/>
        <w:jc w:val="both"/>
        <w:rPr>
          <w:rFonts w:ascii="Times New Roman" w:hAnsi="Times New Roman"/>
          <w:sz w:val="20"/>
        </w:rPr>
      </w:pPr>
      <w:r>
        <w:rPr>
          <w:rFonts w:ascii="Arial" w:hAnsi="Arial"/>
          <w:color w:val="000000"/>
          <w:sz w:val="20"/>
        </w:rPr>
        <w:t>Without limiting any of the other assumptions, limitations, qualifications and exceptions stated elsewhere herein, we express no opinion with regard to the applicability or effect of the laws of any jurisdiction other than the General Corporation Law of the State of Delaware, as in effect on the date of this opinion letter.</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This opinion letter deals only with the specified legal issues expressly addressed herein, and you should not infer any opinion that is not explicitly stated herein from any matter addressed in this opinion letter.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jc w:val="left"/>
        <w:rPr>
          <w:rFonts w:ascii="Arial" w:hAnsi="Arial"/>
          <w:color w:val="000000"/>
          <w:sz w:val="20"/>
        </w:rPr>
      </w:pPr>
      <w:r>
        <w:rPr>
          <w:rFonts w:ascii="Arial" w:hAnsi="Arial"/>
          <w:color w:val="000000"/>
          <w:sz w:val="20"/>
        </w:rPr>
        <w:t>Aptevo Therapeutics Inc.</w:t>
      </w:r>
    </w:p>
    <w:p>
      <w:pPr>
        <w:pStyle w:val="TextBody"/>
        <w:bidi w:val="0"/>
        <w:jc w:val="left"/>
        <w:rPr>
          <w:rFonts w:ascii="Arial" w:hAnsi="Arial"/>
          <w:color w:val="000000"/>
          <w:sz w:val="20"/>
        </w:rPr>
      </w:pPr>
      <w:r>
        <w:rPr>
          <w:rFonts w:ascii="Arial" w:hAnsi="Arial"/>
          <w:color w:val="000000"/>
          <w:sz w:val="20"/>
        </w:rPr>
        <w:t>July 24, 2026</w:t>
      </w:r>
    </w:p>
    <w:p>
      <w:pPr>
        <w:pStyle w:val="TextBody"/>
        <w:bidi w:val="0"/>
        <w:jc w:val="left"/>
        <w:rPr>
          <w:rFonts w:ascii="Arial" w:hAnsi="Arial"/>
          <w:color w:val="000000"/>
          <w:sz w:val="20"/>
        </w:rPr>
      </w:pPr>
      <w:r>
        <w:rPr>
          <w:rFonts w:ascii="Arial" w:hAnsi="Arial"/>
          <w:color w:val="000000"/>
          <w:sz w:val="20"/>
        </w:rPr>
        <w:t>Page 3</w:t>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This opinion letter is rendered solely in connection with the preparation and filing of the Registration Statement. This opinion letter is rendered as of the date hereof, and we assume no obligation to advise you or any other person with regard to any change after the date hereof in the circumstances or the law that may bear on the matters set forth herein even if the change may affect the legal analysis or a legal conclusion or other matters in this opinion letter.</w:t>
      </w:r>
    </w:p>
    <w:p>
      <w:pPr>
        <w:pStyle w:val="TextBody"/>
        <w:bidi w:val="0"/>
        <w:spacing w:before="0" w:after="240"/>
        <w:jc w:val="both"/>
        <w:rPr>
          <w:rFonts w:ascii="Arial" w:hAnsi="Arial"/>
          <w:color w:val="000000"/>
          <w:sz w:val="20"/>
        </w:rPr>
      </w:pPr>
      <w:r>
        <w:rPr>
          <w:rFonts w:ascii="Arial" w:hAnsi="Arial"/>
          <w:color w:val="000000"/>
          <w:sz w:val="20"/>
        </w:rPr>
        <w:t>We hereby consent to the filing of this opinion letter as Exhibit 5.1 to the Registration Statement. In giving such consent, we do not hereby admit that we are within the category of persons whose consent is required under Section 7 of the Securities Act or the rules or regulations of the Commission thereunder.</w:t>
      </w:r>
    </w:p>
    <w:p>
      <w:pPr>
        <w:pStyle w:val="TextBody"/>
        <w:bidi w:val="0"/>
        <w:spacing w:before="0" w:after="240"/>
        <w:jc w:val="left"/>
        <w:rPr>
          <w:rFonts w:ascii="Arial" w:hAnsi="Arial"/>
          <w:color w:val="000000"/>
          <w:sz w:val="20"/>
        </w:rPr>
      </w:pPr>
      <w:r>
        <w:rPr>
          <w:rFonts w:ascii="Arial" w:hAnsi="Arial"/>
          <w:color w:val="000000"/>
          <w:sz w:val="20"/>
        </w:rPr>
        <w:br/>
        <w:t>Very truly yours,</w:t>
      </w:r>
    </w:p>
    <w:p>
      <w:pPr>
        <w:pStyle w:val="TextBody"/>
        <w:bidi w:val="0"/>
        <w:spacing w:before="0" w:after="240"/>
        <w:jc w:val="left"/>
        <w:rPr>
          <w:rFonts w:ascii="Arial" w:hAnsi="Arial"/>
          <w:color w:val="000000"/>
          <w:sz w:val="20"/>
        </w:rPr>
      </w:pPr>
      <w:r>
        <w:rPr>
          <w:rFonts w:ascii="Arial" w:hAnsi="Arial"/>
          <w:color w:val="000000"/>
          <w:sz w:val="20"/>
        </w:rPr>
        <w:t>/s/ Paul Hastings LLP</w:t>
      </w:r>
    </w:p>
    <w:p>
      <w:pPr>
        <w:pStyle w:val="TextBody"/>
        <w:bidi w:val="0"/>
        <w:spacing w:before="0" w:after="240"/>
        <w:jc w:val="left"/>
        <w:rPr>
          <w:rFonts w:ascii="Times New Roman" w:hAnsi="Times New Roman"/>
          <w:sz w:val="20"/>
        </w:rPr>
      </w:pPr>
      <w:r>
        <w:rPr>
          <w:rFonts w:ascii="Arial" w:hAnsi="Arial"/>
          <w:color w:val="000000"/>
          <w:sz w:val="20"/>
        </w:rPr>
        <w:br/>
        <w:br/>
      </w:r>
      <w:r>
        <w:rPr>
          <w:rFonts w:ascii="Times New Roman" w:hAnsi="Times New Roman"/>
          <w:color w:val="000000"/>
          <w:sz w:val="20"/>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5" w:name="apvo-ex23_1.htm"/>
      <w:bookmarkStart w:id="6" w:name="ksapvoex23_1"/>
      <w:bookmarkEnd w:id="5"/>
      <w:bookmarkEnd w:id="6"/>
      <w:r>
        <w:rPr/>
        <w:t> </w:t>
      </w:r>
      <w:r>
        <w:br w:type="page"/>
      </w:r>
    </w:p>
    <w:p>
      <w:pPr>
        <w:pStyle w:val="TextBody"/>
        <w:bidi w:val="0"/>
        <w:spacing w:before="0" w:after="200"/>
        <w:jc w:val="left"/>
        <w:rPr>
          <w:rFonts w:ascii="Arial" w:hAnsi="Arial"/>
          <w:b/>
          <w:color w:val="000000"/>
          <w:sz w:val="20"/>
        </w:rPr>
      </w:pPr>
      <w:r>
        <w:rPr>
          <w:rFonts w:ascii="Arial" w:hAnsi="Arial"/>
          <w:b/>
          <w:color w:val="000000"/>
          <w:sz w:val="20"/>
        </w:rPr>
        <w:t>Exhibit 23.1</w:t>
      </w:r>
    </w:p>
    <w:p>
      <w:pPr>
        <w:pStyle w:val="TextBody"/>
        <w:bidi w:val="0"/>
        <w:jc w:val="left"/>
        <w:rPr>
          <w:rFonts w:ascii="Georgia;serif" w:hAnsi="Georgia;serif"/>
          <w:b/>
          <w:color w:val="000000"/>
          <w:sz w:val="28"/>
        </w:rPr>
      </w:pPr>
      <w:r>
        <w:rPr>
          <w:rFonts w:ascii="Georgia;serif" w:hAnsi="Georgia;serif"/>
          <w:b/>
          <w:color w:val="000000"/>
          <w:sz w:val="28"/>
        </w:rPr>
        <w:t>Consent of Independent Registered Public Accounting Firm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consent to the incorporation by reference in this Registration Statement on Form S-8 of Aptevo Therapeutics Inc.</w:t>
      </w:r>
      <w:r>
        <w:rPr>
          <w:rFonts w:ascii="Times New Roman" w:hAnsi="Times New Roman"/>
          <w:color w:val="000000"/>
          <w:sz w:val="20"/>
        </w:rPr>
        <w:t xml:space="preserve"> </w:t>
      </w:r>
      <w:r>
        <w:rPr>
          <w:rFonts w:ascii="Arial" w:hAnsi="Arial"/>
          <w:color w:val="000000"/>
          <w:sz w:val="20"/>
        </w:rPr>
        <w:t>(the “Company”) of our report dated March 26, 2026, relating to the consolidated financial statements of the Company (which report expresses an unqualified opinion and includes an explanatory paragraph relating to going concern uncertainty), appearing in the Annual Report on Form 10-K of the Company for the year ended December 31, 2025, filed with the Securities and Exchange Commission.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 Baker Tilly US, LLP</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Seattle, Washington</w:t>
      </w:r>
    </w:p>
    <w:p>
      <w:pPr>
        <w:pStyle w:val="TextBody"/>
        <w:bidi w:val="0"/>
        <w:jc w:val="left"/>
        <w:rPr>
          <w:rFonts w:ascii="Arial" w:hAnsi="Arial"/>
          <w:color w:val="000000"/>
          <w:sz w:val="20"/>
        </w:rPr>
      </w:pPr>
      <w:r>
        <w:rPr>
          <w:rFonts w:ascii="Arial" w:hAnsi="Arial"/>
          <w:color w:val="000000"/>
          <w:sz w:val="20"/>
        </w:rPr>
        <w:t>July 24, 2026</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 w:name="apvo_exfilingfees.htm"/>
      <w:bookmarkStart w:id="8" w:name="ksapvo_exfilingfees"/>
      <w:bookmarkEnd w:id="7"/>
      <w:bookmarkEnd w:id="8"/>
      <w:r>
        <w:rPr/>
        <w:t> </w:t>
      </w:r>
      <w:r>
        <w:br w:type="page"/>
      </w:r>
    </w:p>
    <w:tbl>
      <w:tblPr>
        <w:tblW w:w="6241" w:type="dxa"/>
        <w:jc w:val="left"/>
        <w:tblInd w:w="0" w:type="dxa"/>
        <w:tblLayout w:type="fixed"/>
        <w:tblCellMar>
          <w:top w:w="28" w:type="dxa"/>
          <w:left w:w="28" w:type="dxa"/>
          <w:bottom w:w="28" w:type="dxa"/>
          <w:right w:w="28" w:type="dxa"/>
        </w:tblCellMar>
      </w:tblPr>
      <w:tblGrid>
        <w:gridCol w:w="6241"/>
      </w:tblGrid>
      <w:tr>
        <w:trPr/>
        <w:tc>
          <w:tcPr>
            <w:tcW w:w="6241" w:type="dxa"/>
            <w:tcBorders/>
            <w:vAlign w:val="center"/>
          </w:tcPr>
          <w:p>
            <w:pPr>
              <w:pStyle w:val="TableContents"/>
              <w:bidi w:val="0"/>
              <w:spacing w:before="0" w:after="283"/>
              <w:jc w:val="left"/>
              <w:rPr>
                <w:sz w:val="4"/>
                <w:szCs w:val="4"/>
              </w:rPr>
            </w:pPr>
            <w:r>
              <w:rPr>
                <w:sz w:val="4"/>
                <w:szCs w:val="4"/>
              </w:rPr>
            </w:r>
          </w:p>
        </w:tc>
      </w:tr>
      <w:tr>
        <w:trPr/>
        <w:tc>
          <w:tcPr>
            <w:tcW w:w="62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40"/>
              </w:rPr>
            </w:pPr>
            <w:r>
              <w:rPr>
                <w:rFonts w:ascii="Arial" w:hAnsi="Arial"/>
                <w:b/>
                <w:color w:val="000000"/>
                <w:sz w:val="40"/>
              </w:rPr>
              <w:t>Calculation of Filing Fee Tables</w:t>
            </w:r>
          </w:p>
        </w:tc>
      </w:tr>
      <w:tr>
        <w:trPr/>
        <w:tc>
          <w:tcPr>
            <w:tcW w:w="6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40"/>
              </w:rPr>
              <w:t>S-8</w:t>
            </w:r>
            <w:r>
              <w:rPr>
                <w:rFonts w:ascii="Times New Roman" w:hAnsi="Times New Roman"/>
                <w:color w:val="000000"/>
                <w:sz w:val="20"/>
              </w:rPr>
              <w:t xml:space="preserve"> </w:t>
            </w:r>
          </w:p>
        </w:tc>
      </w:tr>
      <w:tr>
        <w:trPr/>
        <w:tc>
          <w:tcPr>
            <w:tcW w:w="6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40"/>
              </w:rPr>
              <w:t>Aptevo Therapeutics Inc.</w:t>
            </w:r>
            <w:r>
              <w:rPr>
                <w:rFonts w:ascii="Times New Roman" w:hAnsi="Times New Roman"/>
                <w:color w:val="000000"/>
                <w:sz w:val="20"/>
              </w:rPr>
              <w:t xml:space="preserve"> </w:t>
            </w:r>
          </w:p>
        </w:tc>
      </w:tr>
    </w:tbl>
    <w:p>
      <w:pPr>
        <w:pStyle w:val="TextBody"/>
        <w:bidi w:val="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Table 1: Newly Registered Securities</w:t>
            </w:r>
          </w:p>
        </w:tc>
      </w:tr>
    </w:tbl>
    <w:p>
      <w:pPr>
        <w:pStyle w:val="TextBody"/>
        <w:bidi w:val="0"/>
        <w:jc w:val="left"/>
        <w:rPr/>
      </w:pPr>
      <w:r>
        <w:rPr/>
        <w:t> </w:t>
      </w:r>
    </w:p>
    <w:tbl>
      <w:tblPr>
        <w:tblW w:w="10584" w:type="dxa"/>
        <w:jc w:val="left"/>
        <w:tblInd w:w="0" w:type="dxa"/>
        <w:tblLayout w:type="fixed"/>
        <w:tblCellMar>
          <w:top w:w="28" w:type="dxa"/>
          <w:left w:w="28" w:type="dxa"/>
          <w:bottom w:w="28" w:type="dxa"/>
          <w:right w:w="28" w:type="dxa"/>
        </w:tblCellMar>
      </w:tblPr>
      <w:tblGrid>
        <w:gridCol w:w="256"/>
        <w:gridCol w:w="1051"/>
        <w:gridCol w:w="1141"/>
        <w:gridCol w:w="1396"/>
        <w:gridCol w:w="1351"/>
        <w:gridCol w:w="1231"/>
        <w:gridCol w:w="1366"/>
        <w:gridCol w:w="1246"/>
        <w:gridCol w:w="1546"/>
      </w:tblGrid>
      <w:tr>
        <w:trPr/>
        <w:tc>
          <w:tcPr>
            <w:tcW w:w="25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56" w:type="dxa"/>
            <w:tcBorders>
              <w:top w:val="single" w:sz="6" w:space="0" w:color="000000"/>
              <w:left w:val="single" w:sz="6" w:space="0" w:color="000000"/>
            </w:tcBorders>
            <w:shd w:fill="9ADAF6" w:val="clear"/>
            <w:tcMar>
              <w:bottom w:w="0" w:type="dxa"/>
              <w:right w:w="0" w:type="dxa"/>
            </w:tcMar>
            <w:vAlign w:val="center"/>
          </w:tcPr>
          <w:p>
            <w:pPr>
              <w:pStyle w:val="TableContents"/>
              <w:bidi w:val="0"/>
              <w:spacing w:before="0" w:after="283"/>
              <w:jc w:val="center"/>
              <w:rPr/>
            </w:pPr>
            <w:r>
              <w:rPr/>
              <w:t> </w:t>
            </w:r>
          </w:p>
        </w:tc>
        <w:tc>
          <w:tcPr>
            <w:tcW w:w="1051"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Security Type</w:t>
            </w:r>
          </w:p>
        </w:tc>
        <w:tc>
          <w:tcPr>
            <w:tcW w:w="1141"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Arial" w:hAnsi="Arial"/>
                <w:b/>
                <w:color w:val="000000"/>
                <w:sz w:val="24"/>
              </w:rPr>
              <w:t>Security Class Title</w:t>
            </w:r>
            <w:r>
              <w:rPr>
                <w:rFonts w:ascii="Times New Roman" w:hAnsi="Times New Roman"/>
                <w:color w:val="000000"/>
                <w:sz w:val="24"/>
              </w:rPr>
              <w:t xml:space="preserve"> </w:t>
            </w:r>
          </w:p>
        </w:tc>
        <w:tc>
          <w:tcPr>
            <w:tcW w:w="1396"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Fee Calculation Rule</w:t>
            </w:r>
          </w:p>
        </w:tc>
        <w:tc>
          <w:tcPr>
            <w:tcW w:w="1351"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Amount Registered</w:t>
            </w:r>
          </w:p>
        </w:tc>
        <w:tc>
          <w:tcPr>
            <w:tcW w:w="1231"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Proposed Maximum Offering Price Per Unit</w:t>
            </w:r>
          </w:p>
        </w:tc>
        <w:tc>
          <w:tcPr>
            <w:tcW w:w="1366"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Maximum Aggregate Offering Price</w:t>
            </w:r>
          </w:p>
        </w:tc>
        <w:tc>
          <w:tcPr>
            <w:tcW w:w="1246"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Fee Rate</w:t>
            </w:r>
          </w:p>
        </w:tc>
        <w:tc>
          <w:tcPr>
            <w:tcW w:w="1546" w:type="dxa"/>
            <w:tcBorders>
              <w:top w:val="single" w:sz="6" w:space="0" w:color="000000"/>
              <w:right w:val="single" w:sz="6" w:space="0" w:color="000000"/>
            </w:tcBorders>
            <w:shd w:fill="9ADAF6" w:val="clear"/>
            <w:tcMar>
              <w:left w:w="0" w:type="dxa"/>
              <w:bottom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Amount of Registration Fee</w:t>
            </w:r>
          </w:p>
        </w:tc>
      </w:tr>
      <w:tr>
        <w:trPr/>
        <w:tc>
          <w:tcPr>
            <w:tcW w:w="256" w:type="dxa"/>
            <w:tcBorders>
              <w:left w:val="single" w:sz="6" w:space="0" w:color="000000"/>
            </w:tcBorders>
            <w:shd w:fill="E7E7E2" w:val="clear"/>
            <w:tcMar>
              <w:top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4"/>
              </w:rPr>
              <w:t>1</w:t>
            </w:r>
            <w:r>
              <w:rPr>
                <w:rFonts w:ascii="Times New Roman" w:hAnsi="Times New Roman"/>
                <w:color w:val="000000"/>
                <w:sz w:val="20"/>
              </w:rPr>
              <w:t xml:space="preserve"> </w:t>
            </w:r>
          </w:p>
        </w:tc>
        <w:tc>
          <w:tcPr>
            <w:tcW w:w="1051" w:type="dxa"/>
            <w:tcBorders/>
            <w:shd w:fill="E7E7E2"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Equity</w:t>
            </w:r>
          </w:p>
        </w:tc>
        <w:tc>
          <w:tcPr>
            <w:tcW w:w="1141" w:type="dxa"/>
            <w:tcBorders/>
            <w:shd w:fill="E7E7E2"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Common Stock, $0.001 par value per share, reserved for issuance under the Third Amended and Restated 2018 Stock Incentive Plan</w:t>
            </w:r>
          </w:p>
        </w:tc>
        <w:tc>
          <w:tcPr>
            <w:tcW w:w="1396" w:type="dxa"/>
            <w:tcBorders/>
            <w:shd w:fill="E7E7E2"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Other</w:t>
            </w:r>
          </w:p>
        </w:tc>
        <w:tc>
          <w:tcPr>
            <w:tcW w:w="1351" w:type="dxa"/>
            <w:tcBorders/>
            <w:shd w:fill="E7E7E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13,888</w:t>
            </w:r>
          </w:p>
        </w:tc>
        <w:tc>
          <w:tcPr>
            <w:tcW w:w="1231" w:type="dxa"/>
            <w:tcBorders/>
            <w:shd w:fill="E7E7E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$ 4.44</w:t>
            </w:r>
          </w:p>
        </w:tc>
        <w:tc>
          <w:tcPr>
            <w:tcW w:w="1366" w:type="dxa"/>
            <w:tcBorders/>
            <w:shd w:fill="E7E7E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$ 61,663.00</w:t>
            </w:r>
          </w:p>
        </w:tc>
        <w:tc>
          <w:tcPr>
            <w:tcW w:w="1246" w:type="dxa"/>
            <w:tcBorders/>
            <w:shd w:fill="E7E7E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0.0001381</w:t>
            </w:r>
          </w:p>
        </w:tc>
        <w:tc>
          <w:tcPr>
            <w:tcW w:w="1546" w:type="dxa"/>
            <w:tcBorders>
              <w:right w:val="single" w:sz="6" w:space="0" w:color="000000"/>
            </w:tcBorders>
            <w:shd w:fill="E7E7E2" w:val="clear"/>
            <w:tcMar>
              <w:top w:w="0" w:type="dxa"/>
              <w:left w:w="0" w:type="dxa"/>
              <w:bottom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$ 9.00</w:t>
            </w:r>
          </w:p>
        </w:tc>
      </w:tr>
      <w:tr>
        <w:trPr/>
        <w:tc>
          <w:tcPr>
            <w:tcW w:w="5195" w:type="dxa"/>
            <w:gridSpan w:val="5"/>
            <w:tcBorders>
              <w:left w:val="single" w:sz="6" w:space="0" w:color="000000"/>
            </w:tcBorders>
            <w:tcMar>
              <w:top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Total Offering Amounts:</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$ 61,663.00</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right w:val="single" w:sz="6" w:space="0" w:color="000000"/>
            </w:tcBorders>
            <w:tcMar>
              <w:top w:w="0" w:type="dxa"/>
              <w:left w:w="0" w:type="dxa"/>
              <w:bottom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$ 9.00</w:t>
            </w:r>
          </w:p>
        </w:tc>
      </w:tr>
      <w:tr>
        <w:trPr/>
        <w:tc>
          <w:tcPr>
            <w:tcW w:w="5195" w:type="dxa"/>
            <w:gridSpan w:val="5"/>
            <w:tcBorders>
              <w:left w:val="single" w:sz="6" w:space="0" w:color="000000"/>
            </w:tcBorders>
            <w:tcMar>
              <w:top w:w="0" w:type="dxa"/>
              <w:bottom w:w="0" w:type="dxa"/>
              <w:right w:w="0" w:type="dxa"/>
            </w:tcMar>
            <w:vAlign w:val="center"/>
          </w:tcPr>
          <w:p>
            <w:pPr>
              <w:pStyle w:val="TableContents"/>
              <w:bidi w:val="0"/>
              <w:spacing w:before="0" w:after="283"/>
              <w:jc w:val="right"/>
              <w:rPr>
                <w:rFonts w:ascii="Times New Roman" w:hAnsi="Times New Roman"/>
                <w:sz w:val="24"/>
              </w:rPr>
            </w:pPr>
            <w:r>
              <w:rPr>
                <w:rFonts w:ascii="Arial" w:hAnsi="Arial"/>
                <w:color w:val="000000"/>
                <w:sz w:val="24"/>
              </w:rPr>
              <w:t>Total Fee Offsets:</w:t>
            </w:r>
            <w:r>
              <w:rPr>
                <w:rFonts w:ascii="Times New Roman" w:hAnsi="Times New Roman"/>
                <w:color w:val="000000"/>
                <w:sz w:val="24"/>
              </w:rPr>
              <w:t xml:space="preserve">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right w:val="single" w:sz="6" w:space="0" w:color="000000"/>
            </w:tcBorders>
            <w:tcMar>
              <w:top w:w="0" w:type="dxa"/>
              <w:left w:w="0" w:type="dxa"/>
              <w:bottom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$ 0.00</w:t>
            </w:r>
          </w:p>
        </w:tc>
      </w:tr>
      <w:tr>
        <w:trPr/>
        <w:tc>
          <w:tcPr>
            <w:tcW w:w="5195" w:type="dxa"/>
            <w:gridSpan w:val="5"/>
            <w:tcBorders>
              <w:left w:val="single" w:sz="6" w:space="0" w:color="000000"/>
              <w:bottom w:val="single" w:sz="6" w:space="0" w:color="000000"/>
            </w:tcBorders>
            <w:tcMar>
              <w:top w:w="0" w:type="dxa"/>
              <w:right w:w="0" w:type="dxa"/>
            </w:tcMar>
            <w:vAlign w:val="center"/>
          </w:tcPr>
          <w:p>
            <w:pPr>
              <w:pStyle w:val="TableContents"/>
              <w:bidi w:val="0"/>
              <w:spacing w:before="0" w:after="283"/>
              <w:jc w:val="right"/>
              <w:rPr>
                <w:rFonts w:ascii="Times New Roman" w:hAnsi="Times New Roman"/>
                <w:sz w:val="24"/>
              </w:rPr>
            </w:pPr>
            <w:r>
              <w:rPr>
                <w:rFonts w:ascii="Arial" w:hAnsi="Arial"/>
                <w:color w:val="000000"/>
                <w:sz w:val="24"/>
              </w:rPr>
              <w:t>Net Fee Due:</w:t>
            </w:r>
            <w:r>
              <w:rPr>
                <w:rFonts w:ascii="Times New Roman" w:hAnsi="Times New Roman"/>
                <w:color w:val="000000"/>
                <w:sz w:val="24"/>
              </w:rPr>
              <w:t xml:space="preserve"> </w:t>
            </w:r>
          </w:p>
        </w:tc>
        <w:tc>
          <w:tcPr>
            <w:tcW w:w="1231"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2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$ 9.00</w:t>
            </w:r>
          </w:p>
        </w:tc>
      </w:tr>
    </w:tbl>
    <w:p>
      <w:pPr>
        <w:pStyle w:val="TextBody"/>
        <w:bidi w:val="0"/>
        <w:jc w:val="left"/>
        <w:rPr/>
      </w:pPr>
      <w:r>
        <w:rPr/>
        <w:t> </w:t>
      </w:r>
    </w:p>
    <w:tbl>
      <w:tblPr>
        <w:tblW w:w="1827" w:type="dxa"/>
        <w:jc w:val="left"/>
        <w:tblInd w:w="0" w:type="dxa"/>
        <w:tblLayout w:type="fixed"/>
        <w:tblCellMar>
          <w:top w:w="28" w:type="dxa"/>
          <w:left w:w="28" w:type="dxa"/>
          <w:bottom w:w="28" w:type="dxa"/>
          <w:right w:w="28" w:type="dxa"/>
        </w:tblCellMar>
      </w:tblPr>
      <w:tblGrid>
        <w:gridCol w:w="1636"/>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75"/>
              <w:jc w:val="left"/>
              <w:rPr>
                <w:rFonts w:ascii="Arial" w:hAnsi="Arial"/>
                <w:b/>
                <w:color w:val="000000"/>
                <w:sz w:val="24"/>
              </w:rPr>
            </w:pPr>
            <w:r>
              <w:rPr>
                <w:rFonts w:ascii="Arial" w:hAnsi="Arial"/>
                <w:b/>
                <w:color w:val="000000"/>
                <w:sz w:val="24"/>
              </w:rPr>
              <w:t>Offering Note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11"/>
        <w:gridCol w:w="9994"/>
      </w:tblGrid>
      <w:tr>
        <w:trPr/>
        <w:tc>
          <w:tcPr>
            <w:tcW w:w="211" w:type="dxa"/>
            <w:tcBorders/>
            <w:vAlign w:val="center"/>
          </w:tcPr>
          <w:p>
            <w:pPr>
              <w:pStyle w:val="TableContents"/>
              <w:bidi w:val="0"/>
              <w:spacing w:before="0" w:after="283"/>
              <w:jc w:val="left"/>
              <w:rPr>
                <w:sz w:val="4"/>
                <w:szCs w:val="4"/>
              </w:rPr>
            </w:pPr>
            <w:r>
              <w:rPr>
                <w:sz w:val="4"/>
                <w:szCs w:val="4"/>
              </w:rPr>
            </w:r>
          </w:p>
        </w:tc>
        <w:tc>
          <w:tcPr>
            <w:tcW w:w="9994" w:type="dxa"/>
            <w:tcBorders/>
            <w:vAlign w:val="center"/>
          </w:tcPr>
          <w:p>
            <w:pPr>
              <w:pStyle w:val="TableContents"/>
              <w:bidi w:val="0"/>
              <w:spacing w:before="0" w:after="283"/>
              <w:jc w:val="left"/>
              <w:rPr>
                <w:sz w:val="4"/>
                <w:szCs w:val="4"/>
              </w:rPr>
            </w:pPr>
            <w:r>
              <w:rPr>
                <w:sz w:val="4"/>
                <w:szCs w:val="4"/>
              </w:rPr>
            </w:r>
          </w:p>
        </w:tc>
      </w:tr>
      <w:tr>
        <w:trPr/>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1</w:t>
            </w:r>
          </w:p>
        </w:tc>
        <w:tc>
          <w:tcPr>
            <w:tcW w:w="9994"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Arial" w:hAnsi="Arial"/>
                <w:color w:val="000000"/>
                <w:sz w:val="24"/>
              </w:rPr>
            </w:pPr>
            <w:r>
              <w:rPr>
                <w:rFonts w:ascii="Arial" w:hAnsi="Arial"/>
                <w:color w:val="000000"/>
                <w:sz w:val="24"/>
              </w:rPr>
              <w:t>a. In accordance with Rule 416(a) under the Securities Act of 1933, as amended (the “Securities Act”), this registration statement on Form S-8 (the “Registration Statement”) shall be deemed to cover any additional shares of Common Stock, $0.001 par value per share (the “Common Stock”) of Aptevo Therapeutics Inc. (the “Company”) that become issuable under the Third Amended and Restated 2018 Stock Incentive Plan by reason of any stock dividend, stock split, recapitalization, or other similar transaction effected that results in an increase to the number of outstanding shares of Common Stock, as applicable.</w:t>
            </w:r>
          </w:p>
          <w:p>
            <w:pPr>
              <w:pStyle w:val="TableContents"/>
              <w:bidi w:val="0"/>
              <w:jc w:val="left"/>
              <w:rPr/>
            </w:pPr>
            <w:r>
              <w:rPr/>
              <w:t> </w:t>
            </w:r>
          </w:p>
          <w:p>
            <w:pPr>
              <w:pStyle w:val="TableContents"/>
              <w:bidi w:val="0"/>
              <w:jc w:val="left"/>
              <w:rPr>
                <w:rFonts w:ascii="Times New Roman" w:hAnsi="Times New Roman"/>
                <w:sz w:val="24"/>
              </w:rPr>
            </w:pPr>
            <w:r>
              <w:rPr>
                <w:rFonts w:ascii="Arial" w:hAnsi="Arial"/>
                <w:color w:val="000000"/>
                <w:sz w:val="24"/>
              </w:rPr>
              <w:t>b. Represents 13,888 shares of Common Stock reserved for issuance under the Third Amended and Restated 2018 Stock Incentive Plan.</w:t>
            </w:r>
            <w:r>
              <w:rPr>
                <w:rFonts w:ascii="Times New Roman" w:hAnsi="Times New Roman"/>
                <w:color w:val="000000"/>
                <w:sz w:val="24"/>
              </w:rPr>
              <w:t xml:space="preserve"> </w:t>
            </w:r>
          </w:p>
          <w:p>
            <w:pPr>
              <w:pStyle w:val="TableContents"/>
              <w:bidi w:val="0"/>
              <w:jc w:val="left"/>
              <w:rPr/>
            </w:pPr>
            <w:r>
              <w:rPr/>
              <w:t> </w:t>
            </w:r>
          </w:p>
          <w:p>
            <w:pPr>
              <w:pStyle w:val="TableContents"/>
              <w:bidi w:val="0"/>
              <w:jc w:val="left"/>
              <w:rPr>
                <w:rFonts w:ascii="Arial" w:hAnsi="Arial"/>
                <w:color w:val="000000"/>
                <w:sz w:val="24"/>
              </w:rPr>
            </w:pPr>
            <w:r>
              <w:rPr>
                <w:rFonts w:ascii="Arial" w:hAnsi="Arial"/>
                <w:color w:val="000000"/>
                <w:sz w:val="24"/>
              </w:rPr>
              <w:t>c. Estimated in accordance with Rules 457(c) and 457(h) of the Securities Act based upon the average of the high and low sale prices of the Common Stock as reported on the Nasdaq Stock Market on July 22, 2026.</w:t>
            </w:r>
          </w:p>
          <w:p>
            <w:pPr>
              <w:pStyle w:val="TableContents"/>
              <w:bidi w:val="0"/>
              <w:jc w:val="left"/>
              <w:rPr/>
            </w:pPr>
            <w:r>
              <w:rPr/>
              <w:t> </w:t>
            </w:r>
          </w:p>
          <w:p>
            <w:pPr>
              <w:pStyle w:val="TableContents"/>
              <w:bidi w:val="0"/>
              <w:jc w:val="left"/>
              <w:rPr>
                <w:rFonts w:ascii="Arial" w:hAnsi="Arial"/>
                <w:color w:val="000000"/>
                <w:sz w:val="24"/>
              </w:rPr>
            </w:pPr>
            <w:r>
              <w:rPr>
                <w:rFonts w:ascii="Arial" w:hAnsi="Arial"/>
                <w:color w:val="000000"/>
                <w:sz w:val="24"/>
              </w:rPr>
              <w:t>d. The Registrant does not have any fee offsets.</w:t>
            </w:r>
          </w:p>
          <w:p>
            <w:pPr>
              <w:pStyle w:val="TableContents"/>
              <w:bidi w:val="0"/>
              <w:spacing w:before="0" w:after="283"/>
              <w:jc w:val="left"/>
              <w:rPr/>
            </w:pPr>
            <w:r>
              <w:rPr/>
              <w:t> </w:t>
            </w:r>
          </w:p>
        </w:tc>
      </w:tr>
      <w:tr>
        <w:trPr/>
        <w:tc>
          <w:tcPr>
            <w:tcW w:w="10205" w:type="dxa"/>
            <w:gridSpan w:val="2"/>
            <w:tcBorders/>
            <w:tcMar>
              <w:top w:w="0" w:type="dxa"/>
              <w:left w:w="0" w:type="dxa"/>
              <w:bottom w:w="0" w:type="dxa"/>
              <w:right w:w="0" w:type="dxa"/>
            </w:tcMar>
            <w:vAlign w:val="center"/>
          </w:tcPr>
          <w:p>
            <w:pPr>
              <w:pStyle w:val="TableContents"/>
              <w:pBdr>
                <w:bottom w:val="single" w:sz="8" w:space="1" w:color="808080"/>
              </w:pBdr>
              <w:bidi w:val="0"/>
              <w:spacing w:before="0" w:after="283"/>
              <w:jc w:val="left"/>
              <w:rPr/>
            </w:pPr>
            <w:r>
              <w:rPr/>
              <w:t> </w:t>
            </w:r>
          </w:p>
        </w:tc>
      </w:tr>
    </w:tbl>
    <w:p>
      <w:pPr>
        <w:pStyle w:val="TextBody"/>
        <w:bidi w:val="0"/>
        <w:jc w:val="left"/>
        <w:rPr/>
      </w:pPr>
      <w:r>
        <w:rPr/>
        <w:t> </w:t>
      </w:r>
    </w:p>
    <w:tbl>
      <w:tblPr>
        <w:tblW w:w="6632" w:type="dxa"/>
        <w:jc w:val="left"/>
        <w:tblInd w:w="0" w:type="dxa"/>
        <w:tblLayout w:type="fixed"/>
        <w:tblCellMar>
          <w:top w:w="28" w:type="dxa"/>
          <w:left w:w="28" w:type="dxa"/>
          <w:bottom w:w="28" w:type="dxa"/>
          <w:right w:w="28" w:type="dxa"/>
        </w:tblCellMar>
      </w:tblPr>
      <w:tblGrid>
        <w:gridCol w:w="4591"/>
        <w:gridCol w:w="2041"/>
      </w:tblGrid>
      <w:tr>
        <w:trPr/>
        <w:tc>
          <w:tcPr>
            <w:tcW w:w="459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45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Table 2: Fee Offset Claims and Sources</w:t>
            </w:r>
          </w:p>
        </w:tc>
        <w:tc>
          <w:tcPr>
            <w:tcW w:w="2041" w:type="dxa"/>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Arial" w:hAnsi="Arial"/>
                <w:b/>
                <w:color w:val="000000"/>
                <w:sz w:val="24"/>
              </w:rPr>
              <w:t>Not Applicable</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3268" w:type="dxa"/>
        <w:jc w:val="left"/>
        <w:tblInd w:w="0" w:type="dxa"/>
        <w:tblLayout w:type="fixed"/>
        <w:tblCellMar>
          <w:top w:w="28" w:type="dxa"/>
          <w:left w:w="28" w:type="dxa"/>
          <w:bottom w:w="28" w:type="dxa"/>
          <w:right w:w="28" w:type="dxa"/>
        </w:tblCellMar>
      </w:tblPr>
      <w:tblGrid>
        <w:gridCol w:w="1006"/>
        <w:gridCol w:w="146"/>
        <w:gridCol w:w="1291"/>
        <w:gridCol w:w="736"/>
        <w:gridCol w:w="1021"/>
        <w:gridCol w:w="736"/>
        <w:gridCol w:w="736"/>
        <w:gridCol w:w="1036"/>
        <w:gridCol w:w="1396"/>
        <w:gridCol w:w="1396"/>
        <w:gridCol w:w="1396"/>
        <w:gridCol w:w="1396"/>
        <w:gridCol w:w="976"/>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006" w:type="dxa"/>
            <w:tcBorders>
              <w:top w:val="single" w:sz="6" w:space="0" w:color="000000"/>
              <w:left w:val="single" w:sz="6" w:space="0" w:color="000000"/>
            </w:tcBorders>
            <w:shd w:fill="9ADAF6" w:val="clear"/>
            <w:tcMar>
              <w:bottom w:w="0" w:type="dxa"/>
              <w:right w:w="0" w:type="dxa"/>
            </w:tcMar>
            <w:vAlign w:val="center"/>
          </w:tcPr>
          <w:p>
            <w:pPr>
              <w:pStyle w:val="TableContents"/>
              <w:bidi w:val="0"/>
              <w:spacing w:before="0" w:after="283"/>
              <w:jc w:val="left"/>
              <w:rPr/>
            </w:pPr>
            <w:r>
              <w:rPr/>
              <w:t> </w:t>
            </w:r>
          </w:p>
        </w:tc>
        <w:tc>
          <w:tcPr>
            <w:tcW w:w="146"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left"/>
              <w:rPr/>
            </w:pPr>
            <w:r>
              <w:rPr/>
              <w:t> </w:t>
            </w:r>
          </w:p>
        </w:tc>
        <w:tc>
          <w:tcPr>
            <w:tcW w:w="1291"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Arial" w:hAnsi="Arial"/>
                <w:b/>
                <w:color w:val="000000"/>
                <w:sz w:val="24"/>
              </w:rPr>
              <w:t>Registrant or Filer Name</w:t>
            </w:r>
            <w:r>
              <w:rPr>
                <w:rFonts w:ascii="Times New Roman" w:hAnsi="Times New Roman"/>
                <w:color w:val="000000"/>
                <w:sz w:val="24"/>
              </w:rPr>
              <w:t xml:space="preserve"> </w:t>
            </w:r>
          </w:p>
        </w:tc>
        <w:tc>
          <w:tcPr>
            <w:tcW w:w="736"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Arial" w:hAnsi="Arial"/>
                <w:b/>
                <w:color w:val="000000"/>
                <w:sz w:val="24"/>
              </w:rPr>
              <w:t>Form or Filing Type</w:t>
            </w:r>
            <w:r>
              <w:rPr>
                <w:rFonts w:ascii="Times New Roman" w:hAnsi="Times New Roman"/>
                <w:color w:val="000000"/>
                <w:sz w:val="24"/>
              </w:rPr>
              <w:t xml:space="preserve"> </w:t>
            </w:r>
          </w:p>
        </w:tc>
        <w:tc>
          <w:tcPr>
            <w:tcW w:w="1021"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Arial" w:hAnsi="Arial"/>
                <w:b/>
                <w:color w:val="000000"/>
                <w:sz w:val="24"/>
              </w:rPr>
              <w:t>File Number</w:t>
            </w:r>
            <w:r>
              <w:rPr>
                <w:rFonts w:ascii="Times New Roman" w:hAnsi="Times New Roman"/>
                <w:color w:val="000000"/>
                <w:sz w:val="24"/>
              </w:rPr>
              <w:t xml:space="preserve"> </w:t>
            </w:r>
          </w:p>
        </w:tc>
        <w:tc>
          <w:tcPr>
            <w:tcW w:w="736"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Arial" w:hAnsi="Arial"/>
                <w:b/>
                <w:color w:val="000000"/>
                <w:sz w:val="24"/>
              </w:rPr>
              <w:t>Initial Filing Date</w:t>
            </w:r>
            <w:r>
              <w:rPr>
                <w:rFonts w:ascii="Times New Roman" w:hAnsi="Times New Roman"/>
                <w:color w:val="000000"/>
                <w:sz w:val="24"/>
              </w:rPr>
              <w:t xml:space="preserve"> </w:t>
            </w:r>
          </w:p>
        </w:tc>
        <w:tc>
          <w:tcPr>
            <w:tcW w:w="736"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Arial" w:hAnsi="Arial"/>
                <w:b/>
                <w:color w:val="000000"/>
                <w:sz w:val="24"/>
              </w:rPr>
              <w:t>Filing Date</w:t>
            </w:r>
            <w:r>
              <w:rPr>
                <w:rFonts w:ascii="Times New Roman" w:hAnsi="Times New Roman"/>
                <w:color w:val="000000"/>
                <w:sz w:val="24"/>
              </w:rPr>
              <w:t xml:space="preserve"> </w:t>
            </w:r>
          </w:p>
        </w:tc>
        <w:tc>
          <w:tcPr>
            <w:tcW w:w="1036"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Arial" w:hAnsi="Arial"/>
                <w:b/>
                <w:color w:val="000000"/>
                <w:sz w:val="24"/>
              </w:rPr>
              <w:t>Fee Offset Claimed</w:t>
            </w:r>
            <w:r>
              <w:rPr>
                <w:rFonts w:ascii="Times New Roman" w:hAnsi="Times New Roman"/>
                <w:color w:val="000000"/>
                <w:sz w:val="24"/>
              </w:rPr>
              <w:t xml:space="preserve"> </w:t>
            </w:r>
          </w:p>
        </w:tc>
        <w:tc>
          <w:tcPr>
            <w:tcW w:w="1396"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Arial" w:hAnsi="Arial"/>
                <w:b/>
                <w:color w:val="000000"/>
                <w:sz w:val="24"/>
              </w:rPr>
              <w:t>Security Type Associated with Fee Offset Claimed</w:t>
            </w:r>
            <w:r>
              <w:rPr>
                <w:rFonts w:ascii="Times New Roman" w:hAnsi="Times New Roman"/>
                <w:color w:val="000000"/>
                <w:sz w:val="24"/>
              </w:rPr>
              <w:t xml:space="preserve"> </w:t>
            </w:r>
          </w:p>
        </w:tc>
        <w:tc>
          <w:tcPr>
            <w:tcW w:w="1396"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Arial" w:hAnsi="Arial"/>
                <w:b/>
                <w:color w:val="000000"/>
                <w:sz w:val="24"/>
              </w:rPr>
              <w:t>Security Title Associated with Fee Offset Claimed</w:t>
            </w:r>
            <w:r>
              <w:rPr>
                <w:rFonts w:ascii="Times New Roman" w:hAnsi="Times New Roman"/>
                <w:color w:val="000000"/>
                <w:sz w:val="24"/>
              </w:rPr>
              <w:t xml:space="preserve"> </w:t>
            </w:r>
          </w:p>
        </w:tc>
        <w:tc>
          <w:tcPr>
            <w:tcW w:w="1396"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Arial" w:hAnsi="Arial"/>
                <w:b/>
                <w:color w:val="000000"/>
                <w:sz w:val="24"/>
              </w:rPr>
              <w:t>Unsold Securities Associated with Fee Offset Claimed</w:t>
            </w:r>
            <w:r>
              <w:rPr>
                <w:rFonts w:ascii="Times New Roman" w:hAnsi="Times New Roman"/>
                <w:color w:val="000000"/>
                <w:sz w:val="24"/>
              </w:rPr>
              <w:t xml:space="preserve"> </w:t>
            </w:r>
          </w:p>
        </w:tc>
        <w:tc>
          <w:tcPr>
            <w:tcW w:w="1396" w:type="dxa"/>
            <w:tcBorders>
              <w:top w:val="single" w:sz="6" w:space="0" w:color="000000"/>
            </w:tcBorders>
            <w:shd w:fill="9ADAF6" w:val="clear"/>
            <w:tcMar>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Arial" w:hAnsi="Arial"/>
                <w:b/>
                <w:color w:val="000000"/>
                <w:sz w:val="24"/>
              </w:rPr>
              <w:t>Unsold Aggregate Offering Amount Associated with Fee Offset Claimed</w:t>
            </w:r>
            <w:r>
              <w:rPr>
                <w:rFonts w:ascii="Times New Roman" w:hAnsi="Times New Roman"/>
                <w:color w:val="000000"/>
                <w:sz w:val="24"/>
              </w:rPr>
              <w:t xml:space="preserve"> </w:t>
            </w:r>
          </w:p>
        </w:tc>
        <w:tc>
          <w:tcPr>
            <w:tcW w:w="976" w:type="dxa"/>
            <w:tcBorders>
              <w:top w:val="single" w:sz="6" w:space="0" w:color="000000"/>
              <w:right w:val="single" w:sz="6" w:space="0" w:color="000000"/>
            </w:tcBorders>
            <w:shd w:fill="9ADAF6" w:val="clear"/>
            <w:tcMar>
              <w:left w:w="0" w:type="dxa"/>
              <w:bottom w:w="0" w:type="dxa"/>
            </w:tcMar>
            <w:vAlign w:val="center"/>
          </w:tcPr>
          <w:p>
            <w:pPr>
              <w:pStyle w:val="TableContents"/>
              <w:bidi w:val="0"/>
              <w:spacing w:before="0" w:after="283"/>
              <w:jc w:val="center"/>
              <w:rPr>
                <w:rFonts w:ascii="Times New Roman" w:hAnsi="Times New Roman"/>
                <w:sz w:val="24"/>
              </w:rPr>
            </w:pPr>
            <w:r>
              <w:rPr>
                <w:rFonts w:ascii="Arial" w:hAnsi="Arial"/>
                <w:b/>
                <w:color w:val="000000"/>
                <w:sz w:val="24"/>
              </w:rPr>
              <w:t>Fee Paid with Fee Offset Source</w:t>
            </w:r>
            <w:r>
              <w:rPr>
                <w:rFonts w:ascii="Times New Roman" w:hAnsi="Times New Roman"/>
                <w:color w:val="000000"/>
                <w:sz w:val="24"/>
              </w:rPr>
              <w:t xml:space="preserve"> </w:t>
            </w:r>
          </w:p>
        </w:tc>
      </w:tr>
      <w:tr>
        <w:trPr/>
        <w:tc>
          <w:tcPr>
            <w:tcW w:w="13268" w:type="dxa"/>
            <w:gridSpan w:val="13"/>
            <w:tcBorders>
              <w:left w:val="single" w:sz="6" w:space="0" w:color="000000"/>
            </w:tcBorders>
            <w:tcMar>
              <w:top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Rule 457(p)</w:t>
            </w:r>
          </w:p>
        </w:tc>
      </w:tr>
      <w:tr>
        <w:trPr/>
        <w:tc>
          <w:tcPr>
            <w:tcW w:w="1006" w:type="dxa"/>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rFonts w:ascii="Times New Roman" w:hAnsi="Times New Roman"/>
                <w:sz w:val="24"/>
              </w:rPr>
            </w:pPr>
            <w:r>
              <w:rPr>
                <w:rFonts w:ascii="Arial" w:hAnsi="Arial"/>
                <w:color w:val="000000"/>
                <w:sz w:val="24"/>
              </w:rPr>
              <w:t>Fee Offset Claims</w:t>
            </w:r>
            <w:r>
              <w:rPr>
                <w:rFonts w:ascii="Times New Roman" w:hAnsi="Times New Roman"/>
                <w:color w:val="000000"/>
                <w:sz w:val="24"/>
              </w:rPr>
              <w:t xml:space="preserve"> </w:t>
            </w:r>
          </w:p>
        </w:tc>
        <w:tc>
          <w:tcPr>
            <w:tcW w:w="146" w:type="dxa"/>
            <w:tcBorders/>
            <w:shd w:fill="E7E7E2"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E7E7E2"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7E7E2"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E7E7E2"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E7E7E2"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E7E7E2"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E7E7E2"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E7E7E2"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E7E7E2"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E7E7E2"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E7E7E2"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right w:val="single" w:sz="6" w:space="0" w:color="000000"/>
            </w:tcBorders>
            <w:shd w:fill="E7E7E2" w:val="clear"/>
            <w:tcMar>
              <w:top w:w="0" w:type="dxa"/>
              <w:left w:w="0" w:type="dxa"/>
              <w:bottom w:w="0" w:type="dxa"/>
            </w:tcMar>
            <w:vAlign w:val="center"/>
          </w:tcPr>
          <w:p>
            <w:pPr>
              <w:pStyle w:val="TableContents"/>
              <w:bidi w:val="0"/>
              <w:spacing w:before="0" w:after="283"/>
              <w:jc w:val="right"/>
              <w:rPr/>
            </w:pPr>
            <w:r>
              <w:rPr/>
              <w:t> </w:t>
            </w:r>
          </w:p>
        </w:tc>
      </w:tr>
      <w:tr>
        <w:trPr/>
        <w:tc>
          <w:tcPr>
            <w:tcW w:w="1006" w:type="dxa"/>
            <w:tcBorders>
              <w:left w:val="single" w:sz="6" w:space="0" w:color="000000"/>
              <w:bottom w:val="single" w:sz="6" w:space="0" w:color="000000"/>
            </w:tcBorders>
            <w:shd w:fill="E7E7E2" w:val="clear"/>
            <w:tcMar>
              <w:top w:w="0" w:type="dxa"/>
              <w:right w:w="0" w:type="dxa"/>
            </w:tcMar>
            <w:vAlign w:val="center"/>
          </w:tcPr>
          <w:p>
            <w:pPr>
              <w:pStyle w:val="TableContents"/>
              <w:bidi w:val="0"/>
              <w:spacing w:before="0" w:after="283"/>
              <w:jc w:val="left"/>
              <w:rPr>
                <w:rFonts w:ascii="Times New Roman" w:hAnsi="Times New Roman"/>
                <w:sz w:val="24"/>
              </w:rPr>
            </w:pPr>
            <w:r>
              <w:rPr>
                <w:rFonts w:ascii="Arial" w:hAnsi="Arial"/>
                <w:color w:val="000000"/>
                <w:sz w:val="24"/>
              </w:rPr>
              <w:t>Fee Offset Sources</w:t>
            </w:r>
            <w:r>
              <w:rPr>
                <w:rFonts w:ascii="Times New Roman" w:hAnsi="Times New Roman"/>
                <w:color w:val="000000"/>
                <w:sz w:val="24"/>
              </w:rPr>
              <w:t xml:space="preserve"> </w:t>
            </w:r>
          </w:p>
        </w:tc>
        <w:tc>
          <w:tcPr>
            <w:tcW w:w="146" w:type="dxa"/>
            <w:tcBorders>
              <w:bottom w:val="single" w:sz="6" w:space="0" w:color="000000"/>
            </w:tcBorders>
            <w:shd w:fill="E7E7E2" w:val="clear"/>
            <w:tcMar>
              <w:top w:w="0" w:type="dxa"/>
              <w:left w:w="0" w:type="dxa"/>
              <w:right w:w="0" w:type="dxa"/>
            </w:tcMar>
            <w:vAlign w:val="center"/>
          </w:tcPr>
          <w:p>
            <w:pPr>
              <w:pStyle w:val="TableContents"/>
              <w:bidi w:val="0"/>
              <w:spacing w:before="0" w:after="283"/>
              <w:jc w:val="center"/>
              <w:rPr/>
            </w:pPr>
            <w:r>
              <w:rPr/>
              <w:t> </w:t>
            </w:r>
          </w:p>
        </w:tc>
        <w:tc>
          <w:tcPr>
            <w:tcW w:w="1291" w:type="dxa"/>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6" w:space="0" w:color="000000"/>
            </w:tcBorders>
            <w:shd w:fill="E7E7E2" w:val="clear"/>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6" w:space="0" w:color="000000"/>
            </w:tcBorders>
            <w:shd w:fill="E7E7E2"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6" w:space="0" w:color="000000"/>
            </w:tcBorders>
            <w:shd w:fill="E7E7E2"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6" w:space="0" w:color="000000"/>
            </w:tcBorders>
            <w:shd w:fill="E7E7E2"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6" w:space="0" w:color="000000"/>
            </w:tcBorders>
            <w:shd w:fill="E7E7E2"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6" w:space="0" w:color="000000"/>
            </w:tcBorders>
            <w:shd w:fill="E7E7E2"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6" w:space="0" w:color="000000"/>
            </w:tcBorders>
            <w:shd w:fill="E7E7E2" w:val="clear"/>
            <w:tcMar>
              <w:top w:w="0" w:type="dxa"/>
              <w:left w:w="0" w:type="dxa"/>
              <w:right w:w="0" w:type="dxa"/>
            </w:tcMar>
            <w:vAlign w:val="center"/>
          </w:tcPr>
          <w:p>
            <w:pPr>
              <w:pStyle w:val="TableContents"/>
              <w:bidi w:val="0"/>
              <w:spacing w:before="0" w:after="283"/>
              <w:jc w:val="right"/>
              <w:rPr/>
            </w:pPr>
            <w:r>
              <w:rPr/>
              <w:t> </w:t>
            </w:r>
          </w:p>
        </w:tc>
        <w:tc>
          <w:tcPr>
            <w:tcW w:w="976" w:type="dxa"/>
            <w:tcBorders>
              <w:bottom w:val="single" w:sz="6" w:space="0" w:color="000000"/>
              <w:right w:val="single" w:sz="6" w:space="0" w:color="000000"/>
            </w:tcBorders>
            <w:shd w:fill="E7E7E2" w:val="clear"/>
            <w:tcMar>
              <w:top w:w="0" w:type="dxa"/>
              <w:lef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hyperlink" Target="https://www.sec.gov/ix?doc=/Archives/edgar/data/0001671584/000119312526126278/apvo-20251231.htm" TargetMode="External"/><Relationship Id="rId11" Type="http://schemas.openxmlformats.org/officeDocument/2006/relationships/hyperlink" Target="https://www.sec.gov/ix?doc=/Archives/edgar/data/0001671584/000119312526126278/apvo-20251231.htm" TargetMode="External"/><Relationship Id="rId12" Type="http://schemas.openxmlformats.org/officeDocument/2006/relationships/hyperlink" Target="https://www.sec.gov/ix?doc=/Archives/edgar/data/0001671584/000119312526008318/apvo-20260108.htm" TargetMode="External"/><Relationship Id="rId13" Type="http://schemas.openxmlformats.org/officeDocument/2006/relationships/hyperlink" Target="https://www.sec.gov/ix?doc=/Archives/edgar/data/0001671584/000119312526034473/apvo-20260130.htm" TargetMode="External"/><Relationship Id="rId14" Type="http://schemas.openxmlformats.org/officeDocument/2006/relationships/hyperlink" Target="https://www.sec.gov/ix?doc=/Archives/edgar/data/0001671584/000119312526057707/apvo-20260218.htm" TargetMode="External"/><Relationship Id="rId15" Type="http://schemas.openxmlformats.org/officeDocument/2006/relationships/hyperlink" Target="https://www.sec.gov/ix?doc=/Archives/edgar/data/0001671584/000119312526100539/apvo-20260310.htm" TargetMode="External"/><Relationship Id="rId16" Type="http://schemas.openxmlformats.org/officeDocument/2006/relationships/hyperlink" Target="https://www.sec.gov/ix?doc=/Archives/edgar/data/0001671584/000119312526208958/apvo-20260506.htm" TargetMode="External"/><Relationship Id="rId17" Type="http://schemas.openxmlformats.org/officeDocument/2006/relationships/hyperlink" Target="https://www.sec.gov/ix?doc=/Archives/edgar/data/0001671584/000119312526241867/apvo-20260525.htm" TargetMode="External"/><Relationship Id="rId18" Type="http://schemas.openxmlformats.org/officeDocument/2006/relationships/hyperlink" Target="https://www.sec.gov/ix?doc=/Archives/edgar/data/0001671584/000119312526290473/apvo-20260629.htm" TargetMode="External"/><Relationship Id="rId19" Type="http://schemas.openxmlformats.org/officeDocument/2006/relationships/hyperlink" Target="https://www.sec.gov/Archives/edgar/data/1671584/000156459021016875/apvo-ex45_509.htm" TargetMode="External"/><Relationship Id="rId20" Type="http://schemas.openxmlformats.org/officeDocument/2006/relationships/hyperlink" Target="https://www.sec.gov/Archives/edgar/data/1671584/000156459016022097/apvo-ex31_68.htm" TargetMode="External"/><Relationship Id="rId21" Type="http://schemas.openxmlformats.org/officeDocument/2006/relationships/hyperlink" Target="https://www.sec.gov/Archives/edgar/data/1671584/000119312520087225/d865645dex31.htm" TargetMode="External"/><Relationship Id="rId22" Type="http://schemas.openxmlformats.org/officeDocument/2006/relationships/hyperlink" Target="https://www.sec.gov/Archives/edgar/data/1671584/000101905620000553/ex3_1.htm" TargetMode="External"/><Relationship Id="rId23" Type="http://schemas.openxmlformats.org/officeDocument/2006/relationships/hyperlink" Target="https://www.sec.gov/Archives/edgar/data/1671584/000101905620000553/ex3_1.htm" TargetMode="External"/><Relationship Id="rId24" Type="http://schemas.openxmlformats.org/officeDocument/2006/relationships/hyperlink" Target="https://www.sec.gov/ix?doc=/Archives/edgar/data/0001671584/000095017024026223/apvo-20240305.htm" TargetMode="External"/><Relationship Id="rId25" Type="http://schemas.openxmlformats.org/officeDocument/2006/relationships/hyperlink" Target="https://www.sec.gov/Archives/edgar/data/1671584/000095017024132855/apvo-ex3_1.htm" TargetMode="External"/><Relationship Id="rId26" Type="http://schemas.openxmlformats.org/officeDocument/2006/relationships/hyperlink" Target="https://www.sec.gov/Archives/edgar/data/1671584/000095017025077089/apvo-ex3_1.htm" TargetMode="External"/><Relationship Id="rId27" Type="http://schemas.openxmlformats.org/officeDocument/2006/relationships/hyperlink" Target="https://www.sec.gov/Archives/edgar/data/1671584/000119312525335497/apvo-ex3_1.htm" TargetMode="External"/><Relationship Id="rId28" Type="http://schemas.openxmlformats.org/officeDocument/2006/relationships/hyperlink" Target="https://www.sec.gov/Archives/edgar/data/1671584/000156459016022097/apvo-ex32_67.htm" TargetMode="External"/><Relationship Id="rId29" Type="http://schemas.openxmlformats.org/officeDocument/2006/relationships/hyperlink" Target="https://www.sec.gov/Archives/edgar/data/1671584/000119312516634950/d26473dex41.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3677</Words>
  <Characters>19782</Characters>
  <CharactersWithSpaces>23423</CharactersWithSpaces>
  <Paragraphs>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