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 w:lineRule="exact"/>
        <w:rPr>
          <w:sz w:val="24"/>
          <w:szCs w:val="24"/>
          <w:color w:val="auto"/>
        </w:rPr>
      </w:pPr>
    </w:p>
    <w:p>
      <w:pPr>
        <w:ind w:left="520" w:hanging="512"/>
        <w:spacing w:after="0" w:line="237"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7" w:lineRule="exact"/>
        <w:rPr>
          <w:sz w:val="24"/>
          <w:szCs w:val="24"/>
          <w:color w:val="auto"/>
        </w:rPr>
      </w:pPr>
    </w:p>
    <w:p>
      <w:pPr>
        <w:ind w:left="3240"/>
        <w:spacing w:after="0"/>
        <w:tabs>
          <w:tab w:leader="none" w:pos="6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3531235</wp:posOffset>
            </wp:positionH>
            <wp:positionV relativeFrom="paragraph">
              <wp:posOffset>-7620</wp:posOffset>
            </wp:positionV>
            <wp:extent cx="9512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APTEVO THERAPEUTICS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680" w:type="dxa"/>
        <w:tblCellMar>
          <w:top w:w="0" w:type="dxa"/>
          <w:left w:w="0" w:type="dxa"/>
          <w:bottom w:w="0" w:type="dxa"/>
          <w:right w:w="0" w:type="dxa"/>
        </w:tblCellMar>
      </w:tblP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right"/>
              <w:ind w:right="61"/>
              <w:spacing w:after="0"/>
              <w:rPr>
                <w:sz w:val="20"/>
                <w:szCs w:val="20"/>
                <w:color w:val="auto"/>
              </w:rPr>
            </w:pPr>
            <w:r>
              <w:rPr>
                <w:rFonts w:ascii="Arial" w:cs="Arial" w:eastAsia="Arial" w:hAnsi="Arial"/>
                <w:sz w:val="18"/>
                <w:szCs w:val="18"/>
                <w:b w:val="1"/>
                <w:bCs w:val="1"/>
                <w:color w:val="auto"/>
              </w:rPr>
              <w:t>81-1567056</w:t>
            </w:r>
          </w:p>
        </w:tc>
      </w:tr>
      <w:tr>
        <w:trPr>
          <w:trHeight w:val="149"/>
        </w:trPr>
        <w:tc>
          <w:tcPr>
            <w:tcW w:w="436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9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88"/>
              </w:rPr>
              <w:t>2401 4</w:t>
            </w:r>
            <w:r>
              <w:rPr>
                <w:rFonts w:ascii="Arial" w:cs="Arial" w:eastAsia="Arial" w:hAnsi="Arial"/>
                <w:sz w:val="15"/>
                <w:szCs w:val="15"/>
                <w:b w:val="1"/>
                <w:bCs w:val="1"/>
                <w:color w:val="auto"/>
                <w:w w:val="88"/>
              </w:rPr>
              <w:t>th</w:t>
            </w:r>
            <w:r>
              <w:rPr>
                <w:rFonts w:ascii="Arial" w:cs="Arial" w:eastAsia="Arial" w:hAnsi="Arial"/>
                <w:sz w:val="18"/>
                <w:szCs w:val="18"/>
                <w:b w:val="1"/>
                <w:bCs w:val="1"/>
                <w:color w:val="auto"/>
                <w:w w:val="88"/>
              </w:rPr>
              <w:t xml:space="preserve"> Avenue, Suite 1050</w:t>
            </w:r>
          </w:p>
        </w:tc>
        <w:tc>
          <w:tcPr>
            <w:tcW w:w="3100" w:type="dxa"/>
            <w:vAlign w:val="bottom"/>
          </w:tcPr>
          <w:p>
            <w:pPr>
              <w:spacing w:after="0"/>
              <w:rPr>
                <w:sz w:val="24"/>
                <w:szCs w:val="24"/>
                <w:color w:val="auto"/>
              </w:rPr>
            </w:pPr>
          </w:p>
        </w:tc>
      </w:t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88"/>
              </w:rPr>
              <w:t>Seattle, Washington</w:t>
            </w:r>
          </w:p>
        </w:tc>
        <w:tc>
          <w:tcPr>
            <w:tcW w:w="3100" w:type="dxa"/>
            <w:vAlign w:val="bottom"/>
          </w:tcPr>
          <w:p>
            <w:pPr>
              <w:jc w:val="right"/>
              <w:ind w:right="261"/>
              <w:spacing w:after="0"/>
              <w:rPr>
                <w:sz w:val="20"/>
                <w:szCs w:val="20"/>
                <w:color w:val="auto"/>
              </w:rPr>
            </w:pPr>
            <w:r>
              <w:rPr>
                <w:rFonts w:ascii="Arial" w:cs="Arial" w:eastAsia="Arial" w:hAnsi="Arial"/>
                <w:sz w:val="18"/>
                <w:szCs w:val="18"/>
                <w:b w:val="1"/>
                <w:bCs w:val="1"/>
                <w:color w:val="auto"/>
              </w:rPr>
              <w:t>98121</w:t>
            </w:r>
          </w:p>
        </w:tc>
      </w:tr>
      <w:tr>
        <w:trPr>
          <w:trHeight w:val="186"/>
        </w:trPr>
        <w:tc>
          <w:tcPr>
            <w:tcW w:w="43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(206) 838-0500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3" w:lineRule="exact"/>
        <w:rPr>
          <w:sz w:val="24"/>
          <w:szCs w:val="24"/>
          <w:color w:val="auto"/>
        </w:rPr>
      </w:pPr>
    </w:p>
    <w:p>
      <w:pPr>
        <w:jc w:val="both"/>
        <w:ind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3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15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538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80" w:type="dxa"/>
            <w:vAlign w:val="bottom"/>
          </w:tcPr>
          <w:p>
            <w:pPr>
              <w:ind w:left="15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9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680" w:type="dxa"/>
            <w:vAlign w:val="bottom"/>
          </w:tcPr>
          <w:p>
            <w:pPr>
              <w:ind w:left="150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ind w:firstLine="518"/>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r>
        <w:rPr>
          <w:rFonts w:ascii="MS PGothic" w:cs="MS PGothic" w:eastAsia="MS PGothic" w:hAnsi="MS PGothic"/>
          <w:sz w:val="18"/>
          <w:szCs w:val="18"/>
          <w:color w:val="auto"/>
        </w:rPr>
        <w:t>☐</w:t>
      </w:r>
    </w:p>
    <w:p>
      <w:pPr>
        <w:spacing w:after="0" w:line="2" w:lineRule="exact"/>
        <w:rPr>
          <w:sz w:val="24"/>
          <w:szCs w:val="24"/>
          <w:color w:val="auto"/>
        </w:rPr>
      </w:pPr>
    </w:p>
    <w:p>
      <w:pPr>
        <w:ind w:left="520" w:right="1380"/>
        <w:spacing w:after="0" w:line="27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May 8, 2018, the number of shares of Registrant’s common stock outstanding was 22,586,132.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244475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46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460" w:type="dxa"/>
            <w:vAlign w:val="bottom"/>
            <w:gridSpan w:val="18"/>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6120" w:type="dxa"/>
            <w:vAlign w:val="bottom"/>
            <w:gridSpan w:val="8"/>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w:t>
              </w:r>
            </w:hyperlink>
          </w:p>
        </w:tc>
        <w:tc>
          <w:tcPr>
            <w:tcW w:w="5400" w:type="dxa"/>
            <w:vAlign w:val="bottom"/>
            <w:gridSpan w:val="7"/>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Loss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660" w:type="dxa"/>
            <w:vAlign w:val="bottom"/>
            <w:tcBorders>
              <w:top w:val="single" w:sz="8" w:color="0000EE"/>
            </w:tcBorders>
            <w:gridSpan w:val="4"/>
          </w:tcPr>
          <w:p>
            <w:pPr>
              <w:spacing w:after="0"/>
              <w:rPr>
                <w:sz w:val="18"/>
                <w:szCs w:val="18"/>
                <w:color w:val="auto"/>
              </w:rPr>
            </w:pPr>
          </w:p>
        </w:tc>
        <w:tc>
          <w:tcPr>
            <w:tcW w:w="468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060" w:type="dxa"/>
            <w:vAlign w:val="bottom"/>
            <w:gridSpan w:val="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60" w:type="dxa"/>
            <w:vAlign w:val="bottom"/>
            <w:gridSpan w:val="1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Controls and Procedures</w:t>
              </w:r>
            </w:hyperlink>
          </w:p>
        </w:tc>
        <w:tc>
          <w:tcPr>
            <w:tcW w:w="7660" w:type="dxa"/>
            <w:vAlign w:val="bottom"/>
            <w:gridSpan w:val="11"/>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39"/>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4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OTHER INFORMATION</w:t>
              </w:r>
            </w:hyperlink>
          </w:p>
        </w:tc>
        <w:tc>
          <w:tcPr>
            <w:tcW w:w="7420" w:type="dxa"/>
            <w:vAlign w:val="bottom"/>
            <w:gridSpan w:val="10"/>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8"/>
                <w:szCs w:val="18"/>
                <w:color w:val="auto"/>
              </w:rPr>
            </w:pPr>
          </w:p>
        </w:tc>
        <w:tc>
          <w:tcPr>
            <w:tcW w:w="8120" w:type="dxa"/>
            <w:vAlign w:val="bottom"/>
            <w:gridSpan w:val="1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Unregistered Sales of Equity Securities and Use of Proceeds</w:t>
              </w:r>
            </w:hyperlink>
          </w:p>
        </w:tc>
        <w:tc>
          <w:tcPr>
            <w:tcW w:w="510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40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Defaults Upon Senior Securities</w:t>
              </w:r>
            </w:hyperlink>
          </w:p>
        </w:tc>
        <w:tc>
          <w:tcPr>
            <w:tcW w:w="7060" w:type="dxa"/>
            <w:vAlign w:val="bottom"/>
            <w:gridSpan w:val="9"/>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Mine Safety Disclosures</w:t>
              </w:r>
            </w:hyperlink>
          </w:p>
        </w:tc>
        <w:tc>
          <w:tcPr>
            <w:tcW w:w="7680" w:type="dxa"/>
            <w:vAlign w:val="bottom"/>
            <w:gridSpan w:val="1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460" w:type="dxa"/>
            <w:vAlign w:val="bottom"/>
            <w:gridSpan w:val="1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8140" w:type="dxa"/>
            <w:vAlign w:val="bottom"/>
            <w:gridSpan w:val="1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Quarterly Report on Form 10-Q, “we,” “our,” “us,” “Aptevo,” and “the Company” refer to Aptevo Therapeutics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2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0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49,824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73,688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6,630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10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77,160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95,084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 net of current portion</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5,936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 net</w:t>
            </w:r>
          </w:p>
        </w:tc>
        <w:tc>
          <w:tcPr>
            <w:tcW w:w="10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assets</w:t>
            </w:r>
          </w:p>
        </w:tc>
        <w:tc>
          <w:tcPr>
            <w:tcW w:w="10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100,212</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117,007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FF0FC"/>
          </w:tcPr>
          <w:p>
            <w:pPr>
              <w:ind w:left="1880"/>
              <w:spacing w:after="0"/>
              <w:rPr>
                <w:sz w:val="20"/>
                <w:szCs w:val="20"/>
                <w:color w:val="auto"/>
              </w:rPr>
            </w:pPr>
            <w:r>
              <w:rPr>
                <w:rFonts w:ascii="Arial" w:cs="Arial" w:eastAsia="Arial" w:hAnsi="Arial"/>
                <w:sz w:val="18"/>
                <w:szCs w:val="18"/>
                <w:b w:val="1"/>
                <w:bCs w:val="1"/>
                <w:color w:val="auto"/>
              </w:rPr>
              <w:t>LIABILITIES AND STOCKHOLDERS' EQUITY</w:t>
            </w: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liabilities: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and other accrued liabilities</w:t>
            </w:r>
          </w:p>
        </w:tc>
        <w:tc>
          <w:tcPr>
            <w:tcW w:w="12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7,263</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rebates and discounts payable</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5,333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short-term liabilities</w:t>
            </w:r>
          </w:p>
        </w:tc>
        <w:tc>
          <w:tcPr>
            <w:tcW w:w="10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17,273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18,510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 debt, net</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liabilities</w:t>
            </w:r>
          </w:p>
        </w:tc>
        <w:tc>
          <w:tcPr>
            <w:tcW w:w="10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10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31,848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Preferred stock: $0.001 par value; 15,000,000 shares authorized, zero shares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issued or outstanding</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$0.001 par value; 500,000,000 shares authorized; 22,441,974</w:t>
            </w: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and 21,605,716 shares issued and outstanding at March 31, 2018 and</w:t>
            </w: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31, 2017, respectively</w:t>
            </w:r>
          </w:p>
        </w:tc>
        <w:tc>
          <w:tcPr>
            <w:tcW w:w="10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155,998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155,837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Accumulated deficit</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(87,573)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(73,719)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0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68,364</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82,035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100,212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Product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4,071</w:t>
            </w:r>
          </w:p>
        </w:tc>
        <w:tc>
          <w:tcPr>
            <w:tcW w:w="180" w:type="dxa"/>
            <w:vAlign w:val="bottom"/>
          </w:tcPr>
          <w:p>
            <w:pPr>
              <w:spacing w:after="0"/>
              <w:rPr>
                <w:sz w:val="19"/>
                <w:szCs w:val="19"/>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Collaborations</w:t>
            </w: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Cost of product sales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expense from continuing operations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2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from continuing operations</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(13,908)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Discontinued operations (Note 2):</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from discontinued operations, before income taxes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discontinued operations</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(13,854)</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Basic net loss per share:</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Net loss from continuing operations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(0.63)</w:t>
            </w: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Net income from discontinued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used to compute per share</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ind w:left="120"/>
              <w:spacing w:after="0"/>
              <w:rPr>
                <w:sz w:val="20"/>
                <w:szCs w:val="20"/>
                <w:color w:val="auto"/>
              </w:rPr>
            </w:pPr>
            <w:r>
              <w:rPr>
                <w:rFonts w:ascii="Arial" w:cs="Arial" w:eastAsia="Arial" w:hAnsi="Arial"/>
                <w:sz w:val="18"/>
                <w:szCs w:val="18"/>
                <w:color w:val="auto"/>
              </w:rPr>
              <w:t>calculations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22,025,268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20,757,111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COLSOLIDATED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29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8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960" w:type="dxa"/>
            <w:vAlign w:val="bottom"/>
            <w:tcBorders>
              <w:top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(13,854)</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9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(9,945)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available-for-sale investments, net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(13,832)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(9,953)</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354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56"/>
        </w:trPr>
        <w:tc>
          <w:tcPr>
            <w:tcW w:w="788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(13,854)</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(9,945)</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Non-cash interest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(187)</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(957)</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(1,342)</w:t>
            </w: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(806)</w:t>
            </w: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Accounts payable, accrued compensation and other liabilities</w:t>
            </w:r>
          </w:p>
        </w:tc>
        <w:tc>
          <w:tcPr>
            <w:tcW w:w="9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(3,371)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(4,916)</w:t>
            </w: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Assets and liabilities held for sale</w:t>
            </w: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(16,978)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(12,027)</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Proceeds from the maturity of investments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25,929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8,102</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received from sale of Hyperimmune Business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Purchases of investments</w:t>
            </w: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(1,998)</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(10,138)</w:t>
            </w:r>
          </w:p>
        </w:tc>
      </w:tr>
      <w:tr>
        <w:trPr>
          <w:trHeight w:val="22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23,512</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Settlement of contribution receivable from former parent</w:t>
            </w: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Common stock issued upon exercise of stock options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Payment of tax liability for vested equity awards</w:t>
            </w:r>
          </w:p>
        </w:tc>
        <w:tc>
          <w:tcPr>
            <w:tcW w:w="9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(742)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(805)</w:t>
            </w: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Increase in cash, cash equivalents, and restricted cash</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5,978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4,338</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10,076</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14,414</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 Nature of Business and Significant Accounting Policies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Organization and Basis of Presentation</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Aptevo Therapeutics Inc. (Aptevo, we, us, or the Company) is a biotechnology company focused on novel oncology (cancer) and hematology (blood disease) therapeutics to meaningfully improve patients’ lives. Our core technology is the ADAPTIR (modular protein technology) platform. We currently have one revenue-generating product in the area of hematology, IXINITY, as well as various investigational stage product candidates in the area of immuno-oncology and autoimmune and inflammatory diseases.</w:t>
      </w:r>
    </w:p>
    <w:p>
      <w:pPr>
        <w:spacing w:after="0" w:line="18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U.S. generally accepted accounting principles (GAAP). These condensed consolidated financial statements include all adjustments, which include normal recurring adjustments, necessary for the fair presentation of the Company’s financial position. We are currently trading on the Nasdaq Global Market under the symbol “APVO.”</w:t>
      </w:r>
    </w:p>
    <w:p>
      <w:pPr>
        <w:spacing w:after="0" w:line="166"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On September 28, 2017, Aptevo completed the sale of its hyperimmune business which consisted of the following products: WinRho</w:t>
      </w:r>
      <w:r>
        <w:rPr>
          <w:rFonts w:ascii="Arial" w:cs="Arial" w:eastAsia="Arial" w:hAnsi="Arial"/>
          <w:sz w:val="14"/>
          <w:szCs w:val="14"/>
          <w:color w:val="auto"/>
        </w:rPr>
        <w:t>®</w:t>
      </w:r>
      <w:r>
        <w:rPr>
          <w:rFonts w:ascii="Arial" w:cs="Arial" w:eastAsia="Arial" w:hAnsi="Arial"/>
          <w:sz w:val="17"/>
          <w:szCs w:val="17"/>
          <w:color w:val="auto"/>
        </w:rPr>
        <w:t xml:space="preserve"> SDF for autoimmune platelet disorder and hemolytic disease of the newborn; HepaGam B</w:t>
      </w:r>
      <w:r>
        <w:rPr>
          <w:rFonts w:ascii="Arial" w:cs="Arial" w:eastAsia="Arial" w:hAnsi="Arial"/>
          <w:sz w:val="14"/>
          <w:szCs w:val="14"/>
          <w:color w:val="auto"/>
        </w:rPr>
        <w:t>®</w:t>
      </w:r>
      <w:r>
        <w:rPr>
          <w:rFonts w:ascii="Arial" w:cs="Arial" w:eastAsia="Arial" w:hAnsi="Arial"/>
          <w:sz w:val="17"/>
          <w:szCs w:val="17"/>
          <w:color w:val="auto"/>
        </w:rPr>
        <w:t xml:space="preserve"> for the prevention of Hepatitis B following liver transplantation and for treatment following hepatitis B exposure; and VARIZIG</w:t>
      </w:r>
      <w:r>
        <w:rPr>
          <w:rFonts w:ascii="Arial" w:cs="Arial" w:eastAsia="Arial" w:hAnsi="Arial"/>
          <w:sz w:val="14"/>
          <w:szCs w:val="14"/>
          <w:color w:val="auto"/>
        </w:rPr>
        <w:t>®</w:t>
      </w:r>
      <w:r>
        <w:rPr>
          <w:rFonts w:ascii="Arial" w:cs="Arial" w:eastAsia="Arial" w:hAnsi="Arial"/>
          <w:sz w:val="17"/>
          <w:szCs w:val="17"/>
          <w:color w:val="auto"/>
        </w:rPr>
        <w:t xml:space="preserve"> for treatment following exposure to varicella zoster virus for individuals with compromised immune systems (Hyperimmune Business). The Hyperimmune Business met all the conditions to be classified as a discontinued operation since the sale of Hyperimmune Business represented a strategic shift that will have a major effect on the Company’s operations and financial results. Aptevo will not have further significant involvement in the operations of the discontinued Hyperimmune Business. The operating results of the Hyperimmune Business are reported as income from the discontinued operations, both pre-tax and net of tax, in the consolidated statements of operations for first quarter of 2017 reporting period. See Note 2 - Sale of Hyperimmune Business for additional information.</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Aptevo records accounts receivable net of an allowance for doubtful accounts based upon its assessment of collectability, and of applicable discounts.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Aptevo performs ongoing credit evaluations of its customers and generally does not require collateral.</w:t>
      </w:r>
    </w:p>
    <w:p>
      <w:pPr>
        <w:spacing w:after="0" w:line="35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 Recognition</w:t>
      </w:r>
    </w:p>
    <w:p>
      <w:pPr>
        <w:spacing w:after="0" w:line="135" w:lineRule="exact"/>
        <w:rPr>
          <w:sz w:val="20"/>
          <w:szCs w:val="20"/>
          <w:color w:val="auto"/>
        </w:rPr>
      </w:pPr>
    </w:p>
    <w:p>
      <w:pPr>
        <w:jc w:val="both"/>
        <w:ind w:firstLine="518"/>
        <w:spacing w:after="0" w:line="284" w:lineRule="auto"/>
        <w:rPr>
          <w:sz w:val="20"/>
          <w:szCs w:val="20"/>
          <w:color w:val="auto"/>
        </w:rPr>
      </w:pPr>
      <w:r>
        <w:rPr>
          <w:rFonts w:ascii="Arial" w:cs="Arial" w:eastAsia="Arial" w:hAnsi="Arial"/>
          <w:sz w:val="16"/>
          <w:szCs w:val="16"/>
          <w:color w:val="auto"/>
        </w:rPr>
        <w:t>Effective January 1, 2018, we adopted Financial Accounting Standards Board (FASB) Accounting Standard Update (ASU) No. 2014-09, Revenue from Contracts with Customers (Topic 606) on a modified retrospective basis, which requires the cumulative effect of the adoption to be recognized as an adjustment to opening retained earnings in the first period of 2018. For Aptevo, there was no financial impact for the cumulative effect of this change, and therefore there was no adjustment to opening retained earnings. This standard applies to all contracts with customers, except for contracts that are within the scope of other standards, such as leases, insurance, collaborative arrangements and financial instruments. 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w:t>
      </w:r>
    </w:p>
    <w:p>
      <w:pPr>
        <w:spacing w:after="0" w:line="1" w:lineRule="exact"/>
        <w:rPr>
          <w:sz w:val="20"/>
          <w:szCs w:val="20"/>
          <w:color w:val="auto"/>
        </w:rPr>
      </w:pPr>
    </w:p>
    <w:p>
      <w:pPr>
        <w:ind w:firstLine="8"/>
        <w:spacing w:after="0" w:line="261" w:lineRule="auto"/>
        <w:tabs>
          <w:tab w:leader="none" w:pos="321"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 (v) recognize revenue when (or as) the entity satisfies a performance obligation.</w:t>
      </w:r>
    </w:p>
    <w:p>
      <w:pPr>
        <w:spacing w:after="0" w:line="18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only apply the five-step model to contracts when it is probable that we will collect the consideration we are entitled to in exchange for the goods or services we transfer to the customers. At contract inception, once the contract is determined to be within the scope of Topic 606, we assess the goods or services promised within each contract and identify, as a performance obligation, and assess whether each promised good or service is distinct. We then recognize as revenue the amount of the transaction price that is allocated to the respective performance obligation when (or as) the performance obligation is satisfied.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both"/>
        <w:ind w:right="20" w:firstLine="518"/>
        <w:spacing w:after="0" w:line="308" w:lineRule="auto"/>
        <w:rPr>
          <w:sz w:val="20"/>
          <w:szCs w:val="20"/>
          <w:color w:val="auto"/>
        </w:rPr>
      </w:pPr>
      <w:r>
        <w:rPr>
          <w:rFonts w:ascii="Arial" w:cs="Arial" w:eastAsia="Arial" w:hAnsi="Arial"/>
          <w:sz w:val="17"/>
          <w:szCs w:val="17"/>
          <w:color w:val="auto"/>
        </w:rPr>
        <w:t>Aptevo has one marketed commercial product, IXINITY, a coagulation factor IX (recombinant) therapeutic indicated in adults and children 12 years of age and older with hemophilia B for control and prevention of bleeding episodes, and management of bleeding during operations.</w:t>
      </w:r>
    </w:p>
    <w:p>
      <w:pPr>
        <w:spacing w:after="0" w:line="14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To determine revenue recognition within the scope of Topic 606 on the contracts involved in the distribution channel for IXINITY, we performed the following five steps: (i) identify the contract(s) with a customer; (ii) identify the performance obligations in the contract; (iii) determine the transaction price; (iv) allocate the transaction price to the performance obligations; and (v) recognize revenue when (or as) each performance obligation is satisfied.</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Product Revenue, Net</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sell IXINITY to a limited number of specialty distributors in the United States, collectively, our customers. These customers subsequently resell IXINITY to health care providers and patients. Revenue from product sales are recognized when the customer obtains control of the IXINITY product. Our customers provide us with a new order for every purchase of goods. This incorporates the terms and conditions of the contract, including pricing. Acceptance of the order is the point at which we are obligated to provide the product, and we have determined that each order represents a unique performance obligation. Product revenue is recorded at the amount we expect to receive, which is net of any rebates or chargebacks.</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Reserves for Variable Consideration</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have identified the following fees, discounts and rebates that result in consideration being variable: chargebacks, distributor and Government Purchasing Organizations (GPO) fees, government rebates, return rights, and patient assistance. As part of determining variable consideration we noted that although the distributors are our customers, there are additional indirect customers in the distribution chain to whom we make payments. These indirect customers are not customers; however, unless a distinct good or service is provided to us, payments to these indirect customers need to be accounted for as a reduction in the transaction price, and therefore constitute an element of variable consideration, under Topic 606. Further, if material, we would also account for returns as variable consideration.</w:t>
      </w:r>
    </w:p>
    <w:p>
      <w:pPr>
        <w:spacing w:after="0" w:line="193"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These reserves are based on the amounts earned or to be claimed on the related sales and are classified as reductions of accounts receivable (if the amount is payable to the Customer) or a current liability (if the amount is payable to a party other than a Customer). Where appropriate, these estimates take into consideration a range of possible outcomes that are probability-weighted for relevant factors such as our historical experience,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contract.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established reserves for the following types of variable consideration:</w:t>
      </w:r>
    </w:p>
    <w:p>
      <w:pPr>
        <w:spacing w:after="0" w:line="225"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i w:val="1"/>
          <w:iCs w:val="1"/>
          <w:color w:val="auto"/>
        </w:rPr>
        <w:t xml:space="preserve">Chargebacks: </w:t>
      </w:r>
      <w:r>
        <w:rPr>
          <w:rFonts w:ascii="Arial" w:cs="Arial" w:eastAsia="Arial" w:hAnsi="Arial"/>
          <w:sz w:val="17"/>
          <w:szCs w:val="17"/>
          <w:color w:val="auto"/>
        </w:rPr>
        <w:t>We make payments to customers (in the form of credit memos) which are based on the difference between the price paid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distributor and contracted prices paid by the authorized customers of the distributor. Specialty pharmacies, GPOs and other smaller specialty distributors buy the product from the distributors at prices agreed to in contracts with us, or if they are eligible, at government established prices (PHS/Medicaid/Medicare/VA prices). When the distributor sells the product at contracted prices lower than their acquisition price, the distributor is allowed to charge the difference between their price and the contract price paid by their customer to Aptevo. We referred to this as a “Chargeback”.</w:t>
      </w:r>
    </w:p>
    <w:p>
      <w:pPr>
        <w:spacing w:after="0" w:line="17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These reserves are established in the same period that the related revenue is recognized, resulting in a reduction of product revenue and accounts receivable. Chargeback amounts are generally determined at the time of resale to the qualified healthcare provider by Customers, and we generally issue credits for such amounts within a few weeks of the Customer’s notification to us of the resale. Reserves for chargebacks consist of credits we expect to issue for units that remain in the distribution channel inventories at each reporting period end that we expect will be sold to qualified healthcare providers, and chargebacks that Customers have claimed but for which we have not yet issued a credit.</w:t>
      </w:r>
    </w:p>
    <w:p>
      <w:pPr>
        <w:spacing w:after="0" w:line="173"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i w:val="1"/>
          <w:iCs w:val="1"/>
          <w:color w:val="auto"/>
        </w:rPr>
        <w:t xml:space="preserve">Distribution and Data fees </w:t>
      </w:r>
      <w:r>
        <w:rPr>
          <w:rFonts w:ascii="Arial" w:cs="Arial" w:eastAsia="Arial" w:hAnsi="Arial"/>
          <w:sz w:val="16"/>
          <w:szCs w:val="16"/>
          <w:color w:val="auto"/>
        </w:rPr>
        <w:t>– We pay fees (in the form of direct payments) to the distributors and some GPOs (indirect customers) for distribution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products and for transmission of data. Fees owed to our distributors is based on their purchases and is calculated as a direct percent of quarterly purchases. Although fees can vary from distributor to distributor, the fees associated with a specific sale is known at the time of the sale. Fees owed to GPOs are determined based on history, and other factors such as contracting strategy or a shift in sales to certain channels which may impact the provider mix.</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jc w:val="both"/>
        <w:ind w:firstLine="518"/>
        <w:spacing w:after="0" w:line="271" w:lineRule="auto"/>
        <w:rPr>
          <w:sz w:val="20"/>
          <w:szCs w:val="20"/>
          <w:color w:val="auto"/>
        </w:rPr>
      </w:pPr>
      <w:r>
        <w:rPr>
          <w:rFonts w:ascii="Arial" w:cs="Arial" w:eastAsia="Arial" w:hAnsi="Arial"/>
          <w:sz w:val="17"/>
          <w:szCs w:val="17"/>
          <w:i w:val="1"/>
          <w:iCs w:val="1"/>
          <w:color w:val="auto"/>
        </w:rPr>
        <w:t xml:space="preserve">Government Rebates: </w:t>
      </w:r>
      <w:r>
        <w:rPr>
          <w:rFonts w:ascii="Arial" w:cs="Arial" w:eastAsia="Arial" w:hAnsi="Arial"/>
          <w:sz w:val="17"/>
          <w:szCs w:val="17"/>
          <w:color w:val="auto"/>
        </w:rPr>
        <w:t>Certain sales by the specialty pharmacies and GPOs are to qualified PHS/Medicaid/Medicare/VA and other government patients.</w:t>
      </w:r>
      <w:r>
        <w:rPr>
          <w:rFonts w:ascii="Arial" w:cs="Arial" w:eastAsia="Arial" w:hAnsi="Arial"/>
          <w:sz w:val="17"/>
          <w:szCs w:val="17"/>
          <w:i w:val="1"/>
          <w:iCs w:val="1"/>
          <w:color w:val="auto"/>
        </w:rPr>
        <w:t xml:space="preserve"> </w:t>
      </w:r>
      <w:r>
        <w:rPr>
          <w:rFonts w:ascii="Arial" w:cs="Arial" w:eastAsia="Arial" w:hAnsi="Arial"/>
          <w:sz w:val="17"/>
          <w:szCs w:val="17"/>
          <w:color w:val="auto"/>
        </w:rPr>
        <w:t>We have contracts with these agencies that require rebates for sales made under these programs. We estimate our Medicaid and Medicare rebates based upon a range of possible outcomes that are probability-weighted for the estimated payor mix. These reserves are recorded in the same period the related revenue is recognized, resulting in a reduction of product revenue and the establishment of a current liability that is included in accrued expenses on the consolidated balance sheet. For Medicare, we also estimate the number of patients in the prescription drug coverage gap for whom we will owe an additional liability under the Medicare Part D program. Our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period end.</w:t>
      </w:r>
    </w:p>
    <w:p>
      <w:pPr>
        <w:spacing w:after="0" w:line="179"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i w:val="1"/>
          <w:iCs w:val="1"/>
          <w:color w:val="auto"/>
        </w:rPr>
        <w:t xml:space="preserve">Commercial Rebates: </w:t>
      </w:r>
      <w:r>
        <w:rPr>
          <w:rFonts w:ascii="Arial" w:cs="Arial" w:eastAsia="Arial" w:hAnsi="Arial"/>
          <w:sz w:val="16"/>
          <w:szCs w:val="16"/>
          <w:color w:val="auto"/>
        </w:rPr>
        <w:t>We currently offer the option to receive a rebate based on volume thresholds. This discount is estimated at the time of the sale</w:t>
      </w:r>
      <w:r>
        <w:rPr>
          <w:rFonts w:ascii="Arial" w:cs="Arial" w:eastAsia="Arial" w:hAnsi="Arial"/>
          <w:sz w:val="16"/>
          <w:szCs w:val="16"/>
          <w:i w:val="1"/>
          <w:iCs w:val="1"/>
          <w:color w:val="auto"/>
        </w:rPr>
        <w:t xml:space="preserve"> </w:t>
      </w:r>
      <w:r>
        <w:rPr>
          <w:rFonts w:ascii="Arial" w:cs="Arial" w:eastAsia="Arial" w:hAnsi="Arial"/>
          <w:sz w:val="16"/>
          <w:szCs w:val="16"/>
          <w:color w:val="auto"/>
        </w:rPr>
        <w:t>and is based on the terms of the Customer agreements. There are minimum volume requirements in order to receive this rebate, which varies per Customer.</w:t>
      </w:r>
    </w:p>
    <w:p>
      <w:pPr>
        <w:spacing w:after="0" w:line="124"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i w:val="1"/>
          <w:iCs w:val="1"/>
          <w:color w:val="auto"/>
        </w:rPr>
        <w:t xml:space="preserve">Cash Discounts: </w:t>
      </w:r>
      <w:r>
        <w:rPr>
          <w:rFonts w:ascii="Arial" w:cs="Arial" w:eastAsia="Arial" w:hAnsi="Arial"/>
          <w:sz w:val="18"/>
          <w:szCs w:val="18"/>
          <w:color w:val="auto"/>
        </w:rPr>
        <w:t>All customers have the option to receive a cash discount for early payment. Currently cash discounts are two-percent of the invoice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if the payment is made within ten days.</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Patient Assistance: </w:t>
      </w:r>
      <w:r>
        <w:rPr>
          <w:rFonts w:ascii="Arial" w:cs="Arial" w:eastAsia="Arial" w:hAnsi="Arial"/>
          <w:sz w:val="18"/>
          <w:szCs w:val="18"/>
          <w:color w:val="auto"/>
        </w:rPr>
        <w:t>All patients are eligible for the IXINITY Savings Program, which provides for up to $12,000 annual benefit to assist with co-payments. Historically, this has been insignificant to our revenue as the total benefit provided since sales of IXINITY commenced in 2015 has been less than $0.1 million.</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calculation of the accrual for co-pay assistance is based on an estimate of claims and the cost per claim that we expect to receive associated with product that has been recognized as revenue, but remains in the distribution channel inventories at period end.</w:t>
      </w:r>
    </w:p>
    <w:p>
      <w:pPr>
        <w:spacing w:after="0" w:line="170"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i w:val="1"/>
          <w:iCs w:val="1"/>
          <w:color w:val="auto"/>
        </w:rPr>
        <w:t xml:space="preserve">Returns: </w:t>
      </w:r>
      <w:r>
        <w:rPr>
          <w:rFonts w:ascii="Arial" w:cs="Arial" w:eastAsia="Arial" w:hAnsi="Arial"/>
          <w:sz w:val="18"/>
          <w:szCs w:val="18"/>
          <w:color w:val="auto"/>
        </w:rPr>
        <w:t>If product is damaged in shipment (either observable or hidden), or the incorrect number of units was shipped (for example, if the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ordered 1 unit and 10 were shipped) these are allowable returns under our Return Policy (a component of the distributor agreements). However, as product is generally received by the distributors within 1 business day, and product damage is usually noted upon inspection, we would not recognize revenue on those shipments as part of our normal revenue recognition process. To date there has not been any such damaged product and we expect any such issues to be rare; however, if returns were to become significant a reserve estimate would be developed and accounted for as a reduction of revenue. See Note 11 – Revenue Reserves for additional information.</w:t>
      </w:r>
    </w:p>
    <w:p>
      <w:pPr>
        <w:spacing w:after="0" w:line="33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Reclassifications</w:t>
      </w:r>
    </w:p>
    <w:p>
      <w:pPr>
        <w:spacing w:after="0" w:line="13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financial statements reflect all adjustments that we consider to be necessary for the fair presentation of our results, due to changes in accounting policies, sale of our Hyperimmune Business, and the reclassification of restricted cash.</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net operating loss and research and development tax credit carry forwards. Deferred tax assets and liabilities are measured using enacted tax rates expected to apply to taxable income in the year in which those temporary differences are expected to be recovered or settled.</w:t>
      </w:r>
    </w:p>
    <w:p>
      <w:pPr>
        <w:spacing w:after="0" w:line="18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Aptevo’s ability to realize deferred tax assets depends upon future taxable income as well as the limitations discussed below. For financial reporting purposes, a deferred tax asset must be reduced by a valuation allowance if it is more likely than not that some portion or all of the deferred tax assets will not be realized prior to expiration. Aptevo considers future taxable income and ongoing tax planning strategies in assessing the need for valuation allowances. In general, if Aptevo determines that it is more likely than not to realize more than the recorded amounts of net deferred tax assets in the future, Aptevo will reverse all or a portion of the valuation allowance established against its deferred tax assets, resulting in a decrease to the provision for income taxes in the period in which the determination is made. Likewise, if Aptevo determines that it is not more likely than not to realize all or part of the net deferred tax asset in the future, Aptevo will establish a valuation allowance against deferred tax assets, with an offsetting increase to the provision for income taxes, in the period in which the determination is made.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 w:name="page10"/>
    <w:bookmarkEnd w:id="9"/>
    <w:p>
      <w:pPr>
        <w:jc w:val="both"/>
        <w:ind w:firstLine="518"/>
        <w:spacing w:after="0" w:line="279" w:lineRule="auto"/>
        <w:rPr>
          <w:sz w:val="20"/>
          <w:szCs w:val="20"/>
          <w:color w:val="auto"/>
        </w:rPr>
      </w:pPr>
      <w:r>
        <w:rPr>
          <w:rFonts w:ascii="Arial" w:cs="Arial" w:eastAsia="Arial" w:hAnsi="Arial"/>
          <w:sz w:val="17"/>
          <w:szCs w:val="17"/>
          <w:color w:val="auto"/>
        </w:rPr>
        <w:t>Because tax laws are complex and subject to different interpretations, significant judgment is required. As a result, Aptevo makes certain estimates and assumptions, in (1) calculating Aptevo’s income tax expense, deferred tax assets and deferred tax liabilities, (2) determining any valuation allowance recorded against deferred tax assets and (3) evaluating the amount of unrecognized tax benefits, as well as the interest and penalties related to such uncertain tax positions. Aptevo’s estimates and assumptions may differ significantly from tax benefits ultimately realized.</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In February 2016, the FASB issued ASU No. 2016-02, Leases (Topic 842). Under the new guidance, lessees will be required to recognize a lease liability and a right-of-use asset for all leases (with the exception of short term leases) at the commencement date. Lessor accounting under ASU 2016-02 is largely unchanged. ASU 2016-02 is effective for annual and interim periods beginning on or after December 15, 2018 and early adoption is permitted. Under ASU 2016-02,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Lessees and lessors may not apply a full retrospective transition approach. The ASU will be effective for Aptevo starting on January 1, 2019. We are continuing to evaluate the impact of the application of this ASU on our condensed consolidated financial statements and disclosures. We expect to recognize right of use assets and lease liabilities.</w:t>
      </w:r>
    </w:p>
    <w:p>
      <w:pPr>
        <w:spacing w:after="0" w:line="219"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In December 2017, the SEC issued Staff Accounting Bulletin (SAB) 118 to address the application of U.S. GAAP in situations in which a registrant does not have the necessary information available, prepared, or analyzed (including computations) in reasonable detail to complete the accounting for certain income tax effects of the Tax Cuts and Jobs Act (the Tax Reform Act) which was signed into law on December 22, 2017. In March 2018, the FASB issued ASU 2018-05, which amended ASC 740 to incorporate the requirements of SAB 118. We recognized the provisional tax impacts of the Tax Reform Act in the fourth quarter of 2017. During the first quarter of 2018, we did not receive any additional information regarding these provisional calculations. As a result, we continue to anticipate finalizing our analysis in connection with the completion of our tax return for 2017 to be filed in 2018.</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Recently Adopted Standards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May 2014, the FASB issued ASU No. 2014-09, Revenue from Contracts with Customers (Topic 606), and has subsequently issued a number of amendments to ASU 2014-09. The new standard as amended, provides a single comprehensive model to be used in the accounting for revenue arising from contracts with customers and supersedes current revenue recognition guidance, included industry-specific guidance.</w:t>
      </w:r>
    </w:p>
    <w:p>
      <w:pPr>
        <w:spacing w:after="0" w:line="18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November 2016, the FASB issued ASU 2016-18, Statement of Cash Flows: Restricted cash. This standard requires that a statement of cash flows explain the change during the period in the total of cash, cash equivalents, restricted cash, and restricted cash equivalents when reconciling the beginning-of and ending-of period total amounts shown on the statement of cash flows. This guidance is effective for fiscal years beginning after December 15, 2017, and interim periods within those fiscal years. We adopted this standard effective January 1, 2018. The adoption of this ASU will modify our current classification with the condensed consolidated statement of cash flows but will not materially impact our condensed consolidated financial statements. See Note 5 – Cash, cash equivalents, and restricted cash for additional information.</w:t>
      </w:r>
    </w:p>
    <w:p>
      <w:pPr>
        <w:spacing w:after="0" w:line="19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which clarifies the classification and presentation of eight specific cash flow issues in the statement of cash flows. Adoption of this standard had no impact on our condensed consolidated statements of cash flows.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2. Sale of Hyperimmune Business</w:t>
      </w:r>
    </w:p>
    <w:p>
      <w:pPr>
        <w:spacing w:after="0" w:line="13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On August 31, 2017, Aptevo entered into a sale agreement with Saol International Limited (Saol) whereby Aptevo agreed to sell its Hyperimmune Business. The sale was completed on September 28, 2017.</w:t>
      </w:r>
    </w:p>
    <w:p>
      <w:pPr>
        <w:spacing w:after="0" w:line="19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At the closing of the sale, Saol paid an amount equal to $65.0 million, including $3.3 million which was deposited in an escrow account for the purposes of satisfying any indemnification claims brought by Saol pursuant to the LLC sale agreement. In addition, Aptevo may receive (1) an additional potential milestone payment totaling up to $7.5 million related to the achievement of certain gross profit milestones and (2) up to $2.0 million related to collection of certain accounts receivable after the closing.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jc w:val="both"/>
        <w:ind w:firstLine="518"/>
        <w:spacing w:after="0" w:line="257" w:lineRule="auto"/>
        <w:rPr>
          <w:sz w:val="20"/>
          <w:szCs w:val="20"/>
          <w:color w:val="auto"/>
        </w:rPr>
      </w:pPr>
      <w:r>
        <w:rPr>
          <w:rFonts w:ascii="Arial" w:cs="Arial" w:eastAsia="Arial" w:hAnsi="Arial"/>
          <w:sz w:val="18"/>
          <w:szCs w:val="18"/>
          <w:color w:val="auto"/>
        </w:rPr>
        <w:t>The net gain on sale of the Hyperimmune Business totaling, $52.7 million, was calculated as the difference between the fair value of the consideration received for the Hyperimmune Business, the carrying value of the net assets transferred to Saol, less the transaction costs incurred and a working capital adjustment. The net gain on sale of the business may be adjusted in future periods by the contingent consideration based upon the achievement of certain gross profit milestones and collection of certain outstanding accounts receivable. In the first quarter of 2018, we recorded $0.1 million of these receivables, which is the amount recorded in other income from discontinued operations.</w:t>
      </w:r>
    </w:p>
    <w:p>
      <w:pPr>
        <w:spacing w:after="0" w:line="21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following table represents the components attributable to the Hyperimmune Business presented as income from discontinued operations in the unaudited condensed consolidated statements of operations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56"/>
        </w:trPr>
        <w:tc>
          <w:tcPr>
            <w:tcW w:w="5660" w:type="dxa"/>
            <w:vAlign w:val="bottom"/>
            <w:tcBorders>
              <w:bottom w:val="single" w:sz="8" w:color="CFF0FC"/>
            </w:tcBorders>
          </w:tcPr>
          <w:p>
            <w:pPr>
              <w:spacing w:after="0"/>
              <w:rPr>
                <w:sz w:val="13"/>
                <w:szCs w:val="13"/>
                <w:color w:val="auto"/>
              </w:rPr>
            </w:pPr>
          </w:p>
        </w:tc>
        <w:tc>
          <w:tcPr>
            <w:tcW w:w="142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107"/>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660" w:type="dxa"/>
            <w:vAlign w:val="bottom"/>
          </w:tcPr>
          <w:p>
            <w:pPr>
              <w:ind w:left="240"/>
              <w:spacing w:after="0"/>
              <w:rPr>
                <w:sz w:val="20"/>
                <w:szCs w:val="20"/>
                <w:color w:val="auto"/>
              </w:rPr>
            </w:pPr>
            <w:r>
              <w:rPr>
                <w:rFonts w:ascii="Arial" w:cs="Arial" w:eastAsia="Arial" w:hAnsi="Arial"/>
                <w:sz w:val="18"/>
                <w:szCs w:val="18"/>
                <w:color w:val="auto"/>
              </w:rPr>
              <w:t>Product sales</w:t>
            </w:r>
          </w:p>
        </w:tc>
        <w:tc>
          <w:tcPr>
            <w:tcW w:w="2440" w:type="dxa"/>
            <w:vAlign w:val="bottom"/>
            <w:gridSpan w:val="2"/>
          </w:tcPr>
          <w:p>
            <w:pPr>
              <w:jc w:val="right"/>
              <w:ind w:right="867"/>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5,267</w:t>
            </w:r>
          </w:p>
        </w:tc>
        <w:tc>
          <w:tcPr>
            <w:tcW w:w="120" w:type="dxa"/>
            <w:vAlign w:val="bottom"/>
          </w:tcPr>
          <w:p>
            <w:pPr>
              <w:spacing w:after="0"/>
              <w:rPr>
                <w:sz w:val="19"/>
                <w:szCs w:val="19"/>
                <w:color w:val="auto"/>
              </w:rPr>
            </w:pP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4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Costs and expenses:</w:t>
            </w:r>
          </w:p>
        </w:tc>
        <w:tc>
          <w:tcPr>
            <w:tcW w:w="1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product sales</w:t>
            </w:r>
          </w:p>
        </w:tc>
        <w:tc>
          <w:tcPr>
            <w:tcW w:w="1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w:t>
            </w:r>
          </w:p>
        </w:tc>
        <w:tc>
          <w:tcPr>
            <w:tcW w:w="120" w:type="dxa"/>
            <w:vAlign w:val="bottom"/>
            <w:shd w:val="clear" w:color="auto" w:fill="CFF0FC"/>
          </w:tcPr>
          <w:p>
            <w:pPr>
              <w:spacing w:after="0"/>
              <w:rPr>
                <w:sz w:val="19"/>
                <w:szCs w:val="19"/>
                <w:color w:val="auto"/>
              </w:rPr>
            </w:pPr>
          </w:p>
        </w:tc>
      </w:tr>
      <w:tr>
        <w:trPr>
          <w:trHeight w:val="230"/>
        </w:trPr>
        <w:tc>
          <w:tcPr>
            <w:tcW w:w="56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1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FF0FC"/>
          </w:tcPr>
          <w:p>
            <w:pPr>
              <w:spacing w:after="0"/>
              <w:rPr>
                <w:sz w:val="19"/>
                <w:szCs w:val="19"/>
                <w:color w:val="auto"/>
              </w:rPr>
            </w:pPr>
          </w:p>
        </w:tc>
      </w:tr>
      <w:tr>
        <w:trPr>
          <w:trHeight w:val="223"/>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from operations</w:t>
            </w:r>
          </w:p>
        </w:tc>
        <w:tc>
          <w:tcPr>
            <w:tcW w:w="142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2,592</w:t>
            </w:r>
          </w:p>
        </w:tc>
        <w:tc>
          <w:tcPr>
            <w:tcW w:w="120" w:type="dxa"/>
            <w:vAlign w:val="bottom"/>
            <w:tcBorders>
              <w:bottom w:val="single" w:sz="8" w:color="CFF0FC"/>
            </w:tcBorders>
          </w:tcPr>
          <w:p>
            <w:pPr>
              <w:spacing w:after="0"/>
              <w:rPr>
                <w:sz w:val="19"/>
                <w:szCs w:val="19"/>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4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99"/>
              </w:rPr>
              <w:t>54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Income from discontinued operations, before income taxes</w:t>
            </w:r>
          </w:p>
        </w:tc>
        <w:tc>
          <w:tcPr>
            <w:tcW w:w="1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ind w:left="180"/>
              <w:spacing w:after="0"/>
              <w:rPr>
                <w:sz w:val="20"/>
                <w:szCs w:val="20"/>
                <w:color w:val="auto"/>
              </w:rPr>
            </w:pPr>
            <w:r>
              <w:rPr>
                <w:rFonts w:ascii="Arial" w:cs="Arial" w:eastAsia="Arial" w:hAnsi="Arial"/>
                <w:sz w:val="18"/>
                <w:szCs w:val="18"/>
                <w:color w:val="auto"/>
                <w:w w:val="99"/>
              </w:rPr>
              <w:t>54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1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(823)</w:t>
            </w: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4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99"/>
              </w:rPr>
              <w:t>54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the first quarter of 2018, we recorded $0.1 million due to the collection of certain accounts receivable transferred to Saol during the sale. Amortization for the Hyperimmune Business was $0.3 million for the three months ended March 31, 2017. There was no depreciation, capital expenditures or other significant operating or investing non-cash items for the three months ended March 31, 2018.</w:t>
      </w:r>
    </w:p>
    <w:p>
      <w:pPr>
        <w:spacing w:after="0" w:line="32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3. Collaboration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Alligator</w:t>
      </w:r>
    </w:p>
    <w:p>
      <w:pPr>
        <w:spacing w:after="0" w:line="117"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On July 20, 2017, our wholly owned subsidiary Aptevo Research and Development LLC (Aptevo R&amp;D), entered into a collaboration and option agreement (Collaboration Agreement) with Alligator Bioscience AB, (Alligator), pursuant to which Aptevo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This product candidate is built on our novel ADAPTIR platform, which is designed to expand on the utility and effectiveness of therapeutic antibodies. Under this Collaboration Agreement, Alligator also granted to Aptevo a time-limited option to enter into a second agreement with Alligator for the joint development of a separate bispecific antibody candidate simultaneously targeting 4-1BB (CD137) and 5T4, a tumor antigen that Aptevo R&amp;D and Alligator will collaboratively select.</w:t>
      </w:r>
    </w:p>
    <w:p>
      <w:pPr>
        <w:spacing w:after="0" w:line="194"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accordance with the terms of the Collaboration Agreement, the parties intend to develop the lead bispecific antibody candidate targeting 4-1BB (CD137) and 5T4 through the completion of Phase II clinical trials in accordance with an agreed upon development plan and budget. Subject to certain exceptions for Aptevo’s manufacturing and platform technologies, the parties will jointly own intellectual property generated in the performance of the development activities under the Collaboration Agreement.</w:t>
      </w:r>
    </w:p>
    <w:p>
      <w:pPr>
        <w:spacing w:after="0" w:line="214"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Following the completion of the anticipated development activities under the Collaboration Agreement, the parties intend to seek a third-party commercialization partner for this product candidate, or, in certain circumstances, may elect to enter into a second agreement granting rights to either Aptevo R&amp;D or Alligator to allow such party to continue the development and commercialization of this product candidate. Under the terms of this Collaboration Agreement, the parties intend to share revenue received from a third-party commercialization partner equally, or, if the development costs are not equally shared under this Collaboration Agreement, in proportion to the development costs borne by each party.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1" w:name="page12"/>
    <w:bookmarkEnd w:id="11"/>
    <w:p>
      <w:pPr>
        <w:jc w:val="both"/>
        <w:ind w:firstLine="518"/>
        <w:spacing w:after="0" w:line="271" w:lineRule="auto"/>
        <w:rPr>
          <w:sz w:val="20"/>
          <w:szCs w:val="20"/>
          <w:color w:val="auto"/>
        </w:rPr>
      </w:pPr>
      <w:r>
        <w:rPr>
          <w:rFonts w:ascii="Arial" w:cs="Arial" w:eastAsia="Arial" w:hAnsi="Arial"/>
          <w:sz w:val="17"/>
          <w:szCs w:val="17"/>
          <w:color w:val="auto"/>
        </w:rPr>
        <w:t>The Collaboration Agreement also contains several points in development at which either party may elect to “opt-out” (i.e., terminate without cause) and, following a termination notice period, cease paying development costs for this product candidate, which would be borne fully by the continuing party. Following an opt-out by a party, the continuing party will be granted exclusive rights to continue the development and commercialization of the product candidate, subject to a requirement to pay a percentage of revenue received from any future commercialization partner for this product, or, if the continuing party elects to self-commercialize, tiered royalties on the net sales of the product by the continuing party ranging from the low to mid-single digits, based on the point in development at which the ‘opt-out’ occurs. The parties have also agreed on certain technical criteria or ‘stage gates’ related to the development of this product candidate that, if not met, will cause an automatic termination and wind-down of this Collaboration Agreement and the activities thereunder, provided that the parties do not agree to continue.</w:t>
      </w:r>
    </w:p>
    <w:p>
      <w:pPr>
        <w:spacing w:after="0" w:line="206"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Collaboration Agreement contains industry standard termination rights, including for material breach following a specified cure period, and in the case of a party’s insolvency.</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assessed the arrangement in accordance with Topic 606 and concluded that the contract counterparty, Alligator, is not a customer. As such the arrangement is not in the scope of Topic 606 and is instead treated as a collaborative agreement under Topic 808. For the three months ended March 31, 2018, our share of the research and development costs incurred was greater than those of Alligator and netted to a recorded expense of less than $0.1 million, reflected in research and development expenses.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MorphoSys</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August 2014, Aptevo entered into a collaboration agreement with MorphoSys AG (MorphoSys Agreement) for the joint development of MOR209/ES414, a targeted immunotherapeutics protein, which activates host T-cell immunity specifically against cancer cells expressing prostate specific membrane antigen, an antigen commonly overexpressed on prostate cancer cells. Effective August 31, 2017, MorphoSys terminated the MorphoSys Agreement. As a result of the termination, Aptevo has no ongoing obligation related to this agreement.</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As of March 31, 2017, the MorphoSys Agreement related revenue was less than $0.1 million and the related total deferred revenue balance was $3.7 million.</w:t>
      </w:r>
    </w:p>
    <w:p>
      <w:pPr>
        <w:spacing w:after="0" w:line="31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Company’s estimates of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and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The Company’s financial assets measured at fair value consisted of the following as of March 31, 2018 and December 31, 2017:</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347"/>
              <w:spacing w:after="0"/>
              <w:rPr>
                <w:sz w:val="20"/>
                <w:szCs w:val="20"/>
                <w:color w:val="auto"/>
              </w:rPr>
            </w:pPr>
            <w:r>
              <w:rPr>
                <w:rFonts w:ascii="Arial" w:cs="Arial" w:eastAsia="Arial" w:hAnsi="Arial"/>
                <w:sz w:val="14"/>
                <w:szCs w:val="14"/>
                <w:b w:val="1"/>
                <w:bCs w:val="1"/>
                <w:color w:val="auto"/>
              </w:rPr>
              <w:t>March 31, 2018</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Money market funds</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14,460</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14,460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6,995</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US government and agency debt securities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18,874</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Foreign government and agency debt securities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23,955</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14,460</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49,824</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Money market funds</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10,997</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16,443</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US government and agency debt securities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33,300</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Foreign government and agency debt securities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23,945</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10,997</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73,688</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If quoted market prices in active markets for identical assets are not available to determine fair value, then the Company uses quoted prices of similar instruments and other significant inputs derived from observable market data obtained from third-party data providers. These investments are included in Level 2 and consist of debt securities of U.S government agencies and corporate bonds. There were no transfers between Levels 1 and 2 during the three-month period ended March 31, 2018.</w:t>
      </w:r>
    </w:p>
    <w:p>
      <w:pPr>
        <w:spacing w:after="0" w:line="37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5. Cash, Cash Equivalents, and Restricted Cash</w:t>
      </w:r>
    </w:p>
    <w:p>
      <w:pPr>
        <w:spacing w:after="0" w:line="135" w:lineRule="exact"/>
        <w:rPr>
          <w:sz w:val="20"/>
          <w:szCs w:val="20"/>
          <w:color w:val="auto"/>
        </w:rPr>
      </w:pPr>
    </w:p>
    <w:p>
      <w:pPr>
        <w:jc w:val="both"/>
        <w:ind w:right="20" w:firstLine="518"/>
        <w:spacing w:after="0" w:line="302" w:lineRule="auto"/>
        <w:rPr>
          <w:sz w:val="20"/>
          <w:szCs w:val="20"/>
          <w:color w:val="auto"/>
        </w:rPr>
      </w:pPr>
      <w:r>
        <w:rPr>
          <w:rFonts w:ascii="Arial" w:cs="Arial" w:eastAsia="Arial" w:hAnsi="Arial"/>
          <w:sz w:val="16"/>
          <w:szCs w:val="16"/>
          <w:color w:val="auto"/>
        </w:rPr>
        <w:t>The Company’s cash equivalents are highly liquid investments with a maturity of 90 days or less at the date of purchase and include time deposits and investments in money market funds with commercial banks and financial institutions. Restricted cash, current portion, includes $0.4 million maintained in depository as collateral for corporate credit cards. In addition, we have long-term restricted cash of $10.0 related to the minimum cash covenant included in the Company’s Credit and Security Agreement (the Credit Agreement) with MidCap Financial Trust, and $1.2 million securing letters of credit.</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shows our cash, cash equivalents and restricted cash, both current and long-term portion as of March 31, 2018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335"/>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20" w:type="dxa"/>
            <w:vAlign w:val="bottom"/>
            <w:gridSpan w:val="2"/>
          </w:tcPr>
          <w:p>
            <w:pPr>
              <w:ind w:left="580"/>
              <w:spacing w:after="0"/>
              <w:rPr>
                <w:sz w:val="20"/>
                <w:szCs w:val="20"/>
                <w:color w:val="auto"/>
              </w:rPr>
            </w:pPr>
            <w:r>
              <w:rPr>
                <w:rFonts w:ascii="Arial" w:cs="Arial" w:eastAsia="Arial" w:hAnsi="Arial"/>
                <w:sz w:val="14"/>
                <w:szCs w:val="14"/>
                <w:b w:val="1"/>
                <w:bCs w:val="1"/>
                <w:color w:val="auto"/>
              </w:rPr>
              <w:t>(in thousands)</w:t>
            </w: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2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7,588</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6,098</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Cash equivalents</w:t>
            </w: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4,242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current portion</w:t>
            </w:r>
          </w:p>
        </w:tc>
        <w:tc>
          <w:tcPr>
            <w:tcW w:w="2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included in other long-term assets</w:t>
            </w:r>
          </w:p>
        </w:tc>
        <w:tc>
          <w:tcPr>
            <w:tcW w:w="25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w:t>
            </w:r>
          </w:p>
        </w:tc>
        <w:tc>
          <w:tcPr>
            <w:tcW w:w="25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23,473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17,495</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560" w:type="dxa"/>
            <w:vAlign w:val="bottom"/>
            <w:vMerge w:val="restart"/>
          </w:tcPr>
          <w:p>
            <w:pPr>
              <w:jc w:val="right"/>
              <w:ind w:right="159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b w:val="1"/>
          <w:bCs w:val="1"/>
          <w:color w:val="auto"/>
        </w:rPr>
        <w:t>Note 6. Investments</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Investments are classified as available-for-sale securities and are carried at fair value with unrealized temporary holding gains and losses included in other comprehensive income or loss and as a net amount in accumulated other comprehensive income or loss until such gains and losses are realized. We did not recognize any realized gains or losses in net income during the three months ended March 31, 2018. Available-for-sale securities are written down to fair value through income whenever it is necessary to reflect other than temporary impairments. We have determined that the unrealized losses on our marketable securities as of March 31, 2018 were temporary in nature, and currently do not intend to sell these securities before recovery of their amortized cost basis. All short-term investments are limited to a final maturity of less than one year from the reporting date. Our money market funds for the first quarter of 2018 and 2017, is inclusive of $10.0 million in restricted cash.</w:t>
      </w:r>
    </w:p>
    <w:p>
      <w:pPr>
        <w:spacing w:after="0" w:line="251"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March 31, 2018</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6"/>
              </w:rPr>
              <w:t>Amortized</w:t>
            </w:r>
          </w:p>
        </w:tc>
        <w:tc>
          <w:tcPr>
            <w:tcW w:w="1280" w:type="dxa"/>
            <w:vAlign w:val="bottom"/>
            <w:gridSpan w:val="4"/>
          </w:tcPr>
          <w:p>
            <w:pPr>
              <w:ind w:left="20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380" w:type="dxa"/>
            <w:vAlign w:val="bottom"/>
            <w:gridSpan w:val="6"/>
          </w:tcPr>
          <w:p>
            <w:pPr>
              <w:ind w:left="200"/>
              <w:spacing w:after="0" w:line="133" w:lineRule="exact"/>
              <w:rPr>
                <w:sz w:val="20"/>
                <w:szCs w:val="20"/>
                <w:color w:val="auto"/>
              </w:rPr>
            </w:pPr>
            <w:r>
              <w:rPr>
                <w:rFonts w:ascii="Arial" w:cs="Arial" w:eastAsia="Arial" w:hAnsi="Arial"/>
                <w:sz w:val="14"/>
                <w:szCs w:val="14"/>
                <w:b w:val="1"/>
                <w:bCs w:val="1"/>
                <w:color w:val="auto"/>
              </w:rPr>
              <w:t>Gross Unrealized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Holding Gains</w:t>
            </w:r>
          </w:p>
        </w:tc>
        <w:tc>
          <w:tcPr>
            <w:tcW w:w="200" w:type="dxa"/>
            <w:vAlign w:val="bottom"/>
          </w:tcPr>
          <w:p>
            <w:pPr>
              <w:spacing w:after="0"/>
              <w:rPr>
                <w:sz w:val="14"/>
                <w:szCs w:val="14"/>
                <w:color w:val="auto"/>
              </w:rPr>
            </w:pPr>
          </w:p>
        </w:tc>
        <w:tc>
          <w:tcPr>
            <w:tcW w:w="1180" w:type="dxa"/>
            <w:vAlign w:val="bottom"/>
            <w:gridSpan w:val="5"/>
          </w:tcPr>
          <w:p>
            <w:pPr>
              <w:ind w:left="20"/>
              <w:spacing w:after="0"/>
              <w:rPr>
                <w:sz w:val="20"/>
                <w:szCs w:val="20"/>
                <w:color w:val="auto"/>
              </w:rPr>
            </w:pPr>
            <w:r>
              <w:rPr>
                <w:rFonts w:ascii="Arial" w:cs="Arial" w:eastAsia="Arial" w:hAnsi="Arial"/>
                <w:sz w:val="14"/>
                <w:szCs w:val="14"/>
                <w:b w:val="1"/>
                <w:bCs w:val="1"/>
                <w:color w:val="auto"/>
              </w:rPr>
              <w:t>Holding (Losses)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Money market fund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14,460</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14,460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vMerge w:val="continue"/>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Short-term investments: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Corporate bonds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6,997</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and agency debt securities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18,905</w:t>
            </w:r>
          </w:p>
        </w:tc>
        <w:tc>
          <w:tcPr>
            <w:tcW w:w="5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Foreign government and agency debt securities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24,005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49,907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49,824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6"/>
              </w:rPr>
              <w:t>Amortized</w:t>
            </w:r>
          </w:p>
        </w:tc>
        <w:tc>
          <w:tcPr>
            <w:tcW w:w="1280" w:type="dxa"/>
            <w:vAlign w:val="bottom"/>
            <w:gridSpan w:val="4"/>
          </w:tcPr>
          <w:p>
            <w:pPr>
              <w:ind w:left="20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380" w:type="dxa"/>
            <w:vAlign w:val="bottom"/>
            <w:gridSpan w:val="6"/>
          </w:tcPr>
          <w:p>
            <w:pPr>
              <w:ind w:left="200"/>
              <w:spacing w:after="0" w:line="133" w:lineRule="exact"/>
              <w:rPr>
                <w:sz w:val="20"/>
                <w:szCs w:val="20"/>
                <w:color w:val="auto"/>
              </w:rPr>
            </w:pPr>
            <w:r>
              <w:rPr>
                <w:rFonts w:ascii="Arial" w:cs="Arial" w:eastAsia="Arial" w:hAnsi="Arial"/>
                <w:sz w:val="14"/>
                <w:szCs w:val="14"/>
                <w:b w:val="1"/>
                <w:bCs w:val="1"/>
                <w:color w:val="auto"/>
              </w:rPr>
              <w:t>Gross Unrealized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Holding Gains</w:t>
            </w:r>
          </w:p>
        </w:tc>
        <w:tc>
          <w:tcPr>
            <w:tcW w:w="200" w:type="dxa"/>
            <w:vAlign w:val="bottom"/>
          </w:tcPr>
          <w:p>
            <w:pPr>
              <w:spacing w:after="0"/>
              <w:rPr>
                <w:sz w:val="14"/>
                <w:szCs w:val="14"/>
                <w:color w:val="auto"/>
              </w:rPr>
            </w:pPr>
          </w:p>
        </w:tc>
        <w:tc>
          <w:tcPr>
            <w:tcW w:w="1180" w:type="dxa"/>
            <w:vAlign w:val="bottom"/>
            <w:gridSpan w:val="5"/>
          </w:tcPr>
          <w:p>
            <w:pPr>
              <w:ind w:left="20"/>
              <w:spacing w:after="0"/>
              <w:rPr>
                <w:sz w:val="20"/>
                <w:szCs w:val="20"/>
                <w:color w:val="auto"/>
              </w:rPr>
            </w:pPr>
            <w:r>
              <w:rPr>
                <w:rFonts w:ascii="Arial" w:cs="Arial" w:eastAsia="Arial" w:hAnsi="Arial"/>
                <w:sz w:val="14"/>
                <w:szCs w:val="14"/>
                <w:b w:val="1"/>
                <w:bCs w:val="1"/>
                <w:color w:val="auto"/>
              </w:rPr>
              <w:t>Holding (Losses)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Money market fund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10,997</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vMerge w:val="continue"/>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Short-term investments: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Corporate bonds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16,455</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and agency debt securities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Foreign government and agency debt securities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24,007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73,793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0"/>
              </w:rPr>
              <w:t>(105)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73,688</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Inventories</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2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60" w:type="dxa"/>
            <w:vAlign w:val="bottom"/>
            <w:gridSpan w:val="2"/>
          </w:tcPr>
          <w:p>
            <w:pPr>
              <w:spacing w:after="0"/>
              <w:rPr>
                <w:sz w:val="20"/>
                <w:szCs w:val="20"/>
                <w:color w:val="auto"/>
              </w:rPr>
            </w:pPr>
            <w:r>
              <w:rPr>
                <w:rFonts w:ascii="Arial" w:cs="Arial" w:eastAsia="Arial" w:hAnsi="Arial"/>
                <w:sz w:val="18"/>
                <w:szCs w:val="18"/>
                <w:color w:val="auto"/>
              </w:rPr>
              <w:t>Inventories consist of the following:</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tcPr>
          <w:p>
            <w:pPr>
              <w:ind w:left="38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26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2"/>
          </w:tcPr>
          <w:p>
            <w:pPr>
              <w:jc w:val="right"/>
              <w:ind w:right="496"/>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Raw materials and supplies</w:t>
            </w: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8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Work-in-process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658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ind w:left="60"/>
              <w:spacing w:after="0"/>
              <w:rPr>
                <w:sz w:val="20"/>
                <w:szCs w:val="20"/>
                <w:color w:val="auto"/>
              </w:rPr>
            </w:pPr>
            <w:r>
              <w:rPr>
                <w:rFonts w:ascii="Arial" w:cs="Arial" w:eastAsia="Arial" w:hAnsi="Arial"/>
                <w:sz w:val="18"/>
                <w:szCs w:val="18"/>
                <w:color w:val="auto"/>
              </w:rPr>
              <w:t>Total inventories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1,285</w:t>
            </w:r>
          </w:p>
        </w:tc>
        <w:tc>
          <w:tcPr>
            <w:tcW w:w="280" w:type="dxa"/>
            <w:vAlign w:val="bottom"/>
            <w:gridSpan w:val="2"/>
          </w:tcPr>
          <w:p>
            <w:pPr>
              <w:spacing w:after="0"/>
              <w:rPr>
                <w:sz w:val="19"/>
                <w:szCs w:val="19"/>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8. Debt</w:t>
      </w:r>
    </w:p>
    <w:p>
      <w:pPr>
        <w:spacing w:after="0" w:line="29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On August 4, 2016, we entered into a Credit and Security Agreement (Credit Agreement), with MidCap Financial Trust. The original Credit Agreement provided us with up to $35.0 million of available borrowing capacity composed of two tranches of $20.0 million and $15.0 million. The first tranche of $20.0 million was made available to us, and drawn, on the closing date of the Credit Agreement. On September 28, 2017, we and MidCap Financial Trust entered into a second amendment to the Credit Agreement in order to accommodate the sale under the LLC purchase agreement, and to reflect changes in the remaining business as a result of such sale.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4" w:name="page15"/>
    <w:bookmarkEnd w:id="14"/>
    <w:p>
      <w:pPr>
        <w:jc w:val="both"/>
        <w:ind w:firstLine="518"/>
        <w:spacing w:after="0" w:line="271" w:lineRule="auto"/>
        <w:rPr>
          <w:sz w:val="20"/>
          <w:szCs w:val="20"/>
          <w:color w:val="auto"/>
        </w:rPr>
      </w:pPr>
      <w:r>
        <w:rPr>
          <w:rFonts w:ascii="Arial" w:cs="Arial" w:eastAsia="Arial" w:hAnsi="Arial"/>
          <w:sz w:val="17"/>
          <w:szCs w:val="17"/>
          <w:color w:val="auto"/>
        </w:rPr>
        <w:t>Pursuant to the second Amendment, the agent and the lenders consented to the LLC purchase agreement and the consummation of the sale transaction, released the agent’s liens on the assets transferred to one of our subsidiaries prior to the sale, and agreed that no prepayment of the term loans under the credit agreement would be required as a result the sale. As part of the second amendment, the agent and the lenders agreed that: (i) the commitments of the lenders to make the remaining $15.0 million tranche of loans under the credit agreement were terminated, (ii) the covenant levels set forth in the minimum net commercial product revenue covenant were revised, (iii) a new covenant requiring us to maintain a minimum $10.0 million unrestricted cash balance which we have recorded as restricted cash, and (iv) the date on which the term loans begin to amortize will be extended to February 1, 2019 if we achieve net commercial product revenues of $16.0 million for the twelve month period ending June 30, 2018 and maintains such level of net commercial product revenues for each quarter prior to February 1, 2019 thereafter.</w:t>
      </w:r>
    </w:p>
    <w:p>
      <w:pPr>
        <w:spacing w:after="0" w:line="219"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On February 23, 2018, we entered into a third Amendment with the agent and lenders to amend certain provisions of the Credit Agreement in order to permit us to maintain a cash collateral account as security for our reimbursement obligations, in respect of certain letters of credit to be issued for our account.</w:t>
      </w:r>
    </w:p>
    <w:p>
      <w:pPr>
        <w:spacing w:after="0" w:line="124"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credit agreement will mature on February 1, 2021. Amounts drawn under the Credit Agreement accrue interest at a rate of LIBOR plus 7.60% per annum.</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9. Net Loss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Basic net loss per share is calculated by dividing the net income (loss) by the weighted average number of common shares outstanding for the period.</w:t>
      </w:r>
    </w:p>
    <w:p>
      <w:pPr>
        <w:spacing w:after="0" w:line="248"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We utilize the control number concept in the computation of diluted earnings per share to determine whether potential common stock instruments are dilutive. The control number used is loss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 Therefore, no dilutive effect has been recognized in the calculation of income from discontinued operations per share.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equivalents include stock options and unvested RSUs.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presents the computation of basic and diluted net loss per share (in thousands, except share and per share amounts):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9"/>
              </w:rPr>
              <w:t>For the Three Months Ended 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2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(13,854)</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(loss) per share:</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1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(0.63)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discontinued operations</w:t>
            </w:r>
          </w:p>
        </w:tc>
        <w:tc>
          <w:tcPr>
            <w:tcW w:w="1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used to compute per share calculations</w:t>
            </w:r>
          </w:p>
        </w:tc>
        <w:tc>
          <w:tcPr>
            <w:tcW w:w="1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22,025,268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20,757,111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following table represents all potentially dilutive shares, which were all anti-dilutive and therefore excluded from the calculation of diluted net loss per share:</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180" w:type="dxa"/>
            <w:vAlign w:val="bottom"/>
            <w:gridSpan w:val="4"/>
          </w:tcPr>
          <w:p>
            <w:pPr>
              <w:ind w:left="30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6"/>
        </w:trPr>
        <w:tc>
          <w:tcPr>
            <w:tcW w:w="7100" w:type="dxa"/>
            <w:vAlign w:val="bottom"/>
            <w:gridSpan w:val="2"/>
            <w:vMerge w:val="continue"/>
          </w:tcPr>
          <w:p>
            <w:pPr>
              <w:spacing w:after="0"/>
              <w:rPr>
                <w:sz w:val="13"/>
                <w:szCs w:val="13"/>
                <w:color w:val="auto"/>
              </w:rPr>
            </w:pPr>
          </w:p>
        </w:tc>
        <w:tc>
          <w:tcPr>
            <w:tcW w:w="1400" w:type="dxa"/>
            <w:vAlign w:val="bottom"/>
            <w:tcBorders>
              <w:top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Outstanding options to purchase common stock</w:t>
            </w:r>
          </w:p>
        </w:tc>
        <w:tc>
          <w:tcPr>
            <w:tcW w:w="1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3,472</w:t>
            </w:r>
          </w:p>
        </w:tc>
        <w:tc>
          <w:tcPr>
            <w:tcW w:w="2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Unvested RSUs</w:t>
            </w:r>
          </w:p>
        </w:tc>
        <w:tc>
          <w:tcPr>
            <w:tcW w:w="1400" w:type="dxa"/>
            <w:vAlign w:val="bottom"/>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9. Equity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i w:val="1"/>
          <w:iCs w:val="1"/>
          <w:u w:val="single" w:color="auto"/>
          <w:color w:val="auto"/>
        </w:rPr>
        <w:t>onverted Equity Awards Incentive Plan</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connection with the spin-off from Emergent BioSolutions, Inc. (Emergent) in August 2016, we adopted the Converted Equity Awards Incentive Plan (Converted Plan) and outstanding equity awards of Emergent held by Aptevo employees were converted into or replaced with equity awards of Aptevo (Conversion Awards) under the Converted Plan and were adjusted to maintain the economic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5" w:name="page16"/>
    <w:bookmarkEnd w:id="15"/>
    <w:p>
      <w:pPr>
        <w:jc w:val="both"/>
        <w:ind w:right="20"/>
        <w:spacing w:after="0" w:line="259" w:lineRule="auto"/>
        <w:rPr>
          <w:sz w:val="20"/>
          <w:szCs w:val="20"/>
          <w:color w:val="auto"/>
        </w:rPr>
      </w:pPr>
      <w:r>
        <w:rPr>
          <w:rFonts w:ascii="Arial" w:cs="Arial" w:eastAsia="Arial" w:hAnsi="Arial"/>
          <w:sz w:val="18"/>
          <w:szCs w:val="18"/>
          <w:color w:val="auto"/>
        </w:rPr>
        <w:t>value before and after the distribution date using the relative fair market value of the Emergent and Aptevo common stock based on the closing prices as of August 1, 2016. A total of 1.3 million shares of Aptevo common stock have been authorized for issuance under the Converted Plan. Options issued as Conversion Awards were priced according to the Converted Plan. RSUs issued as part of the Converted Plan provide for the issuance of a share of Aptevo’s stock at no cost to the holder.</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2016 Stock Incentive Plan</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On August 1, 2016, the Company adopted the 2016 Stock Incentive Plan (2016 SIP). A total of 3.1 million shares of Aptevo common stock have been authorized for issuance under the 2016 SIP in the form of equity stock options.</w:t>
      </w:r>
    </w:p>
    <w:p>
      <w:pPr>
        <w:spacing w:after="0" w:line="211" w:lineRule="exact"/>
        <w:rPr>
          <w:sz w:val="20"/>
          <w:szCs w:val="20"/>
          <w:color w:val="auto"/>
        </w:rPr>
      </w:pPr>
    </w:p>
    <w:p>
      <w:pPr>
        <w:jc w:val="both"/>
        <w:ind w:right="20" w:firstLine="518"/>
        <w:spacing w:after="0" w:line="279" w:lineRule="auto"/>
        <w:rPr>
          <w:sz w:val="20"/>
          <w:szCs w:val="20"/>
          <w:color w:val="auto"/>
        </w:rPr>
      </w:pPr>
      <w:r>
        <w:rPr>
          <w:rFonts w:ascii="Arial" w:cs="Arial" w:eastAsia="Arial" w:hAnsi="Arial"/>
          <w:sz w:val="17"/>
          <w:szCs w:val="17"/>
          <w:color w:val="auto"/>
        </w:rPr>
        <w:t>Stock options under the 2016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Global Market on the date of grant.</w:t>
      </w:r>
    </w:p>
    <w:p>
      <w:pPr>
        <w:spacing w:after="0" w:line="171"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RSUs issued under the 2016 SIP provide for the issuance of a share of the Company’s common stock at no cost to the holder. RSUs granted to employees under the 2016 SIP generally provide for time-based vesting over an eighteen-month to three-year period, although certain employees may be awarded RSUs with different time-based vesting criteria. Prior to vesting, RSUs granted under the 2016 SIP do not have dividend equivalent rights, do not have voting rights and the shares underlying the RSUs are not considered issued or outstanding.</w:t>
      </w:r>
    </w:p>
    <w:p>
      <w:pPr>
        <w:spacing w:after="0" w:line="18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equity compensation awards granted by the Company generally vest only if the employee is employed by the Company (or in the case of directors, the director continues to serve on the Board) on the vesting date.</w:t>
      </w:r>
    </w:p>
    <w:p>
      <w:pPr>
        <w:spacing w:after="0" w:line="197"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On May 31, 2017, at the 2017 Annual Meeting of Stockholders (Annual Meeting), the Company’s stockholders approved the amendment and restatement of the Company’s 2016 SIP (Restated 2016 Plan) to, among other things, increase the number of authorized shares issuable by 1.3 million shares of Aptevo common stock. The Restated 2016 Plan was previously approved, subject to stockholder approval, by the Board of Directors of the Company. The Restated 2016 Plan became effective immediately upon stockholder approval at the Annual Meeting.</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Stock-based compensation expense includes amortization of stock options and RSUs granted to employees and non-employees and has been reported in our Condensed Consolidated Statements of Operations as follows: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6"/>
        </w:trPr>
        <w:tc>
          <w:tcPr>
            <w:tcW w:w="692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497"/>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8"/>
        <w:spacing w:after="0" w:line="308" w:lineRule="auto"/>
        <w:rPr>
          <w:sz w:val="20"/>
          <w:szCs w:val="20"/>
          <w:color w:val="auto"/>
        </w:rPr>
      </w:pPr>
      <w:r>
        <w:rPr>
          <w:rFonts w:ascii="Arial" w:cs="Arial" w:eastAsia="Arial" w:hAnsi="Arial"/>
          <w:sz w:val="17"/>
          <w:szCs w:val="17"/>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Aptevo utilizes the Black-Scholes valuation model for estimating the fair value of all stock options granted. Set forth below are the assumptions used in valuing the stock options granted: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60" w:type="dxa"/>
            <w:vAlign w:val="bottom"/>
            <w:gridSpan w:val="4"/>
          </w:tcPr>
          <w:p>
            <w:pPr>
              <w:ind w:left="320"/>
              <w:spacing w:after="0"/>
              <w:rPr>
                <w:sz w:val="20"/>
                <w:szCs w:val="20"/>
                <w:color w:val="auto"/>
              </w:rPr>
            </w:pPr>
            <w:r>
              <w:rPr>
                <w:rFonts w:ascii="Arial" w:cs="Arial" w:eastAsia="Arial" w:hAnsi="Arial"/>
                <w:sz w:val="14"/>
                <w:szCs w:val="14"/>
                <w:b w:val="1"/>
                <w:bCs w:val="1"/>
                <w:color w:val="auto"/>
              </w:rPr>
              <w:t>For the Three Months Ended March 31,</w:t>
            </w: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3680" w:type="dxa"/>
            <w:vAlign w:val="bottom"/>
            <w:tcBorders>
              <w:bottom w:val="single" w:sz="8" w:color="CFF0FC"/>
            </w:tcBorders>
          </w:tcPr>
          <w:p>
            <w:pPr>
              <w:spacing w:after="0"/>
              <w:rPr>
                <w:sz w:val="13"/>
                <w:szCs w:val="13"/>
                <w:color w:val="auto"/>
              </w:rPr>
            </w:pPr>
          </w:p>
        </w:tc>
        <w:tc>
          <w:tcPr>
            <w:tcW w:w="3340" w:type="dxa"/>
            <w:vAlign w:val="bottom"/>
            <w:tcBorders>
              <w:bottom w:val="single" w:sz="8" w:color="CFF0FC"/>
            </w:tcBorders>
          </w:tcPr>
          <w:p>
            <w:pPr>
              <w:spacing w:after="0"/>
              <w:rPr>
                <w:sz w:val="13"/>
                <w:szCs w:val="13"/>
                <w:color w:val="auto"/>
              </w:rPr>
            </w:pPr>
          </w:p>
        </w:tc>
        <w:tc>
          <w:tcPr>
            <w:tcW w:w="14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2018</w:t>
            </w:r>
          </w:p>
        </w:tc>
        <w:tc>
          <w:tcPr>
            <w:tcW w:w="260" w:type="dxa"/>
            <w:vAlign w:val="bottom"/>
            <w:tcBorders>
              <w:top w:val="single" w:sz="8" w:color="auto"/>
              <w:bottom w:val="single" w:sz="8" w:color="CFF0FC"/>
            </w:tcBorders>
          </w:tcPr>
          <w:p>
            <w:pPr>
              <w:spacing w:after="0"/>
              <w:rPr>
                <w:sz w:val="13"/>
                <w:szCs w:val="13"/>
                <w:color w:val="auto"/>
              </w:rPr>
            </w:pPr>
          </w:p>
        </w:tc>
        <w:tc>
          <w:tcPr>
            <w:tcW w:w="14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3340" w:type="dxa"/>
            <w:vAlign w:val="bottom"/>
            <w:shd w:val="clear" w:color="auto" w:fill="CFF0FC"/>
          </w:tcPr>
          <w:p>
            <w:pPr>
              <w:spacing w:after="0"/>
              <w:rPr>
                <w:sz w:val="19"/>
                <w:szCs w:val="19"/>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Expected volatility</w:t>
            </w:r>
          </w:p>
        </w:tc>
        <w:tc>
          <w:tcPr>
            <w:tcW w:w="4780" w:type="dxa"/>
            <w:vAlign w:val="bottom"/>
            <w:gridSpan w:val="2"/>
          </w:tcPr>
          <w:p>
            <w:pPr>
              <w:jc w:val="center"/>
              <w:ind w:left="3210"/>
              <w:spacing w:after="0"/>
              <w:rPr>
                <w:sz w:val="20"/>
                <w:szCs w:val="20"/>
                <w:color w:val="auto"/>
              </w:rPr>
            </w:pPr>
            <w:r>
              <w:rPr>
                <w:rFonts w:ascii="Arial" w:cs="Arial" w:eastAsia="Arial" w:hAnsi="Arial"/>
                <w:sz w:val="18"/>
                <w:szCs w:val="18"/>
                <w:color w:val="auto"/>
                <w:w w:val="91"/>
              </w:rPr>
              <w:t>75.00%</w:t>
            </w:r>
          </w:p>
        </w:tc>
        <w:tc>
          <w:tcPr>
            <w:tcW w:w="2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75.00%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4780" w:type="dxa"/>
            <w:vAlign w:val="bottom"/>
            <w:gridSpan w:val="2"/>
            <w:shd w:val="clear" w:color="auto" w:fill="CFF0FC"/>
          </w:tcPr>
          <w:p>
            <w:pPr>
              <w:jc w:val="center"/>
              <w:ind w:left="3230"/>
              <w:spacing w:after="0"/>
              <w:rPr>
                <w:sz w:val="20"/>
                <w:szCs w:val="20"/>
                <w:color w:val="auto"/>
              </w:rPr>
            </w:pPr>
            <w:r>
              <w:rPr>
                <w:rFonts w:ascii="Arial" w:cs="Arial" w:eastAsia="Arial" w:hAnsi="Arial"/>
                <w:sz w:val="18"/>
                <w:szCs w:val="18"/>
                <w:color w:val="auto"/>
                <w:w w:val="90"/>
              </w:rPr>
              <w:t>2.72%</w:t>
            </w: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1.94%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Expected average life of options</w:t>
            </w:r>
          </w:p>
        </w:tc>
        <w:tc>
          <w:tcPr>
            <w:tcW w:w="3340" w:type="dxa"/>
            <w:vAlign w:val="bottom"/>
          </w:tcPr>
          <w:p>
            <w:pPr>
              <w:spacing w:after="0"/>
              <w:rPr>
                <w:sz w:val="20"/>
                <w:szCs w:val="20"/>
                <w:color w:val="auto"/>
              </w:rPr>
            </w:pP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6 years</w:t>
            </w:r>
          </w:p>
        </w:tc>
        <w:tc>
          <w:tcPr>
            <w:tcW w:w="1560" w:type="dxa"/>
            <w:vAlign w:val="bottom"/>
            <w:gridSpan w:val="2"/>
          </w:tcPr>
          <w:p>
            <w:pPr>
              <w:ind w:left="460"/>
              <w:spacing w:after="0"/>
              <w:rPr>
                <w:sz w:val="20"/>
                <w:szCs w:val="20"/>
                <w:color w:val="auto"/>
              </w:rPr>
            </w:pPr>
            <w:r>
              <w:rPr>
                <w:rFonts w:ascii="Arial" w:cs="Arial" w:eastAsia="Arial" w:hAnsi="Arial"/>
                <w:sz w:val="18"/>
                <w:szCs w:val="18"/>
                <w:color w:val="auto"/>
              </w:rPr>
              <w:t>6 years</w:t>
            </w:r>
          </w:p>
        </w:tc>
        <w:tc>
          <w:tcPr>
            <w:tcW w:w="580" w:type="dxa"/>
            <w:vAlign w:val="bottom"/>
          </w:tcPr>
          <w:p>
            <w:pPr>
              <w:spacing w:after="0"/>
              <w:rPr>
                <w:sz w:val="20"/>
                <w:szCs w:val="20"/>
                <w:color w:val="auto"/>
              </w:rPr>
            </w:pPr>
          </w:p>
        </w:tc>
      </w:tr>
      <w:tr>
        <w:trPr>
          <w:trHeight w:val="647"/>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340" w:type="dxa"/>
            <w:vAlign w:val="bottom"/>
          </w:tcPr>
          <w:p>
            <w:pPr>
              <w:jc w:val="right"/>
              <w:ind w:right="1710"/>
              <w:spacing w:after="0"/>
              <w:rPr>
                <w:sz w:val="20"/>
                <w:szCs w:val="20"/>
                <w:color w:val="auto"/>
              </w:rPr>
            </w:pPr>
            <w:r>
              <w:rPr>
                <w:rFonts w:ascii="Arial" w:cs="Arial" w:eastAsia="Arial" w:hAnsi="Arial"/>
                <w:sz w:val="18"/>
                <w:szCs w:val="18"/>
                <w:color w:val="auto"/>
              </w:rPr>
              <w:t>15</w:t>
            </w: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color w:val="auto"/>
        </w:rPr>
        <w:t>Management has applied an estimated forfeiture rate of 10% for the periods presented.</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option activity for the three months ended March 31, 2018:</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4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Remaining Term</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2,819,344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5,134,379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745,538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(45,913)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(47,292)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2018</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3,471,677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2,457,551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Exercisable at March 31, 2018</w:t>
            </w: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1,488,266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1,222,982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As of March 31, 2018, we had $2.6 million of unrecognized compensation expense related to options expected to vest over a weighted average period of 2.4 years. The weighted average remaining contractual life of outstanding and exercisable options is 7.2 years.</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closing stock price of Aptevo’s common stock on the last trading day of March 2018 and the exercise price, multiplied by the number of in the money options) that would have been received by the option holders had all the option holders exercised their options on the last trading day of the quarter.</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RSU activity for the three months ended March 31, 2018:</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3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Value per Unit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1,211,487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5,136,705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Vested</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(999,677)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3,200,943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(15,313)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March 31, 2018</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196,497</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642,545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to Vest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180,576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590,483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March 31, 2018, we had $0.3 million of unrecognized compensation expense related to RSUs expected to vest over a period of 0.9 years.</w:t>
      </w:r>
    </w:p>
    <w:p>
      <w:pPr>
        <w:spacing w:after="0" w:line="23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fair value of each RSU has been determined to be the closing trading price of the Company’s common shares on the date of grant as quoted in Nasdaq Global Market.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b w:val="1"/>
          <w:bCs w:val="1"/>
          <w:color w:val="auto"/>
        </w:rPr>
        <w:t>Note 11. Revenue Reserves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activity in each of our product revenue allowance and reserve categories for the periods ending March 31,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2017:</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Chargebacks</w:t>
            </w:r>
          </w:p>
        </w:tc>
        <w:tc>
          <w:tcPr>
            <w:tcW w:w="1300" w:type="dxa"/>
            <w:vAlign w:val="bottom"/>
            <w:gridSpan w:val="4"/>
          </w:tcPr>
          <w:p>
            <w:pPr>
              <w:ind w:left="80"/>
              <w:spacing w:after="0"/>
              <w:rPr>
                <w:sz w:val="20"/>
                <w:szCs w:val="20"/>
                <w:color w:val="auto"/>
              </w:rPr>
            </w:pPr>
            <w:r>
              <w:rPr>
                <w:rFonts w:ascii="Arial" w:cs="Arial" w:eastAsia="Arial" w:hAnsi="Arial"/>
                <w:sz w:val="14"/>
                <w:szCs w:val="14"/>
                <w:b w:val="1"/>
                <w:bCs w:val="1"/>
                <w:color w:val="auto"/>
              </w:rPr>
              <w:t>Distribution/Data</w:t>
            </w:r>
          </w:p>
        </w:tc>
        <w:tc>
          <w:tcPr>
            <w:tcW w:w="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Government</w:t>
            </w:r>
          </w:p>
        </w:tc>
        <w:tc>
          <w:tcPr>
            <w:tcW w:w="6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Commercial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Cash</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Patient</w:t>
            </w:r>
          </w:p>
        </w:tc>
        <w:tc>
          <w:tcPr>
            <w:tcW w:w="0" w:type="dxa"/>
            <w:vAlign w:val="bottom"/>
          </w:tcPr>
          <w:p>
            <w:pPr>
              <w:spacing w:after="0"/>
              <w:rPr>
                <w:sz w:val="1"/>
                <w:szCs w:val="1"/>
                <w:color w:val="auto"/>
              </w:rPr>
            </w:pPr>
          </w:p>
        </w:tc>
      </w:tr>
      <w:tr>
        <w:trPr>
          <w:trHeight w:val="171"/>
        </w:trPr>
        <w:tc>
          <w:tcPr>
            <w:tcW w:w="4000" w:type="dxa"/>
            <w:vAlign w:val="bottom"/>
            <w:vMerge w:val="continue"/>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Fees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Rebates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Rebates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Discounts</w:t>
            </w:r>
          </w:p>
        </w:tc>
        <w:tc>
          <w:tcPr>
            <w:tcW w:w="20" w:type="dxa"/>
            <w:vAlign w:val="bottom"/>
          </w:tcPr>
          <w:p>
            <w:pPr>
              <w:spacing w:after="0"/>
              <w:rPr>
                <w:sz w:val="14"/>
                <w:szCs w:val="14"/>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Assistance</w:t>
            </w: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Balance at December 31, 2017</w:t>
            </w: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40"/>
              <w:spacing w:after="0"/>
              <w:rPr>
                <w:sz w:val="20"/>
                <w:szCs w:val="20"/>
                <w:color w:val="auto"/>
              </w:rPr>
            </w:pPr>
            <w:r>
              <w:rPr>
                <w:rFonts w:ascii="Arial" w:cs="Arial" w:eastAsia="Arial" w:hAnsi="Arial"/>
                <w:sz w:val="18"/>
                <w:szCs w:val="18"/>
                <w:color w:val="auto"/>
              </w:rPr>
              <w:t>Provision related to current period sales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Credit or payments made during the period</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Balance at March 31, 2018</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Chargebacks</w:t>
            </w:r>
          </w:p>
        </w:tc>
        <w:tc>
          <w:tcPr>
            <w:tcW w:w="1300" w:type="dxa"/>
            <w:vAlign w:val="bottom"/>
            <w:gridSpan w:val="4"/>
          </w:tcPr>
          <w:p>
            <w:pPr>
              <w:ind w:left="80"/>
              <w:spacing w:after="0"/>
              <w:rPr>
                <w:sz w:val="20"/>
                <w:szCs w:val="20"/>
                <w:color w:val="auto"/>
              </w:rPr>
            </w:pPr>
            <w:r>
              <w:rPr>
                <w:rFonts w:ascii="Arial" w:cs="Arial" w:eastAsia="Arial" w:hAnsi="Arial"/>
                <w:sz w:val="14"/>
                <w:szCs w:val="14"/>
                <w:b w:val="1"/>
                <w:bCs w:val="1"/>
                <w:color w:val="auto"/>
              </w:rPr>
              <w:t>Distribution/Data</w:t>
            </w:r>
          </w:p>
        </w:tc>
        <w:tc>
          <w:tcPr>
            <w:tcW w:w="6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Government</w:t>
            </w:r>
          </w:p>
        </w:tc>
        <w:tc>
          <w:tcPr>
            <w:tcW w:w="60" w:type="dxa"/>
            <w:vAlign w:val="bottom"/>
          </w:tcPr>
          <w:p>
            <w:pPr>
              <w:spacing w:after="0"/>
              <w:rPr>
                <w:sz w:val="24"/>
                <w:szCs w:val="2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Commercial</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Cash</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Patient</w:t>
            </w:r>
          </w:p>
        </w:tc>
        <w:tc>
          <w:tcPr>
            <w:tcW w:w="0" w:type="dxa"/>
            <w:vAlign w:val="bottom"/>
          </w:tcPr>
          <w:p>
            <w:pPr>
              <w:spacing w:after="0"/>
              <w:rPr>
                <w:sz w:val="1"/>
                <w:szCs w:val="1"/>
                <w:color w:val="auto"/>
              </w:rPr>
            </w:pPr>
          </w:p>
        </w:tc>
      </w:tr>
      <w:tr>
        <w:trPr>
          <w:trHeight w:val="171"/>
        </w:trPr>
        <w:tc>
          <w:tcPr>
            <w:tcW w:w="4000" w:type="dxa"/>
            <w:vAlign w:val="bottom"/>
            <w:vMerge w:val="continue"/>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Fees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Rebates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Rebates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Discounts</w:t>
            </w:r>
          </w:p>
        </w:tc>
        <w:tc>
          <w:tcPr>
            <w:tcW w:w="20" w:type="dxa"/>
            <w:vAlign w:val="bottom"/>
          </w:tcPr>
          <w:p>
            <w:pPr>
              <w:spacing w:after="0"/>
              <w:rPr>
                <w:sz w:val="14"/>
                <w:szCs w:val="14"/>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Assistance</w:t>
            </w: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Balance at December 31, 2016</w:t>
            </w: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40"/>
              <w:spacing w:after="0"/>
              <w:rPr>
                <w:sz w:val="20"/>
                <w:szCs w:val="20"/>
                <w:color w:val="auto"/>
              </w:rPr>
            </w:pPr>
            <w:r>
              <w:rPr>
                <w:rFonts w:ascii="Arial" w:cs="Arial" w:eastAsia="Arial" w:hAnsi="Arial"/>
                <w:sz w:val="18"/>
                <w:szCs w:val="18"/>
                <w:color w:val="auto"/>
              </w:rPr>
              <w:t>Provision related to current period sales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Credit or payments made during the period</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Balance at March 31, 2017</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12. Income Taxes</w:t>
      </w:r>
    </w:p>
    <w:p>
      <w:pPr>
        <w:spacing w:after="0" w:line="135"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December 22, 2017, the President of the United States signed into law Public Law No. 115-97, commonly referred to as the Tax Reform Act, following its passage by the United States Congress. The Tax Act made significant changes to U.S. federal income tax laws, including reduction of the corporate tax rate from 35.0% to 21.0%, limitation of the deduction for net operating losses to 80.0% of current year taxable income and elimination of net operating loss carrybacks, one-time taxation of offshore earning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w:t>
      </w:r>
    </w:p>
    <w:p>
      <w:pPr>
        <w:spacing w:after="0" w:line="19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On December 22, 2017, Staff Accounting Bulletin No. 118, or SAB 118, was issued to address the application of GAAP in situations when a registrant does not have the necessary information available, prepared, or analyzed (including computations) in reasonable detail to complete the accounting for certain income tax effects of the Tax Act. Additional work is necessary for a more detailed analysis of the deferred tax assets and liabilities and our historical foreign earnings as well as potential correlative adjustments. Any subsequent adjustment to these amounts will be recorded to current tax expense within the measurement period.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i w:val="1"/>
          <w:iCs w:val="1"/>
          <w:color w:val="auto"/>
        </w:rPr>
        <w:t>This quarterly report on Form 10-Q includes “forward-looking statements” within the meaning of Section 27A of the Securities Act of 1933, as amended, and Section 21E of the Securities Exchange Act of 1934, as amended. All statements in this quarterly report, other than statements of historical facts, including statements regarding our strategy, future operations, future financial position, future revenues, projected costs, prospects, plans, intentions, expectations and objectives could be forward-looking statements. The words “anticipates,” “believes,” “could,” “designed,” “estimates,” “expects,” “goal,” “intends,” “may,” “plans,” “projects,” “pursuing,” “will,” “would” and similar expressions (including the negatives thereof) are intended to identify forward-looking statements, although not all forward-looking statements contain these identifying words. We may not actually achieve the plans, intentions, expectations or objectives disclosed in our forward-looking statements and the assumptions underlying our forward-looking statements may prove incorrect. Therefore, you should not place undue reliance on our forward-looking statements. Actual results or events could differ materially from the plans, intentions, expectations and objectives disclosed in the forward-looking statements that we make. Factors that we believe could cause actual results or events to differ materially from our forward-looking statements include, but are not limited to, those discussed in “Risk Factors”, “Management’s Discussion and Analysis of Financial Condition and Results of Operations” and elsewhere in this quarterly report. Our forward-looking statements in this quarterly report are based on current expectations and we do not assume any obligation to update any forward-looking statements.</w:t>
      </w:r>
    </w:p>
    <w:p>
      <w:pPr>
        <w:spacing w:after="0" w:line="18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the financial statements and the related notes to those statements included elsewhere in this report.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We are a biotechnology company focused on novel oncology (cancer) and hematology (blood disease) therapeutics to meaningfully improve patients’ lives. Our core technology is the ADAPTIR™ (modular protein technology) platform. We currently have one revenue-generating product in the area of hematology, as well as various investigational stage product candidates in immuno-oncology and autoimmune and inflammatory diseases.</w:t>
      </w:r>
    </w:p>
    <w:p>
      <w:pPr>
        <w:spacing w:after="0" w:line="166"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Net loss for the three months ended March 31, 2018, was $13.9 million and the net loss for the three months ended March 31, 2017 was $9.9 million. We had an accumulated deficit of $87.6 million as of March 31, 2018. For the three months ended March 31, 2018, net cash used in our operating activities was $17.0 million. Although we expect our existing cash and cash equivalents will be sufficient to fund our operations for at least twelve months from the date of this filing, if we are unable to obtain additional financing when needed, we may have to delay, reduce the scope of, suspend or eliminate one or more of our research and development programs. Following the sale of the Hyperimmune Business, our sole marked product is IXINITY</w:t>
      </w:r>
      <w:r>
        <w:rPr>
          <w:rFonts w:ascii="Arial" w:cs="Arial" w:eastAsia="Arial" w:hAnsi="Arial"/>
          <w:sz w:val="13"/>
          <w:szCs w:val="13"/>
          <w:color w:val="auto"/>
        </w:rPr>
        <w:t>®</w:t>
      </w:r>
      <w:r>
        <w:rPr>
          <w:rFonts w:ascii="Arial" w:cs="Arial" w:eastAsia="Arial" w:hAnsi="Arial"/>
          <w:sz w:val="16"/>
          <w:szCs w:val="16"/>
          <w:color w:val="auto"/>
        </w:rPr>
        <w:t>, and therefore IXINITY will be our only source of product revenue. As such, our results of operations will be highly dependent on IXINITY sales unless or until we develop any of our development stage product candidates. We will not generate revenues from our development stage product candidates unless and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Pipeline Highlights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have one marketed product, IXINITY coagulation factor IX (recombinant), indicated in adults and children 12 years of age and older with Hemophilia B for control and prevention of bleeding episodes, and management of bleeding during operations.</w:t>
      </w:r>
    </w:p>
    <w:p>
      <w:pPr>
        <w:spacing w:after="0" w:line="170"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We also have numerous investigational stage product candidates based on our ADAPTIR (modular protein technology) platform. The ADAPTIR platform technology can produce monospecific and multispecific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other ADAPTIR immunotherapeutics that engage immune effector cells and disease targets in a novel manner to produce unique signaling responses and ultimately kill tumors or modulate the immune system to kill tumors. We are skilled at product candidate generation, validation and subsequent preclinical and clinical development using the ADAPTIR platform. We have the ability to progress ADAPTIR molecules from concept to commercialization by way of our protein engineering, preclinical development and process development capabilities, cGMP manufacturing oversight and clinical development capabilities. We also have the ability to launch, market and commercialize these product candidates upon approval.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auto"/>
        </w:rPr>
        <w:t>Our investigational stage product candidates are:</w:t>
      </w:r>
    </w:p>
    <w:p>
      <w:pPr>
        <w:spacing w:after="0" w:line="117" w:lineRule="exact"/>
        <w:rPr>
          <w:sz w:val="20"/>
          <w:szCs w:val="20"/>
          <w:color w:val="auto"/>
        </w:rPr>
      </w:pPr>
    </w:p>
    <w:p>
      <w:pPr>
        <w:jc w:val="both"/>
        <w:ind w:left="1040" w:hanging="519"/>
        <w:spacing w:after="0" w:line="30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APVO414, a bispecific ADAPTIR candidate, currently in Phase 1 development, targeting prostate specific membrane antigen (PSMA), an enzyme that is expressed on the surface of prostate cancer cells, and, CD3, a component of the T cell receptor complex expressed on all T cells. APVO414 redirects T cells to specifically kill PSMA expressing tumors and is being developed for metastatic castration-resistant prostate cancer, which is advanced prostate cancer that has spread to other organs and no longer responds to hormone blocking therapies.</w:t>
      </w:r>
    </w:p>
    <w:p>
      <w:pPr>
        <w:spacing w:after="0" w:line="46" w:lineRule="exact"/>
        <w:rPr>
          <w:rFonts w:ascii="Arial" w:cs="Arial" w:eastAsia="Arial" w:hAnsi="Arial"/>
          <w:sz w:val="16"/>
          <w:szCs w:val="16"/>
          <w:color w:val="auto"/>
        </w:rPr>
      </w:pPr>
    </w:p>
    <w:p>
      <w:pPr>
        <w:jc w:val="both"/>
        <w:ind w:left="1040" w:hanging="519"/>
        <w:spacing w:after="0" w:line="259"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otlertuzumab, a monospecific ADAPTIR candidate currently in Phase 2 clinical development for the treatment of peripheral T-cell lymphoma (PTCL). A previous Phase 2 clinical study evaluating otlertuzumab for the treatment of chronic lymphocytic leukemia (CLL) showed that otlertuzumab in combination with bendamustine, compared to bendamustine alone, demonstrated a significant increase in median progression free survival for the combination, from approximately 10 to 16 months.</w:t>
      </w:r>
    </w:p>
    <w:p>
      <w:pPr>
        <w:spacing w:after="0" w:line="78"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APVO436, a bispecific ADAPTIR candidate targeting CD123, a cell surface receptor highly expressed on several hematological malignancies and CD3, a component of the T cell receptor. APVO436 engages T cells to initiate killing of tumor cells. Aptevo filed an IND in Q2 2018 and plans to begin clinical development of APVO436 in Q4 2018.</w:t>
      </w:r>
    </w:p>
    <w:p>
      <w:pPr>
        <w:spacing w:after="0" w:line="73" w:lineRule="exact"/>
        <w:rPr>
          <w:rFonts w:ascii="Arial" w:cs="Arial" w:eastAsia="Arial" w:hAnsi="Arial"/>
          <w:sz w:val="18"/>
          <w:szCs w:val="18"/>
          <w:color w:val="auto"/>
        </w:rPr>
      </w:pPr>
    </w:p>
    <w:p>
      <w:pPr>
        <w:jc w:val="both"/>
        <w:ind w:left="1040" w:hanging="519"/>
        <w:spacing w:after="0" w:line="25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APVO210, a bispecific ADAPTIR preclinical candidate with a novel mechanism of action based on targeted cytokine delivery. APVO210 is composed of a humanized anti-CD86 antibody fused with a modified form of IL-10 that specifically induces IL-10 signaling on antigen presenting cells, but not on lymphoid populations. APVO210 functions by suppressing immune responses and inducing certain tolerogenic responses and therefore may have potential benefit for the treatment of autoimmune and inflammatory diseases. Aptevo intends to file an IND for APVO210 in 2018.</w:t>
      </w:r>
    </w:p>
    <w:p>
      <w:pPr>
        <w:spacing w:after="0" w:line="80" w:lineRule="exact"/>
        <w:rPr>
          <w:rFonts w:ascii="Arial" w:cs="Arial" w:eastAsia="Arial" w:hAnsi="Arial"/>
          <w:sz w:val="18"/>
          <w:szCs w:val="18"/>
          <w:color w:val="auto"/>
        </w:rPr>
      </w:pPr>
    </w:p>
    <w:p>
      <w:pPr>
        <w:jc w:val="both"/>
        <w:ind w:left="1040" w:hanging="519"/>
        <w:spacing w:after="0" w:line="255"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ALG.APV-527, a bispecific antibody candidate, partnered with Alligator Bioscience, featuring a novel mechanism of action designed to simultaneously target 4-1BB (CD137) and 5T4, a tumor antigen widely overexpressed in a number of different types of cancer. 4-1BB, a costimulatory receptor on T cells, is known to enhance the immune response to cancer through activation of tumor-specific T cells and is believed to be a promising target for new immunotherapeutic approaches. ALG.APV-527 could potentially have utility in the treatment of a broad spectrum of cancers over-expressing the tumor antigen, including breast, cervical, non-small-cell-lung, prostate, renal, gastric, colorectal and bladder cancers.</w:t>
      </w:r>
    </w:p>
    <w:p>
      <w:pPr>
        <w:spacing w:after="0" w:line="85"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an immunotherapeutic protein targeting ROR1, a proof-of-concept bispecific candidate targeting ROR1, an antigen found on several solid tumors and hematologic, or blood-related malignancies. Initial preclinical data demonstrate redirected T cell killing of tumors expressing ROR1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animal models.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Collaboration with Alligator Bioscience AB</w:t>
      </w:r>
    </w:p>
    <w:p>
      <w:pPr>
        <w:spacing w:after="0" w:line="121"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On July 20, 2017, our wholly owned subsidiary Aptevo Research and Development LLC (Aptevo R&amp;D), entered into a collaboration and option agreement (Collaboration Agreement) with Alligator Bioscience AB, (Alligator), pursuant to which Aptevo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This product candidate is built on our novel ADAPTIR platform, which is designed to expand on the utility and effectiveness of therapeutic antibodies. Under this Collaboration Agreement, Alligator also granted to Aptevo a time-limited option to enter into a second agreement with Alligator for the joint development of a separate bispecific antibody candidate simultaneously targeting 4-1BB (CD137) and 5T4, a tumor antigen that Aptevo R&amp;D and Alligator will collaboratively select.</w:t>
      </w:r>
    </w:p>
    <w:p>
      <w:pPr>
        <w:spacing w:after="0" w:line="16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accordance with the terms of this Collaboration Agreement, the parties intend to develop the lead bispecific antibody candidate targeting 4-1BB (CD137) through the completion of Phase II clinical trials in accordance with an agreed upon development plan and budget. Subject to certain exceptions for Aptevo R&amp;D’s manufacturing and platform technologies, the parties will jointly own intellectual property generated in the performance of the development activities under the Collaboration Agreement.</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Following the completion of the anticipated development activities under the Collaboration Agreement, the parties intend to seek a third-party commercialization partner for this product candidate, or, in certain circumstances, may elect to enter into a second agreement granting rights to either Aptevo R&amp;D or Alligator to allow such party to continue the development and commercialization of this product. Under the terms of the Collaboration Agreement, the parties intend to share revenue received from a third-party commercialization partner equally, or, if the development costs are not equally shared under the Collaboration Agreement, in proportion to the development costs borne by each party.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jc w:val="both"/>
        <w:ind w:firstLine="518"/>
        <w:spacing w:after="0" w:line="254" w:lineRule="auto"/>
        <w:rPr>
          <w:sz w:val="20"/>
          <w:szCs w:val="20"/>
          <w:color w:val="auto"/>
        </w:rPr>
      </w:pPr>
      <w:r>
        <w:rPr>
          <w:rFonts w:ascii="Arial" w:cs="Arial" w:eastAsia="Arial" w:hAnsi="Arial"/>
          <w:sz w:val="18"/>
          <w:szCs w:val="18"/>
          <w:color w:val="auto"/>
        </w:rPr>
        <w:t>The Collaboration Agreement also contains several points in development at which either party may elect to “opt-out” (i.e., terminate without cause) and, following a termination notice period, cease paying development costs for this product candidate, which would be borne fully by the continuing party. Following an opt-out by a party, the continuing party will be granted exclusive rights to continue the development and commercialization of this product candidate, subject to a requirement to pay a percentage of revenue received from any future commercialization partner for this product, or, if the continuing party elects to self-commercialize, tiered royalties on the net sales of this product by the continuing party ranging from the low to mid-single digits, based on the point in development at which the opt-out occurs. The parties have also agreed on certain technical criteria or ‘stage gates” related to the development of this product that, if not met, will cause an automatic termination and wind-down of the Collaboration Agreement and the activities thereunder, provided that the parties do not agree to continue.</w:t>
      </w:r>
    </w:p>
    <w:p>
      <w:pPr>
        <w:spacing w:after="0" w:line="19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Collaboration Agreement contains industry standard termination rights, including for material breach following a specified cure period, and in the case of a party’s insolvency.</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Commercial Products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August 31, 2017, we entered into an LLC purchase agreement with Saol International Limited (Saol) whereby we agreed to sell our Hyperimmune Business, which consisted of the following products: WinRho</w:t>
      </w:r>
      <w:r>
        <w:rPr>
          <w:rFonts w:ascii="Arial" w:cs="Arial" w:eastAsia="Arial" w:hAnsi="Arial"/>
          <w:sz w:val="15"/>
          <w:szCs w:val="15"/>
          <w:color w:val="auto"/>
        </w:rPr>
        <w:t>®</w:t>
      </w:r>
      <w:r>
        <w:rPr>
          <w:rFonts w:ascii="Arial" w:cs="Arial" w:eastAsia="Arial" w:hAnsi="Arial"/>
          <w:sz w:val="18"/>
          <w:szCs w:val="18"/>
          <w:color w:val="auto"/>
        </w:rPr>
        <w:t xml:space="preserve"> SDF for autoimmune platelet disorder and hemolytic disease of the newborn; HepaGam B</w:t>
      </w:r>
      <w:r>
        <w:rPr>
          <w:rFonts w:ascii="Arial" w:cs="Arial" w:eastAsia="Arial" w:hAnsi="Arial"/>
          <w:sz w:val="15"/>
          <w:szCs w:val="15"/>
          <w:color w:val="auto"/>
        </w:rPr>
        <w:t>®</w:t>
      </w:r>
      <w:r>
        <w:rPr>
          <w:rFonts w:ascii="Arial" w:cs="Arial" w:eastAsia="Arial" w:hAnsi="Arial"/>
          <w:sz w:val="18"/>
          <w:szCs w:val="18"/>
          <w:color w:val="auto"/>
        </w:rPr>
        <w:t xml:space="preserve"> for the prevention of Hepatitis B following liver transplantation and for treatment following hepatitis B exposure; and VARIZIG</w:t>
      </w:r>
      <w:r>
        <w:rPr>
          <w:rFonts w:ascii="Arial" w:cs="Arial" w:eastAsia="Arial" w:hAnsi="Arial"/>
          <w:sz w:val="15"/>
          <w:szCs w:val="15"/>
          <w:color w:val="auto"/>
        </w:rPr>
        <w:t>®</w:t>
      </w:r>
      <w:r>
        <w:rPr>
          <w:rFonts w:ascii="Arial" w:cs="Arial" w:eastAsia="Arial" w:hAnsi="Arial"/>
          <w:sz w:val="18"/>
          <w:szCs w:val="18"/>
          <w:color w:val="auto"/>
        </w:rPr>
        <w:t xml:space="preserve"> for treatment following exposure to varicella zoster virus for individuals with compromised immune systems.</w:t>
      </w:r>
    </w:p>
    <w:p>
      <w:pPr>
        <w:spacing w:after="0" w:line="18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On September 28, 2017, we completed the sale of our Hyperimmune Business to Saol for total consideration of up to $74.5 million. At the closing of the acquisition, Saol paid us an upfront payment totaling $65 million, including $3.3 million which was deposited in an escrow account for the purposes of satisfying any indemnification claims brought by Saol pursuant to the LLC purchase agreement, is scheduled for release in December 2018, subject to any claims. In addition, we may receive (1) an additional potential milestone payment totaling up to $7.5 million related to the achievement of certain gross profit milestones and (2) up to $2.0 million related to collection of certain accounts receivable after the closing.</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IXINITY</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IXINITY is our sole remaining commercial product. It is a coagulation factor IX (recombinant) therapeutic indicated in adults and children 12 years of age and older with hemophilia B for control and prevention of bleeding episodes, and management of bleeding during operations. AGC Biologics, formally known as CMC Biologics, Inc., (AGC), is the sole manufacturer of bulk drug substance for IXINITY.</w:t>
      </w:r>
    </w:p>
    <w:p>
      <w:pPr>
        <w:spacing w:after="0" w:line="18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On June 17, 2017, we entered into a non-exclusive Amended and Restated Commercial Supply, or Restated Supply Agreement, with AGC for the commercial development and manufacture of IXINITY. Pursuant to the terms of the Restated Supply Agreement, AGC agreed to manufacture IXINITY in the quantity of batches provided to AGC on a twenty-four month rolling forecast. Beginning 2018, the minimum and maximum batches will be four and ten, respectively in a calendar year. Multiple batches ordered in succession with no changeover to another product between batches, or a campaign, shall receive an incremental discounted price.</w:t>
      </w:r>
    </w:p>
    <w:p>
      <w:pPr>
        <w:spacing w:after="0" w:line="188"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In accordance with the Restated Supply Agreement, a $7.0 million reserve held by AGC was applied to several batches manufactured through the first quarter of 2018 as a price concession. As a result, we had reduced raw materials or other related AGC costs associated with the inventory. We also saw an impact on our statement of operations due to a lower costs of goods sold associated with this inventory, which will also result in higher gross margins as sales are recognized. As of March 31, 2018, the full $7.0 million had been applied against the reserve and recorded as a reduced cost to inventory. The Restated Supply Agreement has a five-year term renewable with twenty-four months’ prior notice before the expiry of the term for successive two-year terms.</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Except as otherwise stated below, the following discussions of our results of operations reflect the results of our continuing operations, excluding the results related to the Hyperimmune Business. The Hyperimmune Business has been separated from continuing operations and reflected as a discontinued operation. See Note 2 – Sale of Hyperimmune Business, to the accompanying financial statements for additional information.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ind w:left="520" w:right="5100"/>
        <w:spacing w:after="0" w:line="378" w:lineRule="auto"/>
        <w:rPr>
          <w:sz w:val="20"/>
          <w:szCs w:val="20"/>
          <w:color w:val="auto"/>
        </w:rPr>
      </w:pPr>
      <w:r>
        <w:rPr>
          <w:rFonts w:ascii="Arial" w:cs="Arial" w:eastAsia="Arial" w:hAnsi="Arial"/>
          <w:sz w:val="18"/>
          <w:szCs w:val="18"/>
          <w:b w:val="1"/>
          <w:bCs w:val="1"/>
          <w:color w:val="auto"/>
        </w:rPr>
        <w:t>Comparison of the three months ended March 31, 2018 and March 31, 2017 Financial Summary</w:t>
      </w:r>
    </w:p>
    <w:p>
      <w:pPr>
        <w:jc w:val="both"/>
        <w:ind w:firstLine="518"/>
        <w:spacing w:after="0" w:line="272" w:lineRule="auto"/>
        <w:rPr>
          <w:sz w:val="20"/>
          <w:szCs w:val="20"/>
          <w:color w:val="auto"/>
        </w:rPr>
      </w:pPr>
      <w:r>
        <w:rPr>
          <w:rFonts w:ascii="Arial" w:cs="Arial" w:eastAsia="Arial" w:hAnsi="Arial"/>
          <w:sz w:val="17"/>
          <w:szCs w:val="17"/>
          <w:color w:val="auto"/>
        </w:rPr>
        <w:t>We recognized a net loss of $13.9 million for the three months ended March 31, 2018 compared to a net loss of $9.9 million for the three months ended March 31, 2017. This increase in net loss for the three months ended March 31, 2018 was primarily attributable to a one-time $3.0 million credit in the first quarter of 2017 relating to the settlement of a dispute between Aptevo and AGC in regards to certain IXINITY batches from 2015 that did not meet manufacturing specifications. This credit is reflected in our costs of product sales for the three months ended March 31, 2017. In addition we had higher research and development expenses in the three months ended March 31, 2018 of $2.3 million. These increased costs were somewhat off-set by reduced sales and administrative costs of $2.5 million and increased revenue of $2.0 million. Further we recognized $2.6 million of income in the first quarter of 2017 from discontinued operations due to the sale of the Hyperimmune Business.</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Product Revenue</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Product sales of IXINITY increased by $2.0 million, or 93%, to $4.1 million for the three months ended March 31, 2018 from $2.1 million for the three months ended March 31, 2017. This increase was related to the continuing expansion of our Hemophilia B patient base, as well as a pricing change which went into effect in the first quarter of 2018.</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Effective January 1, 2018, we adopted Topic 606 using a modified retrospective transition method. This standard applies to all contracts with customers, except for those contracts that are within the scope of other standards such as leases, insurance, collaborative agreements and financial instruments.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Cost of Product Sales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primary expense we incur to deliver IXINITY to our customers is manufacturing costs consisting of fixed and variable costs. Variable manufacturing costs consist primarily of costs for materials and personnel-related expenses for direct and indirect manufacturing support staff, contract manufacturing and filling operations, and sales-based royalties. Fixed manufacturing costs include facilities, utilities and amortization of intangible assets. We determine the cost of product sales for products sold during a reporting period based on the average cost per unit.</w:t>
      </w:r>
    </w:p>
    <w:p>
      <w:pPr>
        <w:spacing w:after="0" w:line="18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following table provides information regarding our cost of products sales, including gross profit and gross margin percent for the three months ended March 31, 2018 and 2017:</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9"/>
              </w:rPr>
              <w:t>For the 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Change</w:t>
            </w:r>
          </w:p>
        </w:tc>
        <w:tc>
          <w:tcPr>
            <w:tcW w:w="100" w:type="dxa"/>
            <w:vAlign w:val="bottom"/>
            <w:vMerge w:val="restart"/>
          </w:tcPr>
          <w:p>
            <w:pPr>
              <w:spacing w:after="0"/>
              <w:rPr>
                <w:sz w:val="14"/>
                <w:szCs w:val="14"/>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Percent</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80" w:type="dxa"/>
            <w:vAlign w:val="bottom"/>
            <w:tcBorders>
              <w:bottom w:val="single" w:sz="8" w:color="CFF0FC"/>
            </w:tcBorders>
          </w:tcPr>
          <w:p>
            <w:pPr>
              <w:spacing w:after="0"/>
              <w:rPr>
                <w:sz w:val="13"/>
                <w:szCs w:val="13"/>
                <w:color w:val="auto"/>
              </w:rPr>
            </w:pPr>
          </w:p>
        </w:tc>
        <w:tc>
          <w:tcPr>
            <w:tcW w:w="18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vMerge w:val="continue"/>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Product sales</w:t>
            </w:r>
          </w:p>
        </w:tc>
        <w:tc>
          <w:tcPr>
            <w:tcW w:w="18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Cost of product sales</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Gross margin percent</w:t>
            </w:r>
          </w:p>
        </w:tc>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8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Cost of product sales increased by $3.5 million, for the three months ended March 31, 2018 from a credit of $1.7 million for the three months ended March 31, 2017. This increase was primarily due to a one-time $3.0 million credit in March of 2017 relating to the settlement of a dispute between Aptevo and AGC in regards to certain IXINITY batches from 2015 that did not meet manufacturing specifications.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expense research and development costs as incurred. These expenses consist primarily of the costs associated with our research and development activities, including conducting preclinical studies and clinical trials, fees to professional service providers for analytical testing,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Our research and development expenses include:</w:t>
      </w:r>
    </w:p>
    <w:p>
      <w:pPr>
        <w:spacing w:after="0" w:line="117" w:lineRule="exact"/>
        <w:rPr>
          <w:sz w:val="20"/>
          <w:szCs w:val="20"/>
          <w:color w:val="auto"/>
        </w:rPr>
      </w:pPr>
    </w:p>
    <w:p>
      <w:pPr>
        <w:ind w:left="10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salaries and related expenses, including stock-based compensation and benefits for our employees involved in our drug discovery and development activities;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external research and development expense incurred under agreements with third-party contract research organizations (CROs) and investigative sites;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manufacturing material expense for third-party manufacturing;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overhead costs such as rent, utilities and depreciation.</w:t>
      </w:r>
    </w:p>
    <w:p>
      <w:pPr>
        <w:spacing w:after="0" w:line="225"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We expect our future research and development spending will also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While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research and development expenses by program for the three months ended March 31, 2018 and 2017 are shown in the following table:</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Three Months 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9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396"/>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right"/>
              <w:ind w:right="39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Clinical programs: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rPr>
              <w:t>APVO414</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696</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572</w:t>
            </w:r>
          </w:p>
        </w:tc>
        <w:tc>
          <w:tcPr>
            <w:tcW w:w="220" w:type="dxa"/>
            <w:vAlign w:val="bottom"/>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otlertuzumab</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Total clinical programs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Preclinical program, general research and discovery</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6,953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IXINITY</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8,199</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Research and development expenses increased by $2.3 million, to $8.2 million for the three months ended March 31, 2018 from $5.9 million for the three months ended March 31, 2017. This change was primarily comprised of:</w:t>
      </w:r>
    </w:p>
    <w:p>
      <w:pPr>
        <w:spacing w:after="0" w:line="62"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in expense for APVO414 primarily due to the timing of manufacturing activities and increased patient enrollment;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in expense for otlertuzumab related to the timing of clinical trial activities;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in the expenses for our preclinical program, general research and discovery programs which is primarily related to research and development activities around new pipeline product candidates or programs as they are being evaluated;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in expense for IXINITY which resulted from additional costs relating to manufacturing process development activities in 2017 which concluded in the same period, and the timing of clinical trial activities.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Selling, general and administrative expenses consist primarily of personnel-related costs and professional fees in support of our executive, IXINITY sales and marketing, business development, finance, accounting, information technology, legal and human resource functions. Other costs include facility costs not otherwise included in cost of product sales or research and development expenses.</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For the three months ended March 31, 2018, selling, general and administrative expenses decreased by $2.5 million, or 25%, to $7.6 million from $10.1 million for March 31, 2017. This decrease was primarily due to lower marketing program costs for IXINITY, reduced personnel and reduced professional services costs.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3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On September 28, 2017, we sold our Hyperimmune Business to Saol International Limited (Saol). As a result of this sale, our Hyperimmune Business activity has been excluded from continuing operations for all periods herein and reported as discontinued operations. In the first quarter of 2018, we recorded $0.1 million of Hyperimmune income due to the collection of certain accounts receivable transferred to Saol at the time of the sale, and in the first quarter of 2017, we recorded income from discontinued operations, net of tax, of $1.8 million. See Note 2 – Sale of Hyperimmune Business in the accompanying condensed consolidated financial statements for further information on the divestiture.</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During the periods prior to spin-off from Emergent BioSolutions Inc. (Emergent) in August 2016, we did not file separate tax returns as our results were included in the tax returns of Emergent entities within the respective tax jurisdictions. The income tax provision included in these financial statements was calculated using a separate return basis, as if we were a separate taxpayer. Under this approach, we determine our current taxes, deferred tax assets and liabilities and related tax expense as if we were filing separate tax returns in each tax jurisdiction.</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 the first quarter of 2017, we have a benefit from incomes taxes of $0.8 million due to our net loss, which was offset by an income tax expense of $0.8 million related to the sale of our Hyperimmune Business.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2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preparation of our condensed consolidated financial statements in conformity with accounting principles generally accepted in the United States, or GAAP, requires management to make estimates and assumptions that affect the amounts reported in the financial statements and accompanying notes. We base our estimates on historical experience and on various other factors that we believe are reasonable under the circumstances; however, actual results could differ from those estimates. An accounting policy is considered critical if it is important to a company’s financial condition and results of operations and if it requires the exercise of significant judgment and the use of estimates on the part of management in its application. Although we believe that our judgments and estimates are appropriate, actual results may differ materially from our estimates.</w:t>
      </w:r>
    </w:p>
    <w:p>
      <w:pPr>
        <w:spacing w:after="0" w:line="17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We believe the judgments, estimates and assumptions associated with the following critical accounting policies have the greatest potential impact on our condensed consolidated financial statements:</w:t>
      </w:r>
    </w:p>
    <w:p>
      <w:pPr>
        <w:spacing w:after="0" w:line="62"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recognition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off-balance sheet arrangements as of March 31, 2018.</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March 31, 2018, we had cash, cash equivalents and short-term investments in the amount of $73.3 million, of which $11.6 million is restricted.</w:t>
      </w:r>
    </w:p>
    <w:p>
      <w:pPr>
        <w:spacing w:after="0" w:line="24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For the three months ended March 31, 2018, we incurred a net loss of $13.9 million and we had an accumulated deficit of $87.6 million as of March 31, 2018. For the three months ended March 31, 2018, net cash used in our operating activities was $17.0 million.</w:t>
      </w:r>
    </w:p>
    <w:p>
      <w:pPr>
        <w:spacing w:after="0" w:line="170"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Although we expect our existing cash, cash equivalents, and short-term investments will be sufficient to fund our operations for at least twelve months from the date of this filing, if we are unable to obtain additional financing when needed, we may have to delay, reduce the scope of, suspend or eliminate one or more of our research and development programs. Following the sale of the Hyperimmune Business, our sole marketed product is IXINITY, and therefore IXINITY will be our only source of product revenue. As such, our results of operations will be highly dependent on IXINITY sales unless or until we develop or partner any of our development stage product candidates. We will not generate product revenues from our development stage product candidates unless and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Credit Agreement</w:t>
      </w:r>
    </w:p>
    <w:p>
      <w:pPr>
        <w:spacing w:after="0" w:line="13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On August 4, 2016, we entered into a Credit and Security Agreement (Credit Agreement), with MidCap Financial Trust. The original Credit Agreement provided us with up to $35.0 million of available borrowing capacity composed of two tranches of $20.0 million and $15.0 million. The first tranche of $20.0 million was made available to us, and drawn, on the closing date of the Credit Agreement. On September 28, 2017, we and MidCap Financial Trust entered into a second amendment to the Credit Agreement in order to accommodate the sale under the LLC purchase agreement, and to reflect changes in the remaining business as a result of such sale.</w:t>
      </w:r>
    </w:p>
    <w:p>
      <w:pPr>
        <w:spacing w:after="0" w:line="229"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Pursuant to the second Amendment, the agent and the lenders consented to the LLC purchase agreement and the consummation of the sale transaction, released the agent’s liens on the assets transferred to one of our subsidiaries prior to the sale, and agreed that no prepayment of the term loans under the credit agreement would be required as a result the sale. As part of the second amendment, the agent and the lenders agreed that: (i) the commitments of the lenders to make the remaining $15.0 million tranche of loans under the credit agreement were terminated, (ii) the covenant levels set forth in the minimum net commercial product revenue covenant were revised, (iii) a new covenant requiring us to maintain a minimum $10.0 million unrestricted cash balance, and (iv) the date on which the term loans begin to amortize will be extended to February 1, 2019 if we achieve net commercial product revenues of $16.0 million for the twelve month period ending June 30, 2018 and maintains such level of net commercial product revenues for each quarter prior to February 1, 2019 thereafter.</w:t>
      </w:r>
    </w:p>
    <w:p>
      <w:pPr>
        <w:spacing w:after="0" w:line="219"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On February 23, 2018, we entered into a third Amendment with the agent and lenders to amend certain provisions of the Credit Agreement in order to permit us to maintain a cash collateral account as security for our reimbursement obligations, in respect of certain letters of credit to be issued for our account.</w:t>
      </w:r>
    </w:p>
    <w:p>
      <w:pPr>
        <w:spacing w:after="0" w:line="124"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credit agreement will mature on February 1, 2021. Amounts drawn under the Credit Agreement accrue interest at a rate of LIBOR plus 7.60% per annum.</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On November 9, 2017, we entered into an Equity Distribution Agreement (the Equity Distribution Agreement) with Piper Jaffray &amp; Co. (Piper Jaffray). The Equity Distribution Agreement provides that, upon the terms and subject to the conditions set forth therein, we may issue and sell through Piper Jaffray, acting as sales agent, shares (the Shares) of our common stock, $0.001 par value per share (the Common Stock) having an aggregate offering price of up to $17.5 million. We have no obligation to sell any Shares under the Equity Distribution Agreement. The sale of the Shares by Piper Jaffray will be effected pursuant to a Registration Statement on Form S-3 which we filed on November 9, 2017 (the Registration Statement).</w:t>
      </w:r>
    </w:p>
    <w:p>
      <w:pPr>
        <w:spacing w:after="0" w:line="17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Equity Distribution Agreement will terminate upon the issuance and sale of all Shares under the Equity Distribution Agreement or upon the earlier termination thereof at any time by Aptevo or Piper Jaffray upon notice to the other party.</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We expect to incur losses from operations for the foreseeable future primarily due to research and development expenses, including expenses related to conducting clinical trials. Our future capital requirements will depend on a number of factors, including:</w:t>
      </w:r>
    </w:p>
    <w:p>
      <w:pPr>
        <w:spacing w:after="0" w:line="62"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timing and cost of IXINITY product sales;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collection of accounts receivable from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improvements to new or existing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payment obligations under any future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jc w:val="both"/>
        <w:ind w:firstLine="518"/>
        <w:spacing w:after="0" w:line="277" w:lineRule="auto"/>
        <w:rPr>
          <w:sz w:val="20"/>
          <w:szCs w:val="20"/>
          <w:color w:val="auto"/>
        </w:rPr>
      </w:pPr>
      <w:r>
        <w:rPr>
          <w:rFonts w:ascii="Arial" w:cs="Arial" w:eastAsia="Arial" w:hAnsi="Arial"/>
          <w:sz w:val="18"/>
          <w:szCs w:val="18"/>
          <w:color w:val="auto"/>
        </w:rPr>
        <w:t>We expect our cash, cash equivalents and short-term investments will support our operations for at least the next twelve months from the date of this filing based on current operating plans and financial forecasts.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provides information regarding our cash flows for the three months ended March 31, </w:t>
      </w:r>
      <w:r>
        <w:rPr>
          <w:rFonts w:ascii="Arial" w:cs="Arial" w:eastAsia="Arial" w:hAnsi="Arial"/>
          <w:sz w:val="18"/>
          <w:szCs w:val="18"/>
          <w:color w:val="231F20"/>
        </w:rPr>
        <w:t>2018 and 2017:</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8"/>
              </w:rPr>
              <w:t>For the Three Months Ended March 31,</w:t>
            </w:r>
          </w:p>
        </w:tc>
        <w:tc>
          <w:tcPr>
            <w:tcW w:w="0" w:type="dxa"/>
            <w:vAlign w:val="bottom"/>
          </w:tcPr>
          <w:p>
            <w:pPr>
              <w:spacing w:after="0"/>
              <w:rPr>
                <w:sz w:val="1"/>
                <w:szCs w:val="1"/>
                <w:color w:val="auto"/>
              </w:rPr>
            </w:pPr>
          </w:p>
        </w:tc>
      </w:tr>
      <w:tr>
        <w:trPr>
          <w:trHeight w:val="156"/>
        </w:trPr>
        <w:tc>
          <w:tcPr>
            <w:tcW w:w="692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(16,978)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(12,027)</w:t>
            </w: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cash, cash equivalents, and restricted cash</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used in operating activities of $17.0 million for the three months ended March 31, 2018 was primarily due to our net loss of $13.9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operating activities of $12.0 million for the three months ended March 31, 2017 was primarily due to our net loss of $9.9 million.</w:t>
      </w:r>
    </w:p>
    <w:p>
      <w:pPr>
        <w:spacing w:after="0" w:line="22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Net cash provided by investing activities for the three months ended March 31, 2018, was primarily due to the maturity and redemption of investments of $25.9 million, offset by investment purchases of $2.0 million. For the three months ended March 31, 2017, the largest component of the cash used in investing was $10.1 million in purchases of corporate bonds and US government and agency debt securities, offset by the maturity and redemption of $8.1 million of investments.</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Net cash used in financing activities for the three months ended March 31, 2018 is primarily due to changes in equity for the tax liability of RSUs, which vested in the period slightly offset by the exercise of stock options. Net cash provided by financing activities for the three months ended March 31, 2017 includes $20.0 million from our former parent.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future minimum contractual commitments and obligations were reported in our Annual Report on Form 10-K for the year ended December 31, 2017 that was filed with the SEC on March 13, 2018. Our future minimum contractual obligations and commitments have not changed materially from the amounts previously reported.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Our exposure to market risk is primarily confined to our investment securities and notes payable. The primary objective of our investment activities is to preserve our capital to fund operations. We also seek to maximize income from our investments without assuming significant risk. To achieve our objectives, we maintain a portfolio of investments in high-credit-quality securities. In accordance with our investment policy, we invest funds in highly liquid, investment-grade securities. These securities in our investment portfolio are not leveraged and are classified as available-for-sale. We currently do not hedge interest rate exposure. Because of the short-term maturities of our investments, we do not believe that an increase in market rates would have a material negative impact on the realized value of our investment portfolio. We actively monitor changes in interest rates and, with our current portfolio of short term investments, we are not exposed to potential loss due to changes in interest rates.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As of March 31, 2018, management, with the participation of our Chief Executive Officer and Chief Financial Officer, performed an evaluation of the effectiveness of the design and operation of our disclosure controls and procedures as defined in Rules 13a- 15(e) and 15d-15(e) of the Exchange Act. Based on this evaluation, our Chief Executive Officer and Chief Financial Officer concluded that, as of March 31, 2018,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March 31, 2018, that have materially affected, or are reasonably likely to materially affect, our internal control over financial reporting.</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may from time to time be named as a party to legal claims, actions and complaints, including matters involving employment claims, our intellectual property or other third-party claims. Our management believes that there are currently no claims or actions pending against us, the ultimate disposition of which could have a material adverse effect on our results of operations, financial condition or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You should carefully consider the following risks and other information in this quarterly report on Form 10-Q in evaluating us and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Any of the following risks could materially and adversely affect Aptevo’s results of operations, financial condition or financial prospects.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profitable in the future.</w:t>
      </w:r>
    </w:p>
    <w:p>
      <w:pPr>
        <w:spacing w:after="0" w:line="117"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Our historical consolidated financial data prior to August 1, 2016 was prepared on a “carve-out” basis from the financial information of Emergent and shows that had we been a standalone company, we would have had a history of losses, and we may be unable to achieve profitability going forward.</w:t>
      </w:r>
    </w:p>
    <w:p>
      <w:pPr>
        <w:spacing w:after="0" w:line="124"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For the three months ended March 31, 2018, we had net loss of $13.9 million. Except for the third quarter of 2017 and year ended December 31, 2017, we have experienced net losses in all other periods since our spin-off from Emergent. As of March 31, 2018, we had an accumulated deficit of $87.6 million. If we cannot achieve profitability or generate positive cash from operating activities, our business operations may be adversely impacted and the trading value of our common stock may decline.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additional capital and may be unable to raise capital when needed or on acceptable terms.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March 31, 2018, we had cash, cash equivalents, restricted cash and short-term investments in the amount of $73.3 million. We will require additional funding to grow our business including to develop additional products, support commercial marketing activities or otherwise provide additional financial flexibility. Our future capital requirements will depend on many factors, including:</w:t>
      </w:r>
    </w:p>
    <w:p>
      <w:pPr>
        <w:spacing w:after="0" w:line="73"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timing and cost of product sales;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collection of accounts receivable from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satisfy the payment obligations and covenants under such credit facility;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secure partnerships and/or collaborations that generate additional cash;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improvements to our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payment obligations under our current or any future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 and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collect the milestone payments totaling up to $7.5 million related to the achievement of certain gross profit milestones and up to $2.0 million related to collection of certain accounts receivable from Saol.</w:t>
      </w:r>
    </w:p>
    <w:p>
      <w:pPr>
        <w:spacing w:after="0" w:line="170"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If our capital resources are insufficient to meet our future capital requirements, we will need to finance our cash needs through bank loans, public or private equity or debt offerings, a sale of commercial assets, collaboration and licensing arrangements or other strategic transactions. Future issuances of common stock may include any sale of up to $17.5 million worth of shares of our common stock pursuant to our Equity Distribution Agreement with Piper Jaffray &amp; Co.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jc w:val="both"/>
        <w:ind w:firstLine="518"/>
        <w:spacing w:after="0" w:line="264" w:lineRule="auto"/>
        <w:rPr>
          <w:sz w:val="20"/>
          <w:szCs w:val="20"/>
          <w:color w:val="auto"/>
        </w:rPr>
      </w:pPr>
      <w:r>
        <w:rPr>
          <w:rFonts w:ascii="Arial" w:cs="Arial" w:eastAsia="Arial" w:hAnsi="Arial"/>
          <w:sz w:val="18"/>
          <w:szCs w:val="18"/>
          <w:color w:val="auto"/>
        </w:rPr>
        <w:t>Current economic conditions may make it difficult to obtain additional financing on attractive terms, or at all. If financing is unavailable or lost, our business, results of operations, financial condition and financial prospects would be adversely affected and we could be forced to delay, reduce the scope of or eliminate many of our planned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rely on only one revenue-generating product, IXINITY.</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currently have only one revenue-generating product, IXINITY, following the sale of our three hyperimmune products: WinRho SDF, HepaGam B and VARIZIG. The commercial success of IXINTY depends upon:</w:t>
      </w:r>
    </w:p>
    <w:p>
      <w:pPr>
        <w:spacing w:after="0" w:line="62"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acceptance by regulators, physicians, patients and other key decision-makers of IXINITY as safe, therapeutic and cost-effective options;</w:t>
      </w:r>
    </w:p>
    <w:p>
      <w:pPr>
        <w:spacing w:after="0" w:line="140" w:lineRule="exact"/>
        <w:rPr>
          <w:rFonts w:ascii="Arial" w:cs="Arial" w:eastAsia="Arial" w:hAnsi="Arial"/>
          <w:sz w:val="16"/>
          <w:szCs w:val="16"/>
          <w:color w:val="auto"/>
        </w:rPr>
      </w:pPr>
    </w:p>
    <w:p>
      <w:pPr>
        <w:ind w:left="104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further develop IXINITY and obtain marketing approval for their use in additional patient populations and the clinical data we generate to support expansion of the product label;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AGC Biologics and our third-party service providers to provide us with sufficient saleable quantities of IXINITY;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competition from existing competitive products and from competitive products that may be approved in the future;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continued safety and efficacy IXINITY;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what extent and in what amount government and third-party payors cover or reimburse for the costs IXINITY;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and the success of our third-party distributors in selling and marketing IXINITY.</w:t>
      </w:r>
    </w:p>
    <w:p>
      <w:pPr>
        <w:spacing w:after="0" w:line="225"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The failure to maximize the financial contribution of IXINITY could have a material adverse effect on our business, financial condition, results of operations and growth prospects. We may choose to increase the price of IXINITY, and these price adjustments may negatively affect our sales volumes. In addition, our product sales may fluctuate significantly from quarter to quarter, depending on the number of patients receiving treatment, the availability of supply to meet the demand for IXINITY, the dosing requirements of treated patients and other factors. If sales of IXINTY were to decline, we could be required to make an allowance for excess or obsolete inventory, increase our provision for product returns, or we could incur other costs related to operating our business, each of which could negatively impact our results of operations and our financial condition. We are constantly evaluating commercial and strategic transactions to generate revenue that include any current collaborations and collaborations or a sale of assets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engage in certain corporate transactions.</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To preserve the tax-free treatment of the distribution related to the separation from Emergent, together with certain related transactions, we are restricted under the tax matters agreement that we entered into with Emergent, from taking any action that prevents such transactions from being tax-free for U.S. federal income tax purposes. In particular, until August 2018, we are restricted from taking certain actions (including restrictions on share issuances, business combinations, sales of assets, amendments to organizational documents and similar transactions) that could cause the distribution, together with certain related transactions, to fail to qualify as a tax-free transaction for U.S. federal income tax purposes. These restrictions may limit our ability to pursue certain strategic transactions or engage in other transactions that might increase the value of our business, including use of our common stock to make acquisitions and equity capital market transactions. In addition, under the tax matters agreement, we are required to indemnify Emergent against any tax liabilities and related expenses arising from the failure of the distribution, together with certain related transactions, to be tax-free to the extent such failure is attributable to actions, events or transactions relating to our stock, assets or business, including the acquisition of our stock even if we did not participate in or otherwise facilitate the acquisition.</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of our credit agreement may restrict the operation of our business and limit the cash available for investment in our business operations.</w:t>
      </w:r>
    </w:p>
    <w:p>
      <w:pPr>
        <w:spacing w:after="0" w:line="14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August 2016, we entered into a Credit and Security Agreement, or the Credit Agreement, by and among us and certain our subsidiaries as borrowers, MidCap Financial Trust, as agent, and the lenders from time to time party thereto. The terms of the Credit Agreement, and its subsequent amendments, and borrowings we may make under the Credit Agreement in the future, could have significant adverse consequences for our business, including:</w:t>
      </w:r>
    </w:p>
    <w:p>
      <w:pPr>
        <w:spacing w:after="0" w:line="79" w:lineRule="exact"/>
        <w:rPr>
          <w:sz w:val="20"/>
          <w:szCs w:val="20"/>
          <w:color w:val="auto"/>
        </w:rPr>
      </w:pPr>
    </w:p>
    <w:p>
      <w:pPr>
        <w:ind w:left="10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any cash flow from operations to payment on our debt, which would reduce the amounts available to fund other corporate initiatives;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increasing the amount of interest that we have to pay on borrowings under the Credit Agreement if market rates of interest increase;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jc w:val="both"/>
        <w:ind w:left="1040" w:hanging="519"/>
        <w:spacing w:after="0" w:line="264"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complying with restrictive covenants restricting, among other things, indebtedness, liens, dividends and other distributions, repayment of subordinated indebtedness, mergers, dispositions, investments (including licensing), acquisitions, transactions with affiliates and modification of organizational documents or certain other agreements;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complying with affirmative covenants including payment, reporting and revenue covenants; and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better debt servicing options or stronger debt servicing capacity.</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may not have sufficient funds or be able to obtain additional financing to pay the amounts due under any future borrowings under the Credit Agreement. In addition, failure to comply with the covenants, including but not limited to the revenue covenants, under the Credit Agreement could result in an event of default. An event of default could result in the acceleration of amounts due under the Credit Agreement, and we may not be able to obtain additional financing to make any accelerated payments. Under these circumstances, our lenders could seek to enforce security interests in our assets securing our indebtedness.</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6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nature of our business exposes us to potential liability inherent in pharmaceutical products, including with respect to the sale of IXINITY, any other product candidates that we successfully develop and the testing of our product candidates in clinical trials. Product liability claims might be made by patients in clinical trials, consumers, health care providers or pharmaceutical companies or others that sell our products. These claims may be made even with respect to those products that are manufactured in licensed and regulated facilities or otherwise possess regulatory approval for commercial sale or study. We cannot predict the frequency, outcome or cost to defend any such claims.</w:t>
      </w:r>
    </w:p>
    <w:p>
      <w:pPr>
        <w:spacing w:after="0" w:line="17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If we cannot successfully defend ourselves against future claims that IXINITY or our product candidates caused injuries, we may incur substantial liabilities. Regardless of merit or eventual outcome, product liability claims may result in:</w:t>
      </w:r>
    </w:p>
    <w:p>
      <w:pPr>
        <w:spacing w:after="0" w:line="62"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decreased demand or withdrawal of a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publicity and/or injury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inability to commercialize products that we may develop.</w:t>
      </w:r>
    </w:p>
    <w:p>
      <w:pPr>
        <w:spacing w:after="0" w:line="225"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products liability litigation or other proceeding, even if resolved in our favor, could be substantial. Uncertainties resulting from the initiation and continuation of products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our products and/or product candidates, withdrawal of clinical trial participants and potential termination of clinical trial sites or entire clinical programs, and could cause our stock price to fall.</w:t>
      </w:r>
    </w:p>
    <w:p>
      <w:pPr>
        <w:spacing w:after="0" w:line="19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Product recalls may be issued at our discretion or at the discretion of our suppliers, government agencies and other entities that have regulatory authority for pharmaceutical sales. Any recall of IXINITY could materially adversely affect our business by rendering us unable to sell IXINITY for some time and by adversely affecting our reputation. A recall could also result in product liability claims by individuals and third-party payors. In addition, product liability claims could result in an investigation of the safety or efficacy of IXINITY, our manufacturing processes and facilities, or our marketing programs conducted by the U.S. Food and Drug Administration, or the FDA, the European Medicines Agency, or EMA, or the competent authorities of the EU Member States. Such investigations could also potentially lead to a recall of IXINITY or more serious enforcement actions, limitations on the indications for which they may be used, or suspension, variation, or withdrawal of approval. Any such regulatory action by the FDA, the EMA or the competent authorities of the EU Member States could lead to product liability lawsuits as well.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62"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Financial Officer, Jeffrey G. Lamothe, and our Chief Medical Officer, Scott C. Stromatt, or other key employees, our ability to implement our business strategy could be materially harmed. We face intense competition for qualified employees from biotechnology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periodic litigation, which could result in losses or unexpected expenditure of time and resources.</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tax reform bill could adversely affect our business and financial condition.</w:t>
      </w:r>
    </w:p>
    <w:p>
      <w:pPr>
        <w:spacing w:after="0" w:line="131"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On December 22, 2017, the President of the United States signed into law new legislation that significantly revises the Internal Revenue Code of 1986, as amended. The newly enacted federal income tax law, among other things, contains significant changes to corporate taxation, including a reduction of the corporate tax rate from a top marginal rate of 35% to a flat rate of 21%, limitation of the deduction for net operating losses to 80% of current year taxable income and elimination of net operating loss carrybacks, one-time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31"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As of December 31, 2017, we had approximately $41.5 million and $20.2 million of federal and state net operating loss carryforwards, respectively, available to reduce future taxable income that will begin to expire in 2028 for federal purposes and 2018 for state tax purposes. These net operating loss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under Section 382 of the Internal Revenue Code of 1986, as amended, and corresponding provision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may experience ownership changes in the future as a result of subsequent shifts in our stock ownership, some of which may be outside of our control. If an ownership change occurs and our ability to use our net operating loss carryforwards is materially limited, it would harm our future operating results by effectively increasing our future tax obligations.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Product Development Risks</w:t>
      </w:r>
    </w:p>
    <w:p>
      <w:pPr>
        <w:spacing w:after="0" w:line="121"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Serious adverse events or undesirable side effects caused by, or other unexpected properties of any of our product candidates could cause us or regulatory authorities to interrupt, delay or halt our manufacturing and distribution operations and could result in a more restrictive label, the imposition of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178"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For example, as noted above, APVO414 is currently being tested in its first clinical trial in humans. Twenty-one patients have received the drug. One of the significant serious adverse events associated with the drug is infusion reactions. Infusion reactions are often associated with the infusion of a protein and are expected with this drug that activates T-cells. The events that have been reported with infusion of the drug include: fever, fatigue, hypertension, bronchospasm, chills and rigors. The severity of these reactions varied by patient and were managed medically and resolved. In addition, in December 2015, we discovered that patients receiving weekly doses of our product candidate APVO414 developed ADA during use. This ADA, which was not associated with safety issues, developed in most patients including those receiving the maximum tolerated dose of drug which could be given safely on a weekly basis. Undesirable side effects, such as this, or other unexpected adverse events or properties of any of our candidates, could arise or become known either during clinical development or, if approved, after the approved product has been marketed. If such an event occurs during development, our trials could be suspended or terminated and the FDA or comparable foreign regulatory authorities could order us to cease further development of or deny approval of our other product candidates. If such an event occurs, a number of potentially significant negative consequences may result, including:</w:t>
      </w:r>
    </w:p>
    <w:p>
      <w:pPr>
        <w:spacing w:after="0" w:line="61"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impose distribution or use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require one or more post-market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or could substantially increase commercialization costs and expenses, which could delay or prevent us from generating revenue from the sale of our products and harm our business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third parties to conduct our clinical and non-clinical trials.</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we do not exercise day-to-day control over their activities. Our reliance on these service providers does not relieve us of our regulatory responsibilities, including ensuring that our trials are conducted in accordance with the FDA-approved good clinical practices, or GCPs,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17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If we, contract research organizations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cannot assure you that, upon inspection, the FDA or non-U.S. regulatory agencies will determine that any of our clinical trials comply with GCPs. In addition, our clinical trials must be conducted with product produced under GCPs and similar regulations outside of the United States. Our failure, or the failure of our product manufacturers, to comply with these regulations may require us to repeat or redesign clinical trials, which would increase our development costs and delay or impact the likelihood of regulatory approval.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jc w:val="both"/>
        <w:ind w:firstLine="518"/>
        <w:spacing w:after="0" w:line="273" w:lineRule="auto"/>
        <w:rPr>
          <w:sz w:val="20"/>
          <w:szCs w:val="20"/>
          <w:color w:val="auto"/>
        </w:rPr>
      </w:pPr>
      <w:r>
        <w:rPr>
          <w:rFonts w:ascii="Arial" w:cs="Arial" w:eastAsia="Arial" w:hAnsi="Arial"/>
          <w:sz w:val="17"/>
          <w:szCs w:val="17"/>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If any of these events occur, we may not be able to obtain regulatory approval of our product candidates or succeed in our efforts to create approved line extensions for certain of our existing products or generate additional useful clinical data in support of these products.</w:t>
      </w:r>
    </w:p>
    <w:p>
      <w:pPr>
        <w:spacing w:after="0" w:line="178"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Commercialization Risks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grow revenues and execute on our long-term strategy depends heavily on our ability to discover, develop, and obtain marketing approval for additional products or product candidates.</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order for us to achieve our long-term business objectives, we will need to successfully discover and/or develop and commercialize additional products or product candidates. Although we have made, and expect to continue to make, significant investments in research and development, we have had only a limited number of our internally-discovered product candidates reach the clinical development stage. Drug discovery and development is a complex, time-consuming and expensive process that is fraught with risk and a high rate of failure. Failure to successfully discover and/or develop, obtain marketing approval for and commercialize additional products and product candidates would likely have a material adverse effect on our ability to grow revenues and improve our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further develop our ADAPTIR platform.</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A key element of our strategy is to expand our product pipeline of immunotherapeutics based on our ADAPTIR platform technology.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autoimmune disease and other therapeutic areas. Our goal is to leverage this technology to make targeted investment in bispecific ADAPTIR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platform technology, our ability to obtain product revenues in future periods may be adversely affected, which likely would result in harm to our financial position and our financial prospects and adversely affect our stock price.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w:t>
      </w:r>
    </w:p>
    <w:p>
      <w:pPr>
        <w:spacing w:after="0" w:line="11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development and commercialization of new biotechnology products is highly competitive and subject to rapid technological advances. We may face future competition with respect to IXINITY,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products. Our competitors may devote greater resources to market or sell their products, research and development capabilities, adapt more quickly to new technologies, scientific advances or patient preferences and needs, initiate or withstand substantial price competition more successfully, or more effectively negotiate third-party licensing and collaborative arrangements.</w:t>
      </w:r>
    </w:p>
    <w:p>
      <w:pPr>
        <w:spacing w:after="0" w:line="233"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believe that our most significant competitors in the hematology/oncology, and inflammation markets include: AbbVie Inc., Aduro, Inc., Affirmed, Amgen Inc., AnaptysBio, Inc., Astellas Pharma Inc., Bayer AG, Biogen Idec Inc., Bioverativ Therapeutics Inc., Boehringer Ingelheim GmbH, CSL Behring, a subsidiary of CSL Limited, Dendron Corp., Genentech Inc. (a subsidiary of F. Hoffmann-La Roche Ltd.), Genmab A/S, Gilead Sciences, Inc., GlaxoSmithKline plc, Grifols USA LLC, ImmunoGen, Inc., Immunomedics, Inc., Janssen BioTech Inc., Johnson &amp; Johnson, Macrogenics, Inc., Novartis International AG, Pieris Pharmaceuticals, Inc., Pfizer Inc., Sanofi-Adventis US LLC, Shire US Inc., Takeda Pharmaceuticals U.S.A., Inc., Xencor, Inc. and Zymeworks Biopharmaceuticals, Inc. We compete, in the case of IXINITY, and expect to compete, in the cases of our product candidates in development,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our products, switch from our products to new products or choose to use our products only in limited circumstances, which could adversely affect our business,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jc w:val="both"/>
        <w:ind w:firstLine="518"/>
        <w:spacing w:after="0" w:line="269" w:lineRule="auto"/>
        <w:rPr>
          <w:sz w:val="20"/>
          <w:szCs w:val="20"/>
          <w:color w:val="auto"/>
        </w:rPr>
      </w:pPr>
      <w:r>
        <w:rPr>
          <w:rFonts w:ascii="Arial" w:cs="Arial" w:eastAsia="Arial" w:hAnsi="Arial"/>
          <w:sz w:val="17"/>
          <w:szCs w:val="17"/>
          <w:color w:val="auto"/>
        </w:rPr>
        <w:t>In addition, many of our competitors are able to deploy more personnel to market and sell their products than we do. We currently have a relatively small number of sales representatives compared with the number of sales representatives of most other biotechnology companies with marketed products like ours. Each of our sales representatives is responsible for a territory of significant size. The continued growth of IXINITY and the launch of any future products may require expansion of our sales force and sales support organization internationally, and we may need to commit significant additional funds, management and other resources to the growth of our sales organization. We may not be able to achieve any necessary growth in a timely or cost-effective manner or realize a positive return on our investment, and we may not have the financial resources to achieve the necessary growth in a timely manner or at all. We also have to compete with other biotechnology and life sciences companies to recruit, hire, train and retain sales and marketing personnel, and turnover in our sales force and marketing personnel could negatively affect sales IXINITY. IXINITY and our product candidates may also compete in the future with new products currently under development by others or biosimilar products. Any products that we develop are likely to be in a highly competitive market, and many of our competitors may succeed in developing products before we do or in developing products that may render our products obsolete or noncompetitive.</w:t>
      </w:r>
    </w:p>
    <w:p>
      <w:pPr>
        <w:spacing w:after="0" w:line="2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IXINTY or any of our product candidates, if approved, may become subject to unfavorable pricing regulations or third-party coverage and reimbursement policies, which would harm our business</w:t>
      </w:r>
      <w:r>
        <w:rPr>
          <w:rFonts w:ascii="Arial" w:cs="Arial" w:eastAsia="Arial" w:hAnsi="Arial"/>
          <w:sz w:val="18"/>
          <w:szCs w:val="18"/>
          <w:b w:val="1"/>
          <w:bCs w:val="1"/>
          <w:color w:val="auto"/>
        </w:rPr>
        <w:t>.</w:t>
      </w:r>
    </w:p>
    <w:p>
      <w:pPr>
        <w:spacing w:after="0" w:line="62"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The success of IXINITY and our product candidates, if approved, will depend upon, among other things, their acceptance by physicians, patients, third-party payors and other members of the medical community as a therapeutic and cost-effective alternative to competing products and treatments. If IXINITY or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97"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In the United States and internationally, sales of IXINITY and our ability to generate revenues on such sales are dependent, in significant part, on the availability and level of reimbursement from third-party payors, including government payors, such as Medicare and Medicaid, and private insurance plans. Insurers have implemented cost-cutting measures and other initiatives to enforce more stringent reimbursement standards and likely will continue to do so in the future. These measures include the establishment of more restrictive formularies and increases in the out-of-pocket obligations of patients for such products. Third-party payors are also increasingly challenging the prices charged for medical products and services. Third-party payors may limit access to biotechnology products through the use of prior authorizations and step therapy. Any reimbursement granted may not be maintained, or limits on reimbursement available from third parties, may reduce the demand for or negatively affect the price and potential profitability of those products. If these payors do not provide sufficient coverage and reimbursement for IXINITY or any future drug product we may market, these products may be too costly for general use, and physicians may prescribe them less frequently. Our ability to successfully commercialize IXINITY and product candidates and the demand for our products depends, in part, on the extent to which reimbursement and access is available from such third-party payors.</w:t>
      </w:r>
    </w:p>
    <w:p>
      <w:pPr>
        <w:spacing w:after="0" w:line="16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particularly in the United States and increasingly in other countries, we are required to provide discounts and pay rebates to state and federal governments and agencies in connection with purchases of IXINITY that are reimbursed by such entities. Various provisions of the ACA increased the levels of rebates and discounts that we have to provide in connection with sales of IXINITY that are paid for, or reimbursed by, certain state and federal government agencies and programs. It is possible that future legislation and regulatory changes in the United States and other jurisdictions could be enacted, which could potentially impact the reimbursement rates for IXINITY and also could further impact the levels of discounts and rebates we are required to pay to state and federal government entities.</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revenues also depend on the availability outside the United States of adequate pricing and reimbursement from third-party payors for IXINITY and future drug products, if any.</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Outside the United States, certain countries, including a number of EU Member States, set prices and reimbursement for pharmaceutical products, or medicinal products as they are commonly referred to in the EU, with limited participation from the marketing authorization holders. We cannot be sure that these prices and reimbursement will be acceptable to us or our collaborative partners. If the regulatory authorities in these foreign jurisdictions set prices or reimbursement that are not commercially attractive for us or our collaborative partners, our revenues from sales,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b w:val="1"/>
          <w:bCs w:val="1"/>
          <w:i w:val="1"/>
          <w:iCs w:val="1"/>
          <w:color w:val="auto"/>
        </w:rPr>
        <w:t>An inability to convince hospitals and managed care organizations to include IXINITY on their approved formulary lists, may result in our failure to meet revenue expectations.</w:t>
      </w:r>
    </w:p>
    <w:p>
      <w:pPr>
        <w:spacing w:after="0" w:line="62"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Hospitals and managed care organizations establish formularies, which are lists of drugs approved for use in the hospital or under a managed care plan. If a drug is not included on the formulary, the ability of our engagement partners and engagement managers to promote and sell the drug may be limited or denied. If we fail to secure and maintain formulary inclusion for IXINITY on favorable terms or are significantly delayed in doing so, we may have difficulty achieving market acceptance of IXINITY and our business, results of operations and financial condition could be materially adversely affected.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legislature reform measures may have a material adverse effect on our business and results of operations.</w:t>
      </w:r>
    </w:p>
    <w:p>
      <w:pPr>
        <w:spacing w:after="0" w:line="131"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judicial and Congressional challenges, as well as efforts by the Trump Administration to repeal or replace certain aspects of the ACA. For example,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Additionally, President Trump signed The Tax Cuts and Jobs Act of 2017 on December 22, 2017, which includes a provision repealing the individual mandate under the ACA, effective January 1, 2019. We continue to evaluate how the ACA and recent efforts to repeal and replace or limit the implementation of the ACA will impact our business.</w:t>
      </w:r>
    </w:p>
    <w:p>
      <w:pPr>
        <w:spacing w:after="0" w:line="194"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2025 unless additional Congressional action is taken. 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These new laws and initiatives may result in additional reductions in Medicare and other healthcare funding, which could have a material adverse effect on our future customers and accordingly, our financial operations.</w:t>
      </w:r>
    </w:p>
    <w:p>
      <w:pPr>
        <w:spacing w:after="0" w:line="18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negotiate and maintain satisfactory arrangements with group purchasing organizations and our distributors financial condition could be adversely affected.</w:t>
      </w:r>
    </w:p>
    <w:p>
      <w:pPr>
        <w:spacing w:after="0" w:line="62"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Our ability to sell IXINITY to hospitals and clinics in the United States depends in part on our relationships with group purchasing organizations, or GPOs. GPOs negotiate pricing arrangements and contracts, sometimes on an exclusive basis, with medical supply manufacturers and distributors. These negotiated prices are then made available to a GPOs affiliated hospitals and clinics and other members. If we are not one of the providers selected by a GPO, affiliated hospitals, clinics and other members may be less likely to purchase IXINITY, and if the GPO has negotiated a strict sole source, market share compliance or bundling contract for another manufacturer’s products, we may be precluded from making sales to members of the GPO for the duration of the contractual arrangement. Our failure to renew contracts with GPOs may cause us to lose market share and could have a material adverse effect on our sales, financial condition and results of operations. We cannot assure you that we will be able to renew these contracts on the current or substantially similar terms. If we are unable to keep our relationships and develop new relationships with GPOs, our competitive position may suffer.</w:t>
      </w:r>
    </w:p>
    <w:p>
      <w:pPr>
        <w:spacing w:after="0" w:line="16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Additionally, we rely on the sales and marketing strength of these distributors and the distribution channels through which they operate for a portion of our revenues. If third parties do not successfully carry out their contractual duties, or if there is a delay or interruption in the distribution of our products, it could negatively impact our revenues from product sales.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The loss of any of our sole source manufacturers, or delays or problems in the manufacture of </w:t>
      </w:r>
      <w:r>
        <w:rPr>
          <w:rFonts w:ascii="Arial" w:cs="Arial" w:eastAsia="Arial" w:hAnsi="Arial"/>
          <w:sz w:val="18"/>
          <w:szCs w:val="18"/>
          <w:color w:val="auto"/>
        </w:rPr>
        <w:t>IXINITY</w:t>
      </w:r>
      <w:r>
        <w:rPr>
          <w:rFonts w:ascii="Arial" w:cs="Arial" w:eastAsia="Arial" w:hAnsi="Arial"/>
          <w:sz w:val="18"/>
          <w:szCs w:val="18"/>
          <w:b w:val="1"/>
          <w:bCs w:val="1"/>
          <w:i w:val="1"/>
          <w:iCs w:val="1"/>
          <w:color w:val="auto"/>
        </w:rPr>
        <w:t xml:space="preserve"> or our product candidates, could result in product shortages and loss in revenue or delays in clinical development.</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do not have manufacturing capabilities and do not plan to develop such capacity in the foreseeable future. We depend on a limited number of sole source third-party suppliers, including AGC Biologics, for our products and product candidates. Accordingly, our ability to develop and deliver products in a timely and competitive manner depends on our third-party manufacturers being able to continue to meet our ongoing commercial and clinical trial needs and perform their contractual obligations. Increases in the prices we pay our suppliers, interruptions in the supply of raw materials or IXINITY or lapses in quality could adversely impact our margins, profitability, cash flows and prospects.</w:t>
      </w:r>
    </w:p>
    <w:p>
      <w:pPr>
        <w:spacing w:after="0" w:line="188"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If, for any reason, AGC, sole manufacturer of bulk drug substance for our IXINITY product, does not continue to supply us with IXINITY in a timely fashion and in compliance with applicable quality and regulatory requirements, or otherwise fails or refuses to comply with its obligations to us under our manufacturing arrangement, we may not have adequate remedies for any breach of contract, and its failure to supply us could result in a shortage of IXINITY, which could lead to lost revenue and otherwise adversely affect our business, financial condition, results of operations and growth prospects. In addition, if AGC fails or refuses to supply us for any reason, we may be forced to consider entering into additional manufacturing arrangements with other third-party manufacturers. In each case, we will incur significant costs and time in obtaining the regulatory approvals for these third-party facilities and in taking the necessary steps to prepare these third parties for the manufacture of IXINITY. Because of contractual restraints and the lead-time necessary to obtain FDA approval of a new manufacturer, replacement of any of AGC may be expensive and time consuming and may cause interruptions in our supply of IXINITY to our customers or an inability to manufacture.</w:t>
      </w:r>
    </w:p>
    <w:p>
      <w:pPr>
        <w:spacing w:after="0" w:line="182"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For example, during 2015, we ordered nine manufacturing lots of bulk drug substance from AGC and only one of those lots was successfully manufactured and released in 2015. During 2016, we ordered five manufacturing lots of bulk drug substance from AGC and none of these lots satisfied product release specifications.</w:t>
      </w:r>
    </w:p>
    <w:p>
      <w:pPr>
        <w:spacing w:after="0" w:line="22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On March 15, 2017, we announced the successful manufacture of a new bulk drug substance batch of IXINITY, providing new supply of IXINITY for the commercial market in May 2017. We have had success manufacturing batches of IXINITY since that time.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Manufacturer of our products and product candidates, especially in large quantities, is complex and time consuming.</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IXINITY and all of our current product candidates are biologics. IXINITY and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62"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We rely on third parties to manufacture all clinical trial materials for our product candidates, and we will rely on third parties to manufacture commercial supplies, if any such product candidates are ultimately approved for commercial sale. Our product candidates, including APVO414, APVO210, otlertuzumab, APVO436, ALG.APV-527, and an immunotherapeutic protein targeting ROR1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In order to successfully develop and commercialize our product candidates in a timely manner, we and our third-party manufacturers must be able to develop and execute on manufacturing processes, and reach agreement on contract terms.</w:t>
      </w:r>
    </w:p>
    <w:p>
      <w:pPr>
        <w:spacing w:after="0" w:line="19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If we are unable to develop manufacturing processes for our clinical product candidates that satisfy these requirements, we will not be able to supply sufficient quantities of test material to conduct our clinical trials in a timely or cost effective manner, and as a result, our development programs will be delayed, our financial performance will be adversely impacted and we will be unable to meet our long-term goals.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Development and commercialization of IXINITY and our product candidates may be terminated or delayed.</w:t>
      </w:r>
    </w:p>
    <w:p>
      <w:pPr>
        <w:spacing w:after="0" w:line="117"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IXINITY and our product candidates and market and sell our products outside of the United States and maintaining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IXINITY and our product candidates in development, our results of operations would be materially and adversely affected.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number of risks and uncertainties associated with our international activities and operations.</w:t>
      </w:r>
    </w:p>
    <w:p>
      <w:pPr>
        <w:spacing w:after="0" w:line="117"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We currently have limited operations outside of the United States. However, we have manufacturing, collaboration, clinical trial and other relationships outside the United States and we may seek to grow our international operations significantly over the next several years. Our future results of operations will depend in part on our ability to grow our product sales in foreign markets, particularly in Europe. Our foreign operations subject us to additional risks and uncertainties, particularly because we have limited experience in marketing, servicing and distributing our products or otherwise operating our business outside of the United States and Canada. These risks and uncertainties include: political and economic determinations that adversely impact pricing or reimbursement policies; our customers’ ability to obtain reimbursement for procedures using our products in foreign markets; export licensing requirements, political and economic instability, trade restrictions, and changes in tariffs and difficulties in staffing and managing foreign operations; cross border restrictions on the movement of cash funds and repatriation of earnings; foreign currency fluctuations; longer accounts receivable collection times; reduced protection of intellectual property rights in some foreign countries; the interpretation of contractual provisions governed by foreign laws in the event of a contract dispute; and compliance with foreign or U.S. laws, rules and regulations, including data privacy requirements, labor relations laws, tax laws, anti-competition regulations, anti-bribery/anti-corruption laws, including but not limited to the U.S. Foreign Corrupt Practices Act, or FCPA, and the U.K. Bribery Act of 2010, which could subject us to investigation or prosecution under such U.S. or foreign laws.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Regulatory and Compliance Risks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long-term success depends, in part, upon our ability to develop, receive regulatory approval for and commercialize our product candidates.</w:t>
      </w:r>
    </w:p>
    <w:p>
      <w:pPr>
        <w:spacing w:after="0" w:line="14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Generally,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188"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FDA and other comparable regulatory agencies in foreign countries impose substantial and rigorous requirements for the development, production, marketing authorization and commercial introduction of drug products. These requirements include preclinical,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1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biologics license application, or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Developing and obtaining regulatory approval for product candidates is a lengthy process, often taking a number of years, is uncertain and is expensive. All of the product candidates that we are developing, or may develop in the future, require research and development, preclinical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jc w:val="both"/>
        <w:spacing w:after="0" w:line="264" w:lineRule="auto"/>
        <w:rPr>
          <w:sz w:val="20"/>
          <w:szCs w:val="20"/>
          <w:color w:val="auto"/>
        </w:rPr>
      </w:pPr>
      <w:r>
        <w:rPr>
          <w:rFonts w:ascii="Arial" w:cs="Arial" w:eastAsia="Arial" w:hAnsi="Arial"/>
          <w:sz w:val="18"/>
          <w:szCs w:val="18"/>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7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19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193"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14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Certain of our products in development have experienced regulatory and/or clinical setbacks in the past. For example, in December 2015, after a review of data from the Phase 1 dose escalation study of APVO414 in prostate cancer patients, we concluded that the dosing regimen and administration required adjustment. Patients receiving weekly doses of APVO414 developed antibodies against the drug; which are called anti-drug antibodies, or ADA. ADA developed in most patients including those receiving the maximum tolerated dose of drug that could be given safely on a weekly basis. These antibodies bind to the drug and reduce the concentration of active APVO414 in the blood and thus could potentially reduce its efficacy. However, we observed no safety issues related to the development of ADA. The cause of these antibodies is unclear but could be due to the weekly administration of the drug. Hence, the protocol has been amended to continuous intravenous infusion as a way to administer higher levels of drug and prevent the development of ADA. There is no guarantee that this change in administration will enable higher dosing and/or prevent the development of ADA. 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We may not be able to file for regulatory approvals and may not receive necessary approvals to commercialize our products and products in development in any market on a timely basis, if at all.</w:t>
      </w:r>
    </w:p>
    <w:p>
      <w:pPr>
        <w:spacing w:after="0" w:line="388"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Regulatory approval for any approved product is limited by the FDA to those specific indications and conditions for which clinical safety and efficacy have been demonstrated, and we may incur significant liability if it is determined that we are promoting the “off-label” use of IXINITY or any of our future product candidates if approved.</w:t>
      </w:r>
    </w:p>
    <w:p>
      <w:pPr>
        <w:spacing w:after="0" w:line="7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Any regulatory approval is limited to those specific diseases and indications for which a product is deemed to be safe and effective by the FDA. For example, the FDA-approved label for IXINITY is not approved for use in patients younger than twelve years old. In addition to the FDA approval required for new formulations, any new indication for an approved product also requires FDA approval. If we are not able to obtain FDA approval for any desired future indications for our products and product candidates, our ability to effectively market and sell our products may be reduced and our business may be adversely affected.</w:t>
      </w:r>
    </w:p>
    <w:p>
      <w:pPr>
        <w:spacing w:after="0" w:line="18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While physicians may choose to prescribe drugs for uses that are not described in the product’s labeling and for uses that differ from those tested in clinical studies and approved by the regulatory authorities, our ability to promote the products is limited to those indications that are specifically approved by the FDA. These “off-label” uses are common across medical specialties and may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jc w:val="both"/>
        <w:spacing w:after="0" w:line="273" w:lineRule="auto"/>
        <w:rPr>
          <w:sz w:val="20"/>
          <w:szCs w:val="20"/>
          <w:color w:val="auto"/>
        </w:rPr>
      </w:pPr>
      <w:r>
        <w:rPr>
          <w:rFonts w:ascii="Arial" w:cs="Arial" w:eastAsia="Arial" w:hAnsi="Arial"/>
          <w:sz w:val="17"/>
          <w:szCs w:val="17"/>
          <w:color w:val="auto"/>
        </w:rPr>
        <w:t>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If our promotional activities fail to comply with the FDAs regulations or guidelines, we may be subject to warnings from, or enforcement action by, these authorities. In addition, our failure to follow FDA rules and guidelines relating to promotion and advertising may cause the FDA to issue warning letters or untitled letters, suspend or withdraw an approved product from the market, require a recall or institute fines, which could result in the disgorgement of money, operating restrictions, injunctions or civil or criminal enforcement, any of which could harm our business.</w:t>
      </w:r>
    </w:p>
    <w:p>
      <w:pPr>
        <w:spacing w:after="0" w:line="178"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Notwithstanding the regulatory restrictions on off-label promotion, the FDA and other regulatory authorities allow companies to engage in truthful, non-misleading and non-promotional scientific exchange concerning their products. We engage in medical education activities and communicate with investigators and potential investigators regarding our clinical trials. If the FDA or other regulatory or enforcement authorities determine that our communications regarding our marketed product are not in compliance with the relevant regulatory requirements and that we have improperly promoted off-label uses, we may be subject to significant liability, including civil and administrative remedies as well as criminal sanctions.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may face regulatory, legal or commercial challenges even after approval.</w:t>
      </w:r>
    </w:p>
    <w:p>
      <w:pPr>
        <w:spacing w:after="0" w:line="11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Any drug or, biologic for which we receive FDA approval, along with the manufacturing processes, post-approval clinical data, labeling, advertising and promotional activities for such product, will be subject to continuing regulation by the FDA, including, among other things, record keeping requirements, reporting of adverse experiences, providing the FDA with updated safety and efficacy information, product sampling and distribution requirements, current good manufacturing practices, or cGMP, and restrictions on advertising and promotion. Adverse events that are reported after marketing approval can result in additional limitations being placed on the product’s distribution or use and, potentially, withdrawal or suspension of the product from the market.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or those of our third-party manufacturers and distributors, could be subject to challenge under one or more of such laws.</w:t>
      </w:r>
    </w:p>
    <w:p>
      <w:pPr>
        <w:spacing w:after="0" w:line="179"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In addition, the FDA has post-approval authority to require post-approval clinical trials and/or safety labeling changes if warranted by the appearance of new safety information. In certain circumstances, the FDA may impose a Risk Evaluation and Mitigation Strategy, or REMS, after a product has been approved. Facilities involved in the manufacture and distribution of approved products are required to register their establishments with the FDA and certain state agencies and are subject to periodic unannounced inspections by the FDA for compliance with cGMP and other laws. The FDA also closely monitors advertising and promotional materials we may disseminate for our products for compliance with restrictions on off-label promotion and other laws. We may not promote our products for conditions of use that are not included in the approved package inserts for our products. Certain additional restrictions on advertising and promotion exist for products that have so-called boxed warnings in their approved package inserts.</w:t>
      </w:r>
    </w:p>
    <w:p>
      <w:pPr>
        <w:spacing w:after="0" w:line="16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Similar actions may be taken against us should we fail to comply with regulatory requirements, or later discover previously unknown problems with our products. 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If we experience any of these post-approval events, our business, financial condition and operating results could be materially and adversely affected.</w:t>
      </w:r>
    </w:p>
    <w:p>
      <w:pPr>
        <w:spacing w:after="0" w:line="29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3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As a biotechnology company, even though we do not provide healthcare services or receive payments directly from or bill directly to Medicare, Medicaid or other third-party payors for our products, certain federal and state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79" w:lineRule="exact"/>
        <w:rPr>
          <w:sz w:val="20"/>
          <w:szCs w:val="20"/>
          <w:color w:val="auto"/>
        </w:rPr>
      </w:pPr>
    </w:p>
    <w:p>
      <w:pPr>
        <w:jc w:val="both"/>
        <w:ind w:left="1040" w:hanging="519"/>
        <w:spacing w:after="0" w:line="297"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Anti-Kickback Statute makes it illegal for any person or entity, including a prescription drug manufacturer (or a party acting on its behalf to knowingly and willfully soliciting, receiving, offering or paying remuneration, directly or indirectly, overtly or covertly, to induce, or in return for, the purchase,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jc w:val="both"/>
        <w:ind w:left="1040" w:hanging="519"/>
        <w:spacing w:after="0" w:line="259"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civil and criminal false claims, including the federal False Claims Act, and false statement laws and civil monetary penalty laws, which prohibit, among other things, individuals or entities from knowingly presenting, or causing to be presented, claims for payment from Medicare, Medicaid or other payors that are false or fraudulent or making any materially false statement in connection with the delivery or payment for healthcare benefits, items or services;</w:t>
      </w:r>
    </w:p>
    <w:p>
      <w:pPr>
        <w:spacing w:after="0" w:line="78" w:lineRule="exact"/>
        <w:rPr>
          <w:rFonts w:ascii="Arial" w:cs="Arial" w:eastAsia="Arial" w:hAnsi="Arial"/>
          <w:sz w:val="18"/>
          <w:szCs w:val="18"/>
          <w:color w:val="auto"/>
        </w:rPr>
      </w:pPr>
    </w:p>
    <w:p>
      <w:pPr>
        <w:jc w:val="both"/>
        <w:ind w:left="1040" w:hanging="519"/>
        <w:spacing w:after="0" w:line="272"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Health Insurance Portability and Accountability Act of 1996, or HIPAA, as amended by the Health Information Technology for Economic and Clinical Health, or HITECH, and their respective implementing regulations, including the final omnibus rule published on January 25, 2013,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69"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physician self-referral laws, such as the Stark law, which prohibit a physician from making a referral to a provider of certain health services with which the physician or the physician’s family member has a financial interest, and prohibit submission of a claim for reimbursement pursuant to a prohibited referral;</w:t>
      </w:r>
    </w:p>
    <w:p>
      <w:pPr>
        <w:spacing w:after="0" w:line="73"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Physician Payment Sunshine Act, which imposes annual disclosure requirements to Centers for Medicare and Medicaid, or CMS on manufacturers of drugs, biologics and devices reimbursed by Medicare, Medicaid or the Children’s Health Insurance Program of certain payments and transfers of value made to physicians and teaching hospitals, and ownership or investment interests held by physicians and their immediate family members; and</w:t>
      </w:r>
    </w:p>
    <w:p>
      <w:pPr>
        <w:spacing w:after="0" w:line="78" w:lineRule="exact"/>
        <w:rPr>
          <w:rFonts w:ascii="Arial" w:cs="Arial" w:eastAsia="Arial" w:hAnsi="Arial"/>
          <w:sz w:val="18"/>
          <w:szCs w:val="18"/>
          <w:color w:val="auto"/>
        </w:rPr>
      </w:pPr>
    </w:p>
    <w:p>
      <w:pPr>
        <w:jc w:val="both"/>
        <w:ind w:left="1040" w:hanging="519"/>
        <w:spacing w:after="0" w:line="291"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anti-kickback and false claims laws, which may apply to items or services reimbursed by any third-party payor, including commercial insurers; state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state, local and foreign laws that require drug manufacturers to report information related to payments and other transfers of value to other healthcare providers or entities or marketing expenditures.</w:t>
      </w:r>
    </w:p>
    <w:p>
      <w:pPr>
        <w:spacing w:after="0" w:line="16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To the extent that any product we make is sold in a foreign country, we may be subject to similar foreign laws and regulations.</w:t>
      </w:r>
    </w:p>
    <w:p>
      <w:pPr>
        <w:spacing w:after="0" w:line="18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Further, there has been a recent trend in the increase of federal and state laws and regulations regarding financial arrangements with physicians. The ACA imposes new requirements to report certain financial arrangements with physicians and others, including reporting any “transfer of value” made or distributed to prescribers and other healthcare providers and reporting any ownership or investment interests held by physicians and their immediate family members during each calendar year, subject to federal implementation and enforcement policies.</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addition, certain states mandate that we comply with a state code of conduct, adopt a company code of conduct under state criteria, disclose marketing payments made to physicians,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jc w:val="both"/>
        <w:ind w:firstLine="518"/>
        <w:spacing w:after="0" w:line="270" w:lineRule="auto"/>
        <w:rPr>
          <w:sz w:val="20"/>
          <w:szCs w:val="20"/>
          <w:color w:val="auto"/>
        </w:rPr>
      </w:pPr>
      <w:r>
        <w:rPr>
          <w:rFonts w:ascii="Arial" w:cs="Arial" w:eastAsia="Arial" w:hAnsi="Arial"/>
          <w:sz w:val="17"/>
          <w:szCs w:val="17"/>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U.S. governmental pricing programs, we could be required to reimburse government programs for underpayments and could pay penalties, sanctions and fines.</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issuance of regulations and coverage expansion by various governmental agencies relating to the Medicaid rebate program will continue to increase our costs and the complexity of compliance and will be time-consuming. Changes to the definition of “average manufacturer price,” or AMP, and the Medicaid rebate amount under the ACA and CMSs, issuance of final regulations implementing those changes also has affected and could further affect our 340B “ceiling price” calculations. Because we participate in the Medicaid rebate program, we are required to report “average sales price,” or ASP, information to CMS for certain categories of drugs that are paid for under Part B of the Medicare program, including IXINITY. Future statutory or regulatory changes or CMS binding guidance could affect the ASP calculations for our products and the resulting Medicare payment rate, and could negatively impact our results of operations.</w:t>
      </w:r>
    </w:p>
    <w:p>
      <w:pPr>
        <w:spacing w:after="0" w:line="189"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Pricing and rebate calculations vary among products and programs, involve complex calculations and are often subject to interpretation by us, governmental or regulatory agencies and the courts. The Medicaid rebate amount is computed each quarter based on our submission to CMS of our current AMP and “best price” for the quarter. If we become aware that our reporting for a prior quarter was incorrect, or has changed as a result of recalculation of the pricing data, we are obligated to resubmit the corrected data for a period not to exceed twelve quarters from the quarter in which the data originally were due. Any such revisions could have the impact of increasing or decreasing our rebate liability for prior quarters, depending on the direction of the revision. Such restatements and recalculations increase our costs for complying with the laws and regulations governing the Medicaid rebate program. Price recalculations also may affect the “ceiling price” at which we are required to offer our products to certain covered entities, such as safety-net providers, under the 340B/PHS drug pricing program.</w:t>
      </w:r>
    </w:p>
    <w:p>
      <w:pPr>
        <w:spacing w:after="0" w:line="192"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In addition to retroactive rebate liability and the potential for 340B program refunds, if we are found to have made a misrepresentation in the reporting of ASP, we are subject to civil monetary penalties for each such price misrepresentation and for each day in which such price misrepresentation was applied. If we are found to have knowingly submitted false AMP or “best price” information to the government, we may be liable for civil monetary penalties per item of false information. Any refusal of a request for information or knowing provision of false information in connection with an AMP survey verification also would subject us to civil monetary penalties. In addition, our failure to submit monthly/quarterly AMP or “best price” information on a timely basis could result in a civil monetary penalty per day for each day the information is late beyond the due date. Such failure also could be grounds for CMS to terminate our Medicaid drug rebate agreement, pursuant to which we participate in the Medicaid program. In the event that CMS terminates our rebate agreement, no federal payments would be available under Medicaid or Medicare Part B for our covered outpatient drugs. Governmental agencies may also make changes in program interpretations, requirements or conditions of participation, some of which may have implications for amounts previously estimated or paid. We cannot assure you that our submissions will not be found by CMS to be incomplete or incorrect.</w:t>
      </w:r>
    </w:p>
    <w:p>
      <w:pPr>
        <w:spacing w:after="0" w:line="169"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In order for our products to be reimbursed by the primary federal governmental programs, we report certain pricing data to the U.S. federal government. Compliance with reporting and other requirements of these federal programs is a pre-condition to: (i) the availability of federal funds to pay for our products under Medicaid and Medicare Part B; and (ii) procurement of our products by the Department of Veterans Affairs, or DVA, and by covered entities under the 340B/PHS program. The pricing data reported are used as the basis for establishing Federal Supply Schedule, or FSS, and 340B/PHS program contract pricing and payment and rebate rates under the Medicare Part B and Medicaid programs, respectively. Pharmaceutical companies have been prosecuted under federal and state false claims laws for submitting inaccurate and/or incomplete pricing information to the government that resulted in increased payments made by these programs. The rules governing the calculation of certain reported prices are highly complex. Although we maintain and follow strict procedures to ensure the maximum possible integrity for our federal pricing calculations, the process for making the required calculations involves some subjective judgments and the risk of errors always exists, which creates the potential for exposure under the false claims laws. If we become subject to investigations or other inquiries concerning our compliance with price reporting laws and regulations, and our methodologies for calculating federal prices are found to include flaws or to have been incorrectly applied, we could be required to pay or be subject to additional reimbursements, penalties, sanctions or fines, which could have a material adverse effect on our business, financial condition and results of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jc w:val="both"/>
        <w:ind w:firstLine="518"/>
        <w:spacing w:after="0" w:line="287" w:lineRule="auto"/>
        <w:rPr>
          <w:sz w:val="20"/>
          <w:szCs w:val="20"/>
          <w:color w:val="auto"/>
        </w:rPr>
      </w:pPr>
      <w:r>
        <w:rPr>
          <w:rFonts w:ascii="Arial" w:cs="Arial" w:eastAsia="Arial" w:hAnsi="Arial"/>
          <w:sz w:val="16"/>
          <w:szCs w:val="16"/>
          <w:color w:val="auto"/>
        </w:rPr>
        <w:t>To be eligible to have our products paid for with federal funds under the Medicaid and Medicare Part B programs as well as to be purchased by certain federal agencies and certain federal grantees, we also must participate in the DVA FSS pricing program. To participate, we are required to enter into an FSS contract with the DVA, under which we must make our innovator “covered drugs” available to the “Big Four” federal agencies—the DVA, the U.S. Department of Defense, or the DoD, the Public Health Service (including the Indian Health Service), and the Coast Guard—at pricing that is capped pursuant to a statutory federal ceiling price, or FCP, formula set forth in Section 603 of the Veterans Health Care Act of 1992, or VHCA. The FCP is based on a weighted average wholesale price known as the Non-Federal Average Manufacturer Price, or Non-FAMP, which manufacturers are required to report on a quarterly and annual basis to the DVA. Pursuant to the VHCA, knowing provision of false information in connection with a Non-FAMP filing can subject us to penalties of $100,000 for each item of false information. If we overcharge the government in connection with our FSS contract or Section 703 Agreement, whether due to a misstated FCP or otherwise, we are required to disclose the error and refund the difference to the government. The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6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presently governed by the provisions of the EU Data Protection Directive, will be replaced with the EU General Data Protection Regulation, or the GDPR, in May 2018. The GDPR, which is wide-ranging in scope, will impose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personal data. The GDPR will also impose strict rules on the transfer of personal data out of the EU to the U.S., will provide an enforcement authority and will impose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will increase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t>Intellectual Property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proprietary rights, our business could be harmed.</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protecting our intellectual property depends significantly on our ability to:</w:t>
      </w:r>
    </w:p>
    <w:p>
      <w:pPr>
        <w:spacing w:after="0" w:line="64"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obtain and maintain U.S. and foreign patents, that are meaningful to our products, including defending those patents against adverse claims;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secure patent term extension for the patents covering our approved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protect trade secrets;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others;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prevent others from infringing our proprietary rights.</w:t>
      </w:r>
    </w:p>
    <w:p>
      <w:pPr>
        <w:spacing w:after="0" w:line="225"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We may not be able to obtain issued patents relating to our technology or products. Even if issued, patents may inadvertently lapse or be challenged, narrowed, invalidated or circumvented, which could limit our ability to stop competitors from marketing similar products or limit the duration of patent protection we may have for our products.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179"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19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In addition to patent litigation, we may be a party to adversarial proceedings before the Patent Trial and Appeal Board (PTAB) of the US Patent and Trademark Office (USPTO), or the Opposition Division of the European Patent Office (EPO). Potential proceedings before the PTAB include inter partes review proceedings, post-grant review proceedings and interference proceedings. Depending on our level of success at the PTAB and Opposition Division of the EPO, these proceedings could adversely impact our intellectual property rights with respect to our products and technology.</w:t>
      </w:r>
    </w:p>
    <w:p>
      <w:pPr>
        <w:spacing w:after="0" w:line="17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3" w:name="page44"/>
    <w:bookmarkEnd w:id="43"/>
    <w:p>
      <w:pPr>
        <w:jc w:val="both"/>
        <w:ind w:firstLine="518"/>
        <w:spacing w:after="0" w:line="302" w:lineRule="auto"/>
        <w:rPr>
          <w:sz w:val="20"/>
          <w:szCs w:val="20"/>
          <w:color w:val="auto"/>
        </w:rPr>
      </w:pPr>
      <w:r>
        <w:rPr>
          <w:rFonts w:ascii="Arial" w:cs="Arial" w:eastAsia="Arial" w:hAnsi="Arial"/>
          <w:sz w:val="16"/>
          <w:szCs w:val="16"/>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154"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We also will rely on current and future trademarks to establish and maintain recognized brands. If we fail to acquire and protect such trademarks, our ability to market and sell our products, and therefore our business, financial condition and operating results, could be materially and adversely affected.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choose to file patent infringement claims against us.</w:t>
      </w:r>
    </w:p>
    <w:p>
      <w:pPr>
        <w:spacing w:after="0" w:line="117"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16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PTAB and opposition proceedings in the European Patent Office, regarding intellectual property rights with respect to our products and technology.</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Aptevo trademarks may be opposed which could have a material and adverse effect on our business.</w:t>
      </w:r>
    </w:p>
    <w:p>
      <w:pPr>
        <w:spacing w:after="0" w:line="11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have applications pending that cover the APTEVO THERAPEUTICS, APTEVO BIOTHERAPEUTICS and APTEVO RESEARCH AND DEVELOPMENT trademarks.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65"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Synoptis Pharma Sp. z.o.o., or Synoptis, has opposed several of our house marks in the European Union. Despite efforts to initiate discussions with Synoptis regarding use of our house marks, Synoptis has refused to enter into settlement agreements. Our foreign counsel is investigating possible cancellation of Synoptis' registrations based on nonuse, which may allow the parties to enter negotiation discussions. If the event we are unsuccessful with our efforts to negotiate a settlement with Synoptis, we may lose our ability to obtain trademark registration for one or more of the house marks in the European Union, where Synoptis has opposed the marks, which could have a material and adverse effect on our business.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jc w:val="both"/>
        <w:ind w:firstLine="518"/>
        <w:spacing w:after="0" w:line="259" w:lineRule="auto"/>
        <w:rPr>
          <w:sz w:val="20"/>
          <w:szCs w:val="20"/>
          <w:color w:val="auto"/>
        </w:rPr>
      </w:pPr>
      <w:r>
        <w:rPr>
          <w:rFonts w:ascii="Arial" w:cs="Arial" w:eastAsia="Arial" w:hAnsi="Arial"/>
          <w:sz w:val="18"/>
          <w:szCs w:val="18"/>
          <w:color w:val="auto"/>
        </w:rPr>
        <w:t>The Bristol Myers Squibb Company, or BMS, previously opposed several of our house marks in and outside the United States. We entered into a settlement and co-existence agreement with BMS and its licensee, Ono Pharmaceutical Co., Ltd on July 5, 2017. BMS subsequently withdrew oppositions of our house marks. The settlement and co-existence agreement places restrictions on how we can use our house marks and how we can seek trademark protection for our house marks.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11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our obligations in our intellectual property licenses with third parties, could result in loss of license rights or other damages.</w:t>
      </w:r>
    </w:p>
    <w:p>
      <w:pPr>
        <w:spacing w:after="0" w:line="140"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2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Collaborations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that leverage our capabilities in pursuit of developing and commercializing our product candidates.</w:t>
      </w:r>
    </w:p>
    <w:p>
      <w:pPr>
        <w:spacing w:after="0" w:line="62"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For each of our product candidates, including otlertuzumab, we plan to evaluate the merits of entering into collaboration arrangements with third parties, including leading biotechnology companies or non-governmental organizations. In July 2017, we entered into a collaboration agreement with Alligator Bioscience AB, or Alligator, pursuant to which Aptevo R&amp;D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We expect to selectively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16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Any collaboration that we have entered into, such as our agreement with Alligator, or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ind w:left="520"/>
        <w:spacing w:after="0"/>
        <w:rPr>
          <w:sz w:val="20"/>
          <w:szCs w:val="20"/>
          <w:color w:val="auto"/>
        </w:rPr>
      </w:pPr>
      <w:r>
        <w:rPr>
          <w:rFonts w:ascii="Arial" w:cs="Arial" w:eastAsia="Arial" w:hAnsi="Arial"/>
          <w:sz w:val="18"/>
          <w:szCs w:val="18"/>
          <w:color w:val="auto"/>
        </w:rPr>
        <w:t>The risks that we are subject to in any of our collaborations include, among others:</w:t>
      </w:r>
    </w:p>
    <w:p>
      <w:pPr>
        <w:spacing w:after="0" w:line="117" w:lineRule="exact"/>
        <w:rPr>
          <w:sz w:val="20"/>
          <w:szCs w:val="20"/>
          <w:color w:val="auto"/>
        </w:rPr>
      </w:pPr>
    </w:p>
    <w:p>
      <w:pPr>
        <w:ind w:left="10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collaborative partners may not commit adequate resources to the development, marketing and distribution of any collaboration products, limiting our potential revenues from these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collaborative partners may experience financial difficulties and may therefore be unable to meet their commitments to us;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collaborative partners may pursue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collaborative partners may terminate our relationship.</w:t>
      </w:r>
    </w:p>
    <w:p>
      <w:pPr>
        <w:spacing w:after="0" w:line="225"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Aptevo’s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continue to develop effective internal controls, we may not be able to accurately report our financial results and our business could be harmed.</w:t>
      </w:r>
    </w:p>
    <w:p>
      <w:pPr>
        <w:spacing w:after="0" w:line="6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beginning in 2018, Section 404 of the Sarbanes-Oxley Act, or Section 404, will require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have availed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7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73"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12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Our stock price has fluctuated in the past and is likely to be volatile in the future. Since August 1, 2016, the reported sale price of our common stock has fluctuated between $1.19 and $4.75 per share. The stock market in general, and the market for biotechnology companies in particular, have experienced extreme volatility that has often been unrelated to the operating performance of particular companies. The market price of our common stock may fluctuate significantly due to a number of factors, some of which may be beyond our control or unrelated to our operations, including, among others:</w:t>
      </w:r>
    </w:p>
    <w:p>
      <w:pPr>
        <w:spacing w:after="0" w:line="46"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management, or our ability to meet those estimates;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investor perceptions or negative announcements by our customers, competitors or suppliers regarding their own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expenses and results of clinical and non-clinical trials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regarding clinical trial results and product introductions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of acquisitions, collaborations, financings or other transactions by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 concern as to the safety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variations in our product revenue and results of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industry conditions and domestic and worldwide financial, economic and political instability;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public announcement of data from clinical studies or news of any developments related to our product pipeline may cause significant volatility in our stock price.</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announcement of data from clinical studies by us or our collaborative partners or news of any developments related to our key pipeline product candidates may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studies will support a filing for regulatory approval or even if approved, that any of our key pipeline products will become commercially successful.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Aptevo may be diluted in the future.</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the future, your percentage ownership in Aptevo may be diluted because of equity issuances for acquisitions, capital market transactions or otherwise, including equity awards to our directors, officers and employees. Our employees have options to purchase shares of our common stock and we have issued significant number of restricted stock units that will vest over time. From time to time, we may issue additional options or other stock-based awards to our employees under our employee benefits plans.</w:t>
      </w:r>
    </w:p>
    <w:p>
      <w:pPr>
        <w:spacing w:after="0" w:line="18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7" w:name="page48"/>
    <w:bookmarkEnd w:id="47"/>
    <w:p>
      <w:pPr>
        <w:jc w:val="both"/>
        <w:spacing w:after="0" w:line="342" w:lineRule="auto"/>
        <w:rPr>
          <w:sz w:val="20"/>
          <w:szCs w:val="20"/>
          <w:color w:val="auto"/>
        </w:rPr>
      </w:pPr>
      <w:r>
        <w:rPr>
          <w:rFonts w:ascii="Arial" w:cs="Arial" w:eastAsia="Arial" w:hAnsi="Arial"/>
          <w:sz w:val="16"/>
          <w:szCs w:val="16"/>
          <w:b w:val="1"/>
          <w:bCs w:val="1"/>
          <w:i w:val="1"/>
          <w:iCs w:val="1"/>
          <w:color w:val="auto"/>
        </w:rPr>
        <w:t>Fuad El-Hibri, the chairman of our Board of Directors, has significant influence over us through his substantial beneficial ownership of our common stock, including an ability to influence the election of the members of our Board of Directors, or delay or prevent a change of control of us.</w:t>
      </w:r>
    </w:p>
    <w:p>
      <w:pPr>
        <w:spacing w:after="0" w:line="16"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Mr. El-Hibri has the ability to significantly influence the election of the members of our Board of Directors due to his substantial beneficial ownership of our common stock. As of March 31, 2018, Mr. El-Hibri was the beneficial owner of approximately 12% of our outstanding common stock. As a result, Mr. El-Hibri could delay or prevent a change of control of us that may be favored by other directors or stockholders and otherwise exercise substantial control over all corporate actions requiring board or stockholder approval, including any amendment of our certificate of incorporation or by-laws. The control by Mr. El-Hibri may prevent other stockholders from influencing significant corporate decisions. In addition, Mr. El-Hibri’s significant beneficial ownership of our shares could present the potential for a conflict of interest.</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under Delaware law and in our restated certificate of incorporation and amended and restated by-laws may discourage acquisition proposals, delay a change in control or prevent transactions that stockholders may consider favorable.</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notice requirements for stockholder nominations of candidates for election to the Board of Directors and other proposals;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a new series of preferred stock without stockholder approval.</w:t>
      </w:r>
    </w:p>
    <w:p>
      <w:pPr>
        <w:spacing w:after="0" w:line="23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87" w:lineRule="exact"/>
        <w:rPr>
          <w:sz w:val="20"/>
          <w:szCs w:val="20"/>
          <w:color w:val="auto"/>
        </w:rPr>
      </w:pPr>
    </w:p>
    <w:p>
      <w:pPr>
        <w:jc w:val="both"/>
        <w:ind w:right="20" w:firstLine="518"/>
        <w:spacing w:after="0" w:line="279" w:lineRule="auto"/>
        <w:rPr>
          <w:sz w:val="20"/>
          <w:szCs w:val="20"/>
          <w:color w:val="auto"/>
        </w:rPr>
      </w:pPr>
      <w:r>
        <w:rPr>
          <w:rFonts w:ascii="Arial" w:cs="Arial" w:eastAsia="Arial" w:hAnsi="Arial"/>
          <w:sz w:val="17"/>
          <w:szCs w:val="17"/>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17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In addition, under the tax matters agreement, for a period of two years following the separation, we are restricted from taking certain actions (including restrictions on business combinations and share issuances) that could cause the distribution, together with certain related transactions, to fail to qualify as a tax-free transaction for U.S. federal income tax purposes. We would be required to indemnify Emergent for any taxes and related expenses resulting from the failure of the transactions to so qualify to the extent that the failure is attributable to actions, events or transactions relating our stock, assets or business, and this indemnity obligation might discourage, delay or prevent a change of control that you may consider favorable.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b w:val="1"/>
          <w:bCs w:val="1"/>
          <w:i w:val="1"/>
          <w:iCs w:val="1"/>
          <w:color w:val="auto"/>
        </w:rPr>
        <w:t>Our by-laws include an exclusive forum provision that could limit our stockholders’ ability to obtain a judicial forum viewed by stockholders as more favorable for disputes with us or our directors, officers or other employees or certain stockholders.</w:t>
      </w:r>
    </w:p>
    <w:p>
      <w:pPr>
        <w:spacing w:after="0" w:line="6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Our by-laws provide that the Chancery Court of the State of Delaware will be the sole and exclusive forum for certain legal proceedings, unless we consent in writing to the selection of an alternative forum. This exclusive forum provision may limit the ability of our stockholders to bring a claim in a judicial forum that such stockholders find favorable for disputes with us or our directors or officers, which may discourage lawsuits against us or our directors or officers. Alternatively, if a court outside of Delaware were to find this exclusive forum provision inapplicable to, or unenforceable in respect of, one or more of the types of actions or proceedings described above, we may incur additional costs associated with resolving such matters in other jurisdictions, which could adversely affect our business, financial condition or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shares may be sold into the market at any time which could depress our stock price</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If our stockholders sell a substantial number of shares of our common stock in the public market, our market price could decline. In addition, holders of an aggregate of approximately three million shares of our common stock have the right to require us to register these shares of common stock under the Securities Act of 1933, as amended, under specified circumstances.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1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24"/>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vMerge w:val="restart"/>
          </w:tcPr>
          <w:p>
            <w:pPr>
              <w:ind w:left="4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4"/>
                <w:szCs w:val="14"/>
                <w:color w:val="auto"/>
              </w:rPr>
            </w:pPr>
          </w:p>
        </w:tc>
        <w:tc>
          <w:tcPr>
            <w:tcW w:w="10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ind w:left="100"/>
              <w:spacing w:after="0"/>
              <w:rPr>
                <w:sz w:val="20"/>
                <w:szCs w:val="20"/>
                <w:color w:val="auto"/>
              </w:rPr>
            </w:pPr>
            <w:r>
              <w:rPr>
                <w:rFonts w:ascii="Arial" w:cs="Arial" w:eastAsia="Arial" w:hAnsi="Arial"/>
                <w:sz w:val="18"/>
                <w:szCs w:val="18"/>
                <w:color w:val="auto"/>
              </w:rPr>
              <w:t>31.1*</w:t>
            </w:r>
          </w:p>
        </w:tc>
        <w:tc>
          <w:tcPr>
            <w:tcW w:w="103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Certification of Principal Executive Officer Pursuant to Rules 13a-14(a) and 15d-14(a) under the Securities Exchange Act of 1934, as Adopted</w:t>
              </w:r>
            </w:hyperlink>
          </w:p>
        </w:tc>
      </w:tr>
      <w:tr>
        <w:trPr>
          <w:trHeight w:val="196"/>
        </w:trPr>
        <w:tc>
          <w:tcPr>
            <w:tcW w:w="1040" w:type="dxa"/>
            <w:vAlign w:val="bottom"/>
          </w:tcPr>
          <w:p>
            <w:pPr>
              <w:spacing w:after="0"/>
              <w:rPr>
                <w:sz w:val="17"/>
                <w:szCs w:val="17"/>
                <w:color w:val="auto"/>
              </w:rPr>
            </w:pPr>
          </w:p>
        </w:tc>
        <w:tc>
          <w:tcPr>
            <w:tcW w:w="10380" w:type="dxa"/>
            <w:vAlign w:val="bottom"/>
            <w:gridSpan w:val="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Pursuant to Section 302 of the Sarbanes-Oxley Act of 2002.</w:t>
              </w:r>
            </w:hyperlink>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31.2*</w:t>
            </w:r>
          </w:p>
        </w:tc>
        <w:tc>
          <w:tcPr>
            <w:tcW w:w="103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Certification of Principal Financial Officer Pursuant to Rules 13a-14(a) and 15d-14(a) under the Securities Exchange Act of 1934, as Adopted</w:t>
              </w:r>
            </w:hyperlink>
          </w:p>
        </w:tc>
      </w:tr>
      <w:tr>
        <w:trPr>
          <w:trHeight w:val="196"/>
        </w:trPr>
        <w:tc>
          <w:tcPr>
            <w:tcW w:w="1040" w:type="dxa"/>
            <w:vAlign w:val="bottom"/>
          </w:tcPr>
          <w:p>
            <w:pPr>
              <w:spacing w:after="0"/>
              <w:rPr>
                <w:sz w:val="17"/>
                <w:szCs w:val="17"/>
                <w:color w:val="auto"/>
              </w:rPr>
            </w:pPr>
          </w:p>
        </w:tc>
        <w:tc>
          <w:tcPr>
            <w:tcW w:w="10380" w:type="dxa"/>
            <w:vAlign w:val="bottom"/>
            <w:gridSpan w:val="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Pursuant to Section 302 of the Sarbanes-Oxley Act of 2002.</w:t>
              </w:r>
            </w:hyperlink>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32.1*</w:t>
            </w:r>
          </w:p>
        </w:tc>
        <w:tc>
          <w:tcPr>
            <w:tcW w:w="103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Certification of Principal Executive Officer Pursuant to 18 U.S.C. Section 1350, as Adopted Pursuant to Section 906 of the Sarbanes-Oxley Act</w:t>
              </w:r>
            </w:hyperlink>
          </w:p>
        </w:tc>
      </w:tr>
      <w:tr>
        <w:trPr>
          <w:trHeight w:val="196"/>
        </w:trPr>
        <w:tc>
          <w:tcPr>
            <w:tcW w:w="1040" w:type="dxa"/>
            <w:vAlign w:val="bottom"/>
          </w:tcPr>
          <w:p>
            <w:pPr>
              <w:spacing w:after="0"/>
              <w:rPr>
                <w:sz w:val="17"/>
                <w:szCs w:val="17"/>
                <w:color w:val="auto"/>
              </w:rPr>
            </w:pPr>
          </w:p>
        </w:tc>
        <w:tc>
          <w:tcPr>
            <w:tcW w:w="10380" w:type="dxa"/>
            <w:vAlign w:val="bottom"/>
            <w:gridSpan w:val="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of 2002.</w:t>
              </w:r>
            </w:hyperlink>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32.2*</w:t>
            </w:r>
          </w:p>
        </w:tc>
        <w:tc>
          <w:tcPr>
            <w:tcW w:w="10380" w:type="dxa"/>
            <w:vAlign w:val="bottom"/>
            <w:gridSpan w:val="4"/>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Certification of Principal Financial Officer Pursuant to 18 U.S.C. Section 1350, as Adopted Pursuant to Section 906 of the Sarbanes-Oxley Act</w:t>
              </w:r>
            </w:hyperlink>
          </w:p>
        </w:tc>
      </w:tr>
      <w:tr>
        <w:trPr>
          <w:trHeight w:val="196"/>
        </w:trPr>
        <w:tc>
          <w:tcPr>
            <w:tcW w:w="1040" w:type="dxa"/>
            <w:vAlign w:val="bottom"/>
          </w:tcPr>
          <w:p>
            <w:pPr>
              <w:spacing w:after="0"/>
              <w:rPr>
                <w:sz w:val="17"/>
                <w:szCs w:val="17"/>
                <w:color w:val="auto"/>
              </w:rPr>
            </w:pPr>
          </w:p>
        </w:tc>
        <w:tc>
          <w:tcPr>
            <w:tcW w:w="103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of 2002.</w:t>
              </w:r>
            </w:hyperlink>
          </w:p>
        </w:tc>
        <w:tc>
          <w:tcPr>
            <w:tcW w:w="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780" w:type="dxa"/>
            <w:vAlign w:val="bottom"/>
            <w:gridSpan w:val="3"/>
          </w:tcPr>
          <w:p>
            <w:pPr>
              <w:spacing w:after="0" w:line="20" w:lineRule="exact"/>
              <w:rPr>
                <w:sz w:val="1"/>
                <w:szCs w:val="1"/>
                <w:color w:val="auto"/>
              </w:rPr>
            </w:pPr>
          </w:p>
        </w:tc>
      </w:tr>
      <w:tr>
        <w:trPr>
          <w:trHeight w:val="344"/>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APTEVO THERAPEUTICS INC.</w:t>
      </w:r>
    </w:p>
    <w:p>
      <w:pPr>
        <w:spacing w:after="0" w:line="293" w:lineRule="exact"/>
        <w:rPr>
          <w:sz w:val="20"/>
          <w:szCs w:val="20"/>
          <w:color w:val="auto"/>
        </w:rPr>
      </w:pPr>
    </w:p>
    <w:p>
      <w:pPr>
        <w:spacing w:after="0"/>
        <w:tabs>
          <w:tab w:leader="none" w:pos="6280" w:val="left"/>
          <w:tab w:leader="none" w:pos="844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8" w:lineRule="exact"/>
        <w:rPr>
          <w:sz w:val="20"/>
          <w:szCs w:val="20"/>
          <w:color w:val="auto"/>
        </w:rPr>
      </w:pPr>
    </w:p>
    <w:p>
      <w:pPr>
        <w:spacing w:after="0"/>
        <w:tabs>
          <w:tab w:leader="none" w:pos="6280" w:val="left"/>
          <w:tab w:leader="none" w:pos="824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G.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Jeffrey G. Lamothe</w:t>
      </w:r>
    </w:p>
    <w:p>
      <w:pPr>
        <w:spacing w:after="0" w:line="27"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3"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37"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Marvin White, certify that:</w:t>
      </w:r>
    </w:p>
    <w:p>
      <w:pPr>
        <w:spacing w:after="0" w:line="225"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00" w:val="left"/>
          <w:tab w:leader="none" w:pos="810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 Lamothe, certify that:</w:t>
      </w:r>
    </w:p>
    <w:p>
      <w:pPr>
        <w:spacing w:after="0" w:line="225"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00" w:val="left"/>
          <w:tab w:leader="none" w:pos="812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Senior Vice President, Chief Financial Officer, and</w:t>
      </w:r>
    </w:p>
    <w:p>
      <w:pPr>
        <w:spacing w:after="0" w:line="23"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Treasurer</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connection with the Annual Report of Aptevo Therapeutics Inc. on Form 10-Q for the period ending March 31, 2018 as filed with the Securities and Exchange Commission on the date hereof (the “Report”), I certify, pursuant to 18 U.S.C. § 1350, as adopted pursuant to §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00" w:val="left"/>
          <w:tab w:leader="none" w:pos="862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14605</wp:posOffset>
            </wp:positionV>
            <wp:extent cx="2744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2"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0" w:lineRule="exact"/>
        <w:rPr>
          <w:sz w:val="20"/>
          <w:szCs w:val="20"/>
          <w:color w:val="auto"/>
        </w:rPr>
      </w:pPr>
    </w:p>
    <w:p>
      <w:pPr>
        <w:spacing w:after="0" w:line="24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In connection with the Annual Report of Aptevo Inc. on Form 10-Q for the period ending March 31, 2018 as filed with the Securities and Exchange Commission on the date hereof (the “Report”), I certify, pursuant to 18 U.S.C. § 1350, as adopted pursuant to § 906 of the Sarbanes-Oxley Act of 2002, that:</w:t>
      </w:r>
    </w:p>
    <w:p>
      <w:pPr>
        <w:spacing w:after="0" w:line="16"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00" w:val="left"/>
          <w:tab w:leader="none" w:pos="864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14605</wp:posOffset>
            </wp:positionV>
            <wp:extent cx="2744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2"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3"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and Treasurer</w:t>
      </w:r>
    </w:p>
    <w:p>
      <w:pPr>
        <w:spacing w:after="0" w:line="200" w:lineRule="exact"/>
        <w:rPr>
          <w:sz w:val="20"/>
          <w:szCs w:val="20"/>
          <w:color w:val="auto"/>
        </w:rPr>
      </w:pPr>
    </w:p>
    <w:p>
      <w:pPr>
        <w:spacing w:after="0" w:line="22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lowerRoman"/>
      <w:start w:val="4"/>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2019-12-28T22:03:36Z</dcterms:created>
  <dcterms:modified xsi:type="dcterms:W3CDTF">2019-12-28T22:03:36Z</dcterms:modified>
</cp:coreProperties>
</file>