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6"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5" w:lineRule="exact"/>
        <w:rPr>
          <w:sz w:val="24"/>
          <w:szCs w:val="24"/>
          <w:color w:val="auto"/>
        </w:rPr>
      </w:pPr>
    </w:p>
    <w:p>
      <w:pPr>
        <w:ind w:left="37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-5080</wp:posOffset>
            </wp:positionV>
            <wp:extent cx="4286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APTEVO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p>
      <w:pPr>
        <w:spacing w:after="0" w:line="20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81-1567056</w:t>
      </w:r>
    </w:p>
    <w:p>
      <w:pPr>
        <w:spacing w:after="0" w:line="4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71" w:lineRule="exact"/>
        <w:rPr>
          <w:sz w:val="24"/>
          <w:szCs w:val="24"/>
          <w:color w:val="auto"/>
        </w:rPr>
      </w:pPr>
    </w:p>
    <w:p>
      <w:pPr>
        <w:sectPr>
          <w:pgSz w:w="11900" w:h="16838" w:orient="portrait"/>
          <w:cols w:equalWidth="0" w:num="2">
            <w:col w:w="7140" w:space="720"/>
            <w:col w:w="3380"/>
          </w:cols>
          <w:pgMar w:left="320" w:top="1132"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8"/>
          <w:szCs w:val="18"/>
          <w:b w:val="1"/>
          <w:bCs w:val="1"/>
          <w:color w:val="auto"/>
        </w:rPr>
        <w:t>2401 4</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8"/>
          <w:szCs w:val="18"/>
          <w:b w:val="1"/>
          <w:bCs w:val="1"/>
          <w:color w:val="auto"/>
        </w:rPr>
        <w:t xml:space="preserve"> Avenue, Suite 1050</w:t>
      </w:r>
    </w:p>
    <w:p>
      <w:pPr>
        <w:ind w:left="20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Seattle, Washington</w:t>
      </w:r>
      <w:r>
        <w:rPr>
          <w:sz w:val="20"/>
          <w:szCs w:val="20"/>
          <w:color w:val="auto"/>
        </w:rPr>
        <w:tab/>
      </w:r>
      <w:r>
        <w:rPr>
          <w:rFonts w:ascii="Times New Roman" w:cs="Times New Roman" w:eastAsia="Times New Roman" w:hAnsi="Times New Roman"/>
          <w:sz w:val="18"/>
          <w:szCs w:val="18"/>
          <w:b w:val="1"/>
          <w:bCs w:val="1"/>
          <w:color w:val="auto"/>
        </w:rPr>
        <w:t>98121</w:t>
      </w:r>
    </w:p>
    <w:p>
      <w:pPr>
        <w:spacing w:after="0" w:line="10"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0" w:lineRule="exact"/>
        <w:rPr>
          <w:sz w:val="24"/>
          <w:szCs w:val="24"/>
          <w:color w:val="auto"/>
        </w:rPr>
      </w:pPr>
    </w:p>
    <w:p>
      <w:pPr>
        <w:ind w:left="1280"/>
        <w:spacing w:after="0"/>
        <w:tabs>
          <w:tab w:leader="none" w:pos="5040" w:val="left"/>
          <w:tab w:leader="none" w:pos="78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Symbols(s)</w:t>
      </w:r>
      <w:r>
        <w:rPr>
          <w:sz w:val="20"/>
          <w:szCs w:val="20"/>
          <w:color w:val="auto"/>
        </w:rPr>
        <w:tab/>
      </w:r>
      <w:r>
        <w:rPr>
          <w:rFonts w:ascii="Times New Roman" w:cs="Times New Roman" w:eastAsia="Times New Roman" w:hAnsi="Times New Roman"/>
          <w:sz w:val="18"/>
          <w:szCs w:val="18"/>
          <w:b w:val="1"/>
          <w:bCs w:val="1"/>
          <w:color w:val="auto"/>
        </w:rPr>
        <w:t>Name of Exchange on Which Registered</w:t>
      </w:r>
    </w:p>
    <w:p>
      <w:pPr>
        <w:spacing w:after="0" w:line="31" w:lineRule="exact"/>
        <w:rPr>
          <w:sz w:val="24"/>
          <w:szCs w:val="24"/>
          <w:color w:val="auto"/>
        </w:rPr>
      </w:pPr>
    </w:p>
    <w:p>
      <w:pPr>
        <w:ind w:left="360"/>
        <w:spacing w:after="0"/>
        <w:tabs>
          <w:tab w:leader="none" w:pos="5540" w:val="left"/>
          <w:tab w:leader="none" w:pos="8200" w:val="left"/>
        </w:tabs>
        <w:rPr>
          <w:sz w:val="20"/>
          <w:szCs w:val="20"/>
          <w:color w:val="auto"/>
        </w:rPr>
      </w:pPr>
      <w:r>
        <w:rPr>
          <w:rFonts w:ascii="Times New Roman" w:cs="Times New Roman" w:eastAsia="Times New Roman" w:hAnsi="Times New Roman"/>
          <w:sz w:val="18"/>
          <w:szCs w:val="18"/>
          <w:b w:val="1"/>
          <w:bCs w:val="1"/>
          <w:color w:val="auto"/>
        </w:rPr>
        <w:t>Common Stock, $0.001 par value per share</w:t>
      </w:r>
      <w:r>
        <w:rPr>
          <w:sz w:val="20"/>
          <w:szCs w:val="20"/>
          <w:color w:val="auto"/>
        </w:rPr>
        <w:tab/>
      </w:r>
      <w:r>
        <w:rPr>
          <w:rFonts w:ascii="Times New Roman" w:cs="Times New Roman" w:eastAsia="Times New Roman" w:hAnsi="Times New Roman"/>
          <w:sz w:val="18"/>
          <w:szCs w:val="18"/>
          <w:b w:val="1"/>
          <w:bCs w:val="1"/>
          <w:color w:val="auto"/>
        </w:rPr>
        <w:t>APVO</w:t>
      </w:r>
      <w:r>
        <w:rPr>
          <w:sz w:val="20"/>
          <w:szCs w:val="20"/>
          <w:color w:val="auto"/>
        </w:rPr>
        <w:tab/>
      </w:r>
      <w:r>
        <w:rPr>
          <w:rFonts w:ascii="Times New Roman" w:cs="Times New Roman" w:eastAsia="Times New Roman" w:hAnsi="Times New Roman"/>
          <w:sz w:val="17"/>
          <w:szCs w:val="17"/>
          <w:b w:val="1"/>
          <w:bCs w:val="1"/>
          <w:color w:val="auto"/>
        </w:rPr>
        <w:t>The Nasdaq Stock Market LLC</w:t>
      </w:r>
    </w:p>
    <w:p>
      <w:pPr>
        <w:spacing w:after="0" w:line="23" w:lineRule="exact"/>
        <w:rPr>
          <w:sz w:val="24"/>
          <w:szCs w:val="24"/>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(The Nasdaq Capital Market)</w:t>
      </w:r>
    </w:p>
    <w:p>
      <w:pPr>
        <w:spacing w:after="0" w:line="72"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3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00"/>
        <w:spacing w:after="0" w:line="27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7, 2024, the number of shares of the registrant’s common stock outstanding was 18,512,084.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30" w:type="dxa"/>
        <w:tblCellMar>
          <w:top w:w="0" w:type="dxa"/>
          <w:left w:w="0" w:type="dxa"/>
          <w:bottom w:w="0" w:type="dxa"/>
          <w:right w:w="0" w:type="dxa"/>
        </w:tblCellMar>
      </w:tblPr>
      <w:tr>
        <w:trPr>
          <w:trHeight w:val="187"/>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80" w:type="dxa"/>
            <w:vAlign w:val="bottom"/>
            <w:gridSpan w:val="2"/>
            <w:vMerge w:val="continue"/>
          </w:tcPr>
          <w:p>
            <w:pPr>
              <w:spacing w:after="0"/>
              <w:rPr>
                <w:sz w:val="14"/>
                <w:szCs w:val="14"/>
                <w:color w:val="auto"/>
              </w:rPr>
            </w:pPr>
          </w:p>
        </w:tc>
        <w:tc>
          <w:tcPr>
            <w:tcW w:w="9520" w:type="dxa"/>
            <w:vAlign w:val="bottom"/>
            <w:gridSpan w:val="18"/>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18"/>
                <w:szCs w:val="18"/>
                <w:color w:val="auto"/>
              </w:rPr>
            </w:pPr>
          </w:p>
        </w:tc>
        <w:tc>
          <w:tcPr>
            <w:tcW w:w="7080" w:type="dxa"/>
            <w:vAlign w:val="bottom"/>
            <w:gridSpan w:val="8"/>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8"/>
                <w:szCs w:val="18"/>
                <w:color w:val="auto"/>
              </w:rPr>
            </w:pPr>
          </w:p>
        </w:tc>
        <w:tc>
          <w:tcPr>
            <w:tcW w:w="6180" w:type="dxa"/>
            <w:vAlign w:val="bottom"/>
            <w:gridSpan w:val="6"/>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420" w:type="dxa"/>
            <w:vAlign w:val="bottom"/>
            <w:gridSpan w:val="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900" w:type="dxa"/>
            <w:vAlign w:val="bottom"/>
            <w:gridSpan w:val="2"/>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right w:val="single" w:sz="8" w:color="0000EE"/>
            </w:tcBorders>
            <w:gridSpan w:val="7"/>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40" w:type="dxa"/>
            <w:vAlign w:val="bottom"/>
            <w:gridSpan w:val="3"/>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7500" w:type="dxa"/>
            <w:vAlign w:val="bottom"/>
            <w:gridSpan w:val="11"/>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0" w:type="dxa"/>
            <w:vAlign w:val="bottom"/>
            <w:gridSpan w:val="13"/>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000" w:type="dxa"/>
            <w:vAlign w:val="bottom"/>
            <w:tcBorders>
              <w:top w:val="single" w:sz="8" w:color="0000FF"/>
            </w:tcBorders>
            <w:gridSpan w:val="7"/>
          </w:tcPr>
          <w:p>
            <w:pPr>
              <w:spacing w:after="0"/>
              <w:rPr>
                <w:sz w:val="18"/>
                <w:szCs w:val="18"/>
                <w:color w:val="auto"/>
              </w:rPr>
            </w:pPr>
          </w:p>
        </w:tc>
        <w:tc>
          <w:tcPr>
            <w:tcW w:w="5140" w:type="dxa"/>
            <w:vAlign w:val="bottom"/>
            <w:gridSpan w:val="3"/>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40" w:type="dxa"/>
            <w:vAlign w:val="bottom"/>
            <w:gridSpan w:val="12"/>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20" w:type="dxa"/>
            <w:vAlign w:val="bottom"/>
            <w:gridSpan w:val="1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74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tcPr>
          <w:p>
            <w:pPr>
              <w:spacing w:after="0"/>
              <w:rPr>
                <w:sz w:val="20"/>
                <w:szCs w:val="20"/>
                <w:color w:val="auto"/>
              </w:rPr>
            </w:pPr>
          </w:p>
        </w:tc>
      </w:tr>
      <w:tr>
        <w:trPr>
          <w:trHeight w:val="277"/>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7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 15,000,000 shares authorized, zero shares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issued or outstanding</w:t>
            </w:r>
          </w:p>
        </w:tc>
        <w:tc>
          <w:tcPr>
            <w:tcW w:w="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$0.001 par value; 500,000,000 shares authorized; 17,050,536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442,458 shares issued and outstanding at September 30, 2024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r>
      <w:tr>
        <w:trPr>
          <w:trHeight w:val="25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245,603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235,607</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(241,265 )</w:t>
            </w: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(223,447 )</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24,842</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-3762375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-3762375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-3128010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-3110865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-1859280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14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69"/>
        </w:trPr>
        <w:tc>
          <w:tcPr>
            <w:tcW w:w="43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(3,103 )</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(3,887 )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(10,498 )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(13,516 )</w:t>
            </w:r>
          </w:p>
        </w:tc>
      </w:tr>
      <w:tr>
        <w:trPr>
          <w:trHeight w:val="243"/>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(2,110 )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(2,674 )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(7,722 )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(8,978 )</w:t>
            </w:r>
          </w:p>
        </w:tc>
      </w:tr>
      <w:tr>
        <w:trPr>
          <w:trHeight w:val="20"/>
        </w:trPr>
        <w:tc>
          <w:tcPr>
            <w:tcW w:w="4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(5,213 )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(6,561 )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(18,220 )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(22,494 )</w:t>
            </w:r>
          </w:p>
        </w:tc>
      </w:tr>
      <w:tr>
        <w:trPr>
          <w:trHeight w:val="241"/>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from continuing operations, net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0"/>
                <w:szCs w:val="20"/>
                <w:color w:val="auto"/>
              </w:rPr>
            </w:pPr>
          </w:p>
        </w:tc>
      </w:tr>
      <w:tr>
        <w:trPr>
          <w:trHeight w:val="243"/>
        </w:trPr>
        <w:tc>
          <w:tcPr>
            <w:tcW w:w="4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related to sale of non-financial asset</w:t>
            </w:r>
          </w:p>
        </w:tc>
        <w:tc>
          <w:tcPr>
            <w:tcW w:w="2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(5,101 )</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(6,334 )</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(17,818 )</w:t>
            </w: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(12,454 )</w:t>
            </w:r>
          </w:p>
        </w:tc>
      </w:tr>
      <w:tr>
        <w:trPr>
          <w:trHeight w:val="24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20"/>
                <w:szCs w:val="20"/>
                <w:color w:val="auto"/>
              </w:rPr>
            </w:pPr>
          </w:p>
        </w:tc>
      </w:tr>
      <w:tr>
        <w:trPr>
          <w:trHeight w:val="27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(5,101 )</w:t>
            </w:r>
          </w:p>
        </w:tc>
        <w:tc>
          <w:tcPr>
            <w:tcW w:w="16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(6,334 )</w:t>
            </w:r>
          </w:p>
        </w:tc>
        <w:tc>
          <w:tcPr>
            <w:tcW w:w="14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(17,818 )</w:t>
            </w:r>
          </w:p>
        </w:tc>
        <w:tc>
          <w:tcPr>
            <w:tcW w:w="14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(11,508 )</w:t>
            </w:r>
          </w:p>
        </w:tc>
      </w:tr>
      <w:tr>
        <w:trPr>
          <w:trHeight w:val="228"/>
        </w:trPr>
        <w:tc>
          <w:tcPr>
            <w:tcW w:w="43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11"/>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from continuing</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(0.48 )</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(22.16 )</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(5.01 )</w:t>
            </w: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(60.84 )</w:t>
            </w:r>
          </w:p>
        </w:tc>
      </w:tr>
      <w:tr>
        <w:trPr>
          <w:trHeight w:val="20"/>
        </w:trPr>
        <w:tc>
          <w:tcPr>
            <w:tcW w:w="4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(0.48 )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(22.16 )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(5.01 )</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(60.84 )</w:t>
            </w:r>
          </w:p>
        </w:tc>
      </w:tr>
      <w:tr>
        <w:trPr>
          <w:trHeight w:val="237"/>
        </w:trPr>
        <w:tc>
          <w:tcPr>
            <w:tcW w:w="4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63"/>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(0.48 )</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(22.16 )</w:t>
            </w:r>
          </w:p>
        </w:tc>
        <w:tc>
          <w:tcPr>
            <w:tcW w:w="1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(5.01 )</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(56.22 )</w:t>
            </w: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(0.48 )</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(22.16 )</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(5.01 )</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(56.22 )</w:t>
            </w:r>
          </w:p>
        </w:tc>
      </w:tr>
      <w:tr>
        <w:trPr>
          <w:trHeight w:val="20"/>
        </w:trPr>
        <w:tc>
          <w:tcPr>
            <w:tcW w:w="4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10,548,470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3,554,796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204,694</w:t>
            </w:r>
          </w:p>
        </w:tc>
        <w:tc>
          <w:tcPr>
            <w:tcW w:w="100" w:type="dxa"/>
            <w:vAlign w:val="bottom"/>
          </w:tcPr>
          <w:p>
            <w:pPr>
              <w:spacing w:after="0"/>
              <w:rPr>
                <w:sz w:val="20"/>
                <w:szCs w:val="20"/>
                <w:color w:val="auto"/>
              </w:rPr>
            </w:pPr>
          </w:p>
        </w:tc>
      </w:tr>
      <w:tr>
        <w:trPr>
          <w:trHeight w:val="247"/>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10,548,470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3,554,796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204,694</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-3042285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-3042285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-3042285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-2407920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-2407920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-2407920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-1773555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-1756410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-1773555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-1756410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-1773555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-1756410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-984885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-984885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-984885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-668020</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-650875</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-668020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-650875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-668020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-650875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33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69"/>
        </w:trPr>
        <w:tc>
          <w:tcPr>
            <w:tcW w:w="786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(17,818 )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(11,508 )</w:t>
            </w: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 and other</w:t>
            </w:r>
          </w:p>
        </w:tc>
        <w:tc>
          <w:tcPr>
            <w:tcW w:w="9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receivable</w:t>
            </w:r>
          </w:p>
        </w:tc>
        <w:tc>
          <w:tcPr>
            <w:tcW w:w="9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(96 )</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accrued compensation and other liabilities</w:t>
            </w:r>
          </w:p>
        </w:tc>
        <w:tc>
          <w:tcPr>
            <w:tcW w:w="9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(1,341 )</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9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(554 )</w:t>
            </w: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(504 )</w:t>
            </w:r>
          </w:p>
        </w:tc>
      </w:tr>
      <w:tr>
        <w:trPr>
          <w:trHeight w:val="20"/>
        </w:trPr>
        <w:tc>
          <w:tcPr>
            <w:tcW w:w="7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9"/>
              </w:rPr>
              <w:t>(18,026 )</w:t>
            </w:r>
          </w:p>
        </w:tc>
        <w:tc>
          <w:tcPr>
            <w:tcW w:w="3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(6,477 )</w:t>
            </w:r>
          </w:p>
        </w:tc>
      </w:tr>
      <w:tr>
        <w:trPr>
          <w:trHeight w:val="239"/>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3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9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of long-term debt, including fees</w:t>
            </w:r>
          </w:p>
        </w:tc>
        <w:tc>
          <w:tcPr>
            <w:tcW w:w="9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(3,467 )</w:t>
            </w: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equity awards withheld for tax liability</w:t>
            </w:r>
          </w:p>
        </w:tc>
        <w:tc>
          <w:tcPr>
            <w:tcW w:w="9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in lieu of fractional shares</w:t>
            </w:r>
          </w:p>
        </w:tc>
        <w:tc>
          <w:tcPr>
            <w:tcW w:w="9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3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9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(9,151 )</w:t>
            </w: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(3,525 )</w:t>
            </w:r>
          </w:p>
        </w:tc>
      </w:tr>
      <w:tr>
        <w:trPr>
          <w:trHeight w:val="243"/>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1"/>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modification - incremental value</w:t>
            </w:r>
          </w:p>
        </w:tc>
        <w:tc>
          <w:tcPr>
            <w:tcW w:w="920" w:type="dxa"/>
            <w:vAlign w:val="bottom"/>
            <w:tcBorders>
              <w:bottom w:val="single" w:sz="8" w:color="auto"/>
            </w:tcBorders>
            <w:shd w:val="clear" w:color="auto" w:fill="CFF0FC"/>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-2262505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-1936750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-993775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-676910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2600" w:type="dxa"/>
            <w:vAlign w:val="bottom"/>
            <w:gridSpan w:val="3"/>
            <w:vMerge w:val="restart"/>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260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3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442,458</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(223,447 )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700" w:type="dxa"/>
            <w:vAlign w:val="bottom"/>
            <w:tcBorders>
              <w:top w:val="single" w:sz="8" w:color="CFF0FC"/>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3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231,130</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in lieu of fractional shares in</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connection with the 1-for-44 reverse stock split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effected on March 5, 2024</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(371 )</w:t>
            </w: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for the period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(6,834 )</w:t>
            </w: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(6,834 )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673,430</w:t>
            </w:r>
          </w:p>
        </w:tc>
        <w:tc>
          <w:tcPr>
            <w:tcW w:w="28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236,318</w:t>
            </w:r>
          </w:p>
        </w:tc>
        <w:tc>
          <w:tcPr>
            <w:tcW w:w="26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(230,281 )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00" w:type="dxa"/>
            <w:vAlign w:val="bottom"/>
            <w:tcBorders>
              <w:top w:val="single" w:sz="8" w:color="CFF0FC"/>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34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3,404,978</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for the period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(5,883 )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(5,883 )</w:t>
            </w: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4,080,665</w:t>
            </w:r>
          </w:p>
        </w:tc>
        <w:tc>
          <w:tcPr>
            <w:tcW w:w="280" w:type="dxa"/>
            <w:vAlign w:val="bottom"/>
          </w:tcPr>
          <w:p>
            <w:pPr>
              <w:spacing w:after="0"/>
              <w:rPr>
                <w:sz w:val="20"/>
                <w:szCs w:val="20"/>
                <w:color w:val="auto"/>
              </w:rPr>
            </w:pP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240,558</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(236,164 )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70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Issuances of common stock</w:t>
            </w:r>
            <w:r>
              <w:rPr>
                <w:rFonts w:ascii="Times New Roman" w:cs="Times New Roman" w:eastAsia="Times New Roman" w:hAnsi="Times New Roman"/>
                <w:sz w:val="24"/>
                <w:szCs w:val="24"/>
                <w:color w:val="auto"/>
                <w:vertAlign w:val="superscript"/>
              </w:rPr>
              <w:t>(1)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12,969,168</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modification - incremental fair value</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for the period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(5,101 )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(5,101 )</w:t>
            </w: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17,050,536</w:t>
            </w:r>
          </w:p>
        </w:tc>
        <w:tc>
          <w:tcPr>
            <w:tcW w:w="280" w:type="dxa"/>
            <w:vAlign w:val="bottom"/>
          </w:tcPr>
          <w:p>
            <w:pPr>
              <w:spacing w:after="0"/>
              <w:rPr>
                <w:sz w:val="20"/>
                <w:szCs w:val="20"/>
                <w:color w:val="auto"/>
              </w:rPr>
            </w:pP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245,603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(241,265 )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700" w:type="dxa"/>
            <w:vAlign w:val="bottom"/>
          </w:tcPr>
          <w:p>
            <w:pPr>
              <w:spacing w:after="0"/>
              <w:rPr>
                <w:sz w:val="24"/>
                <w:szCs w:val="24"/>
                <w:color w:val="auto"/>
              </w:rPr>
            </w:pPr>
          </w:p>
        </w:tc>
        <w:tc>
          <w:tcPr>
            <w:tcW w:w="2600" w:type="dxa"/>
            <w:vAlign w:val="bottom"/>
            <w:gridSpan w:val="3"/>
            <w:vMerge w:val="restart"/>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260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3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146,961</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223,962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(206,036 )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700" w:type="dxa"/>
            <w:vAlign w:val="bottom"/>
            <w:tcBorders>
              <w:top w:val="single" w:sz="8" w:color="CFF0FC"/>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3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5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for the period</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164,533</w:t>
            </w:r>
          </w:p>
        </w:tc>
        <w:tc>
          <w:tcPr>
            <w:tcW w:w="280" w:type="dxa"/>
            <w:vAlign w:val="bottom"/>
          </w:tcPr>
          <w:p>
            <w:pPr>
              <w:spacing w:after="0"/>
              <w:rPr>
                <w:sz w:val="20"/>
                <w:szCs w:val="20"/>
                <w:color w:val="auto"/>
              </w:rPr>
            </w:pP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226,470</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(203,263 )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70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for the period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(7,948 )</w:t>
            </w: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(7,948 )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171,441</w:t>
            </w:r>
          </w:p>
        </w:tc>
        <w:tc>
          <w:tcPr>
            <w:tcW w:w="28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227,415</w:t>
            </w:r>
          </w:p>
        </w:tc>
        <w:tc>
          <w:tcPr>
            <w:tcW w:w="2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(211,211 )</w:t>
            </w:r>
          </w:p>
        </w:tc>
        <w:tc>
          <w:tcPr>
            <w:tcW w:w="12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00" w:type="dxa"/>
            <w:vAlign w:val="bottom"/>
            <w:tcBorders>
              <w:top w:val="single" w:sz="8" w:color="CFF0FC"/>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34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50,489</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pre-funded warrants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105,725</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for the period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(6,334 )</w:t>
            </w: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(6,334 )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328,763</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232,207</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(217,545 )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-7071995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-7071995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-7071995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-7071995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-7071995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-5716905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-5699760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-5716905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-5699760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-5716905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-5699760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-5716905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-5699760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-5716905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-5699760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-4937125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-4937125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-4937125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-4937125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-4937125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-3839845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-3839845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-3839845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-3839845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-2990850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-2990850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-2990850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-2990850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-2228215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-2228215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-2228215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-2228215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-1122045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-1104900</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-1122045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-1104900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-1122045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-1104900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-1122045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-1104900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-25400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-8255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-25400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gross proceeds of $5.8 million less issuance costs of $1.3 million, which includes $0.5 million warrant modification incremental fair value.</w:t>
      </w:r>
    </w:p>
    <w:p>
      <w:pPr>
        <w:spacing w:after="0" w:line="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765"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Organization and Liquidity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Aptevo Therapeutics Inc. (Aptevo, we, us, or the Company) is a clinical-stage, research and development biotechnology company focused on developing novel immuno-oncology candidates for the treatment of different forms of cancer. We have developed two versatile and enabling platform technologies for rational design of precision immune modulatory drugs. Our clinical candidates, mipletamig (formerly APVO436) and ALG.APV-527, and preclinical candidates, APVO603 and APVO711, were developed using our ADAPTIR™ modular protein technology platform. Our preclinical candidate APVO442 was developed using our ADAPTIR-FLEX™ modular protein technology platform.</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currently trading on the Nasdaq Capital Market under the symbol "APVO."</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basis that assumes we will continue as a going concern and which contemplates the realization of assets and satisfaction of liabilities and commitments in the normal course of business. The consolidated financial statements do not include any adjustments that might result from the outcome of the uncertainty of our ability to continue as a going concern, nor do they include adjustments to reflect the possible future effects of the recoverability and classification of recorded asset amounts and classifications of liabilities that might be necessary should the Company be unable to continue as a going concern. For the nine months ended September 30, 2024, we had a net loss of $17.8 million. We had an accumulated deficit of $241.3 million as of September 30, 2024. For the nine months ended September 30, 2024, net cash used in our operating activities was $18.0 million. We have suffered recurring losses from operations and negative cash flows from operating activities. When considered in aggregate, these factors raise substantial doubt about our ability to continue as a going concern for the one-year period from the date of issuance of these financial statements. We will need to raise additional funds to support our operating and capital needs in addition to our existing cash resources, cash to be generated from future milestones related to IXINITY sales and regulatory approvals achieved by Medexus Pharmaceuticals ("Medexus"), and exercise of common warrants. We may choose to raise additional funds to support our operating and capital needs in the future.</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whether and to what extent potential milestones are received from Medexus with respect to IXINITY; (e) macroeconomic conditions such as rising interest rates, inflation and costs; and (f) other items affecting our forecasted level of expenditures and use of cash resources. We may attempt to obtain other public or private financing, collaborative or licensing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goals may be adversely affected. Given the continuing global economic and geopolitical climate, including rising interest rates and stock market volatility, we may experience delays or difficulties in the financing environment and raising capital due to economic uncertainty.</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These unaudited condensed consolidated financial statements include all adjustments, which include normal recurring adjustments, necessary for the fair presentation of the Company’s financial position. These unaudited interim consolidated financial statements should be read in conjunction with the audited consolidated financial statements as of and for the year ended December 31, 2023, and the notes thereto, which are included in the Company’s Annual Report on Form 10-K for the year ended December 31, 2023.</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our wholly owned subsidiary, Aptevo Research and Development LLC ("Aptevo R&amp;D"). All intercompany balances and transactions have been eliminated.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unaudited condensed financial statements and accompanying notes. Estimates are used for, but not limited to, clinical accruals, useful lives of equipment, commitments and contingencies, stock-based compensation, and incremental borrowing rate (IBR) used for our lease. Given the global economic and geopolitical climate, these estimates are becoming more challenging, and actual results could differ materially from those estimates.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Gain Related to Sale of Nonfinancial Asset to XOMA (US) LLC</w:t>
      </w:r>
    </w:p>
    <w:p>
      <w:pPr>
        <w:spacing w:after="0" w:line="121"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8"/>
          <w:szCs w:val="18"/>
          <w:color w:val="auto"/>
        </w:rPr>
        <w:t>On March 29, 2023, we entered into and closed a payment interest purchase agreement (the "Purchase Agreement") with XOMA (US) LLC ("XOMA") pursuant to which we sold to XOMA our right, title and interest in all of the deferred payments and a portion of the milestone payments from Medexus pursuant to our LLC Purchase Agreement with Medexus, dated February 28, 2020 (the "LLC Purchase Agreement"). Under the terms of the Purchase Agreement, we received $9.6 million at closing (the "Closing Payment") and an additional post-closing payment of $0.05 million.</w:t>
      </w:r>
    </w:p>
    <w:p>
      <w:pPr>
        <w:spacing w:after="0" w:line="72"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8"/>
          <w:szCs w:val="18"/>
          <w:color w:val="auto"/>
        </w:rPr>
        <w:t xml:space="preserve">We accounted for the $9.6 million Closing Payment and the $0.05 million post-closing payment from XOMA as other income in accordance with Accounting Standards Codification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 xml:space="preserve"> in the first quarter of 2023. Contractual rights sold to XOMA represent an intangible asset under ASC 610-20 </w:t>
      </w:r>
      <w:r>
        <w:rPr>
          <w:rFonts w:ascii="Times New Roman" w:cs="Times New Roman" w:eastAsia="Times New Roman" w:hAnsi="Times New Roman"/>
          <w:sz w:val="18"/>
          <w:szCs w:val="18"/>
          <w:i w:val="1"/>
          <w:iCs w:val="1"/>
          <w:color w:val="auto"/>
        </w:rPr>
        <w:t>Other Income - Gains and Losses from the Derecognition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Nonfinancial Assets </w:t>
      </w:r>
      <w:r>
        <w:rPr>
          <w:rFonts w:ascii="Times New Roman" w:cs="Times New Roman" w:eastAsia="Times New Roman" w:hAnsi="Times New Roman"/>
          <w:sz w:val="18"/>
          <w:szCs w:val="18"/>
          <w:color w:val="auto"/>
        </w:rPr>
        <w:t>for which XOMA bears all benefit and Aptevo has no obligations going forward. The Company will continue to account for its portion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future milestones under our LLC Purchase Agreement with Medexus as contingent consideration under </w:t>
      </w:r>
      <w:r>
        <w:rPr>
          <w:rFonts w:ascii="Times New Roman" w:cs="Times New Roman" w:eastAsia="Times New Roman" w:hAnsi="Times New Roman"/>
          <w:sz w:val="18"/>
          <w:szCs w:val="18"/>
          <w:i w:val="1"/>
          <w:iCs w:val="1"/>
          <w:color w:val="auto"/>
        </w:rPr>
        <w:t>ASC 450-30 Gain Contingencies</w:t>
      </w:r>
      <w:r>
        <w:rPr>
          <w:rFonts w:ascii="Times New Roman" w:cs="Times New Roman" w:eastAsia="Times New Roman" w:hAnsi="Times New Roman"/>
          <w:sz w:val="18"/>
          <w:szCs w:val="18"/>
          <w:color w:val="auto"/>
        </w:rPr>
        <w:t xml:space="preserve"> and will record income when proceeds are received.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Significant Accounting Policies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other significant accounting policies were reported in our Annual Report on Form 10-K for the year ended December 31, 2023 that was filed with the Securities and Exchange Commission (the "SEC") on March 5, 2024. Our other significant accounting policies have not changed materially from the policies previously reported.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discontinued operations from the sale of business products and segments.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components attributable to income from discontinued operations in the unaudited condensed consolidated statements of operations (in thousands):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7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7"/>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payment from Medexus</w:t>
            </w:r>
          </w:p>
        </w:tc>
        <w:tc>
          <w:tcPr>
            <w:tcW w:w="340" w:type="dxa"/>
            <w:vAlign w:val="bottom"/>
            <w:tcBorders>
              <w:top w:val="single" w:sz="8" w:color="auto"/>
            </w:tcBorders>
            <w:shd w:val="clear" w:color="auto" w:fill="CFF0FC"/>
          </w:tcPr>
          <w:p>
            <w:pPr>
              <w:spacing w:after="0"/>
              <w:rPr>
                <w:sz w:val="20"/>
                <w:szCs w:val="20"/>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FF0FC"/>
          </w:tcPr>
          <w:p>
            <w:pPr>
              <w:spacing w:after="0"/>
              <w:rPr>
                <w:sz w:val="20"/>
                <w:szCs w:val="20"/>
                <w:color w:val="auto"/>
              </w:rPr>
            </w:pPr>
          </w:p>
        </w:tc>
      </w:tr>
      <w:tr>
        <w:trPr>
          <w:trHeight w:val="23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Gain on contingent consideration from release of escrow related to sale of Aptevo BioTherapeutics</w:t>
            </w:r>
          </w:p>
        </w:tc>
        <w:tc>
          <w:tcPr>
            <w:tcW w:w="3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contingent consideration from Kamada</w:t>
            </w:r>
          </w:p>
        </w:tc>
        <w:tc>
          <w:tcPr>
            <w:tcW w:w="340" w:type="dxa"/>
            <w:vAlign w:val="bottom"/>
            <w:tcBorders>
              <w:bottom w:val="single" w:sz="8" w:color="auto"/>
            </w:tcBorders>
            <w:shd w:val="clear" w:color="auto" w:fill="CFF0FC"/>
          </w:tcPr>
          <w:p>
            <w:pPr>
              <w:spacing w:after="0"/>
              <w:rPr>
                <w:sz w:val="21"/>
                <w:szCs w:val="21"/>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we did not record income from discontinued operations. For the nine months ended September 30, 2023, we collected $0.5 million in deferred payments from Medexus related to IXINITY sales and $0.2 million related to funds released from escrow from the sale of Aptevo BioTherapeutics in 2020. Additionally, we received $0.3 million related to the sale of hyperimmune business to Saol (later acquired by Kamada, Ltd.) as a result of the collection of certain accounts receivable.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3. XOMA Transaction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March 29, 2023, we entered into and closed a Purchase Agreement with XOMA pursuant to which we sold to XOMA our right, title and interest in and to all of the deferred payments and a portion of the milestone payments from Medexus under our LLC Purchase Agreement. Under the terms of our Purchase Agreement with XOMA, we received $9.6 million at closing and an additional post-closing payment of $0.05 million. In exchange for the Closing Payment, we sold to XOMA our right, title and interest to the following payments under the LLC Purchase Agreement: (i) 100% of the Company’s entitlement to receive the deferred payments that may become due and payable following March 29, 2023 (including, for avoidance of doubt, any and all payments earned during Q1 2023), (ii) 25% of the Company’s entitlement to receive the Canadian approval milestone payment; and (iii) 50% of the Company’s entitlement to receive the European approval milestone payments and net sales milestone payment.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accounted for the $9.6 million Closing Payment and the $0.05 million post-closing payment from XOMA as other income in accordance with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 xml:space="preserve"> in the first quarter of 2023. Contractual rights sold to XOMA represent an intangible asset under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 xml:space="preserve"> for which XOMA bears all benefit and Aptevo has no obligations going forward. The Company will continue to account for its portion of future milestones under our LLC Purchase Agreement with Medexus as contingent consideration under ASC 450-30 </w:t>
      </w:r>
      <w:r>
        <w:rPr>
          <w:rFonts w:ascii="Times New Roman" w:cs="Times New Roman" w:eastAsia="Times New Roman" w:hAnsi="Times New Roman"/>
          <w:sz w:val="18"/>
          <w:szCs w:val="18"/>
          <w:i w:val="1"/>
          <w:iCs w:val="1"/>
          <w:color w:val="auto"/>
        </w:rPr>
        <w:t>Gain Contingencies</w:t>
      </w:r>
      <w:r>
        <w:rPr>
          <w:rFonts w:ascii="Times New Roman" w:cs="Times New Roman" w:eastAsia="Times New Roman" w:hAnsi="Times New Roman"/>
          <w:sz w:val="18"/>
          <w:szCs w:val="18"/>
          <w:color w:val="auto"/>
        </w:rPr>
        <w:t xml:space="preserve"> and will record income when proceeds are received.</w:t>
      </w:r>
    </w:p>
    <w:p>
      <w:pPr>
        <w:spacing w:after="0" w:line="3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4. Collaboration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Alligator Bioscience AB</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20, 2017, our wholly owned subsidiary, Aptevo R&amp;D, entered into a collaboration and option agreement (the "Collaboration Agreement") with Alligator Bioscience AB ("Alligator"), pursuant to which Aptevo and Alligator have been collaboratively developing ALG.APV-527, a first-in-class bispecific antibody candidate simultaneously targeting 4-1BB (CD137), a member of the TNFR superfamily of a costimulatory receptor found on activated T cells, and 5T4, a tumor antigen widely overexpressed in a number of different types of cancer.</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assessed the arrangement in accordance with ASC 606 and concluded that the contract counterparty, Alligator, is not a customer. As such the arrangement is not in the scope of ASC 606 and is instead treated as a collaborative agreement under ASC 808 –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In accordance with ASC 808, we concluded that because the Collaboration Agreement is a cost sharing agreement, there is no revenue.</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we recorded approximately $1.9 million and $2.0 million, which represent our 50% cost share, in our research and development expense related to the Collaboration Agreement,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estimates of fair value for financial assets and financial liabilities are based on the framework established in the fair value accounting guidance. The framework is based on the inputs used in valuation, it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September 30, 2024 and December 31, 2023, we had $5.8 million and $13.2 million in Level 1 money market funds, respectively. The carrying amounts of our money market funds approximate their fair value. At September 30, 2024 and December 31, 2023, we did not have any Level 2 or Level 3 assets.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6. Cash and Cash Equivalents</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highly liquid investments with a maturity of 90 days or less at the date of purchase and include time deposits and investments in money market funds.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cash and cash equivalents as of September 30, 2024 and December 31, 2023:</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shd w:val="clear" w:color="auto" w:fill="CFF0FC"/>
          </w:tcPr>
          <w:p>
            <w:pPr>
              <w:spacing w:after="0"/>
              <w:rPr>
                <w:sz w:val="20"/>
                <w:szCs w:val="20"/>
                <w:color w:val="auto"/>
              </w:rPr>
            </w:pPr>
          </w:p>
        </w:tc>
      </w:tr>
      <w:tr>
        <w:trPr>
          <w:trHeight w:val="23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13,171</w:t>
            </w:r>
          </w:p>
        </w:tc>
        <w:tc>
          <w:tcPr>
            <w:tcW w:w="100" w:type="dxa"/>
            <w:vAlign w:val="bottom"/>
          </w:tcPr>
          <w:p>
            <w:pPr>
              <w:spacing w:after="0"/>
              <w:rPr>
                <w:sz w:val="20"/>
                <w:szCs w:val="20"/>
                <w:color w:val="auto"/>
              </w:rPr>
            </w:pPr>
          </w:p>
        </w:tc>
      </w:tr>
      <w:tr>
        <w:trPr>
          <w:trHeight w:val="277"/>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Office Space Lease - Operating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with a term through April 2030 and two options to extend the lease term, each by five years. As of September 30, 2024, we are not reasonably certain to exercise the two options to extend the lease term and our lease liability is recorded through April 30, 2030.</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and nine months ended September 30, 2024, we recorded $0.2 million and $0.6 million, respectively, related to variable lease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2023, we recorded $0.3 million and $0.6 million, respectively, related to variable lease expense.</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lease expense:</w:t>
      </w:r>
    </w:p>
    <w:p>
      <w:pPr>
        <w:spacing w:after="0" w:line="236"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5"/>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8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3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spacing w:after="0"/>
              <w:rPr>
                <w:sz w:val="20"/>
                <w:szCs w:val="20"/>
                <w:color w:val="auto"/>
              </w:rPr>
            </w:pPr>
          </w:p>
        </w:tc>
        <w:tc>
          <w:tcPr>
            <w:tcW w:w="6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3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Right of use assets acquired under operating leases: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60" w:type="dxa"/>
            <w:vAlign w:val="bottom"/>
          </w:tcPr>
          <w:p>
            <w:pPr>
              <w:spacing w:after="0"/>
              <w:rPr>
                <w:sz w:val="24"/>
                <w:szCs w:val="24"/>
                <w:color w:val="auto"/>
              </w:rPr>
            </w:pPr>
          </w:p>
        </w:tc>
        <w:tc>
          <w:tcPr>
            <w:tcW w:w="1480" w:type="dxa"/>
            <w:vAlign w:val="bottom"/>
            <w:gridSpan w:val="3"/>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38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Seattle office lease, including amendment</w:t>
            </w:r>
          </w:p>
        </w:tc>
        <w:tc>
          <w:tcPr>
            <w:tcW w:w="1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4,881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operating leases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Lease payments:</w:t>
            </w: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386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Borders>
              <w:bottom w:val="single" w:sz="8" w:color="auto"/>
            </w:tcBorders>
            <w:gridSpan w:val="8"/>
          </w:tcPr>
          <w:p>
            <w:pPr>
              <w:ind w:left="9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operating leases</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-2073910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-2073910</wp:posOffset>
            </wp:positionV>
            <wp:extent cx="59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-2073910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-2073910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-1028065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-1028065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 long-term and current portion of the lease liabilities was $4.8 million and $0.7 million, respectively. As of September 30, 2023, the long-term and current portion of the lease liabilities was $5.6 million and $0.7 million, respectively.</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 weighted-average remaining lease term and weighted-average discount rate for operating leases was 5.58 years and 12.03%.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8. Reverse Stock Split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February 5, 2024, we held a Special Meeting of the Stockholders (the "Special Meeting") at which our stockholders approved a series of alternate amendments to the Amended and Restated Certificate of Incorporation to effect, at the option of our Board of Directors (the "Board"), a reverse split of Aptevo's common stock at a ratio ranging from 1-for-15 to 1-for-44, inclusive, with the effectiveness of one of such amendments and the abandonment of the other amendments, or the abandonment of all amendments, to be determined by the Board in its sole discretion following the Special Meeting. The specific 1-for-44 reverse split ratio was subsequently approved by the Board on February 27, 2024. On March 5, 2024, the Company filed a Certificate of Amendment of Amended and Restated Certificate of Incorporation with the Secretary of State of the State of Delaware to effect a 1-for-44 reverse stock split of the Company's outstanding common stock (the "Reverse Stock Split"). The Reverse Stock Split became effective on March 5, 2024 at 5:01 p.m. Eastern Time, and our common stock began trading on the Nasdaq Capital Market, on a split-adjusted basis, at market open on March 6, 2024.</w:t>
      </w:r>
    </w:p>
    <w:p>
      <w:pPr>
        <w:spacing w:after="0" w:line="8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otherwise be entitled to receive a fractional share received a cash payment in lieu thereof.</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adjusted all common stock and stock equivalent figures retroactively in this Form 10-Q for all periods presented to reflect the Reverse Stock Split.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9. Net Income (Loss) per Share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weighted-average number of common shares outstanding for the period. Diluted net income (loss) per share is computed by dividing the net income (loss) by the weighted-average number of common share equivalents outstanding for the period using the as-if converted method. Shares of the Company's common stock underlying pre-funded warrants are included in the calculation of basic and diluted earnings per share because there is little to no consideration required for delivery of shares. For the purpose of this calculation, warrants, stock options and restricted stock units ("RSUs") are only included in the calculation of diluted net income (loss) per share when their effect is dilutive.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utilize the control number concept in the computation of diluted earnings per share to determine whether potential common stock instruments are dilutive. The control number used is income (loss) from continuing operations or income (loss)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equivalents include warrants, stock options and unvested RSUs.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per share (in thousands, except share and per share amounts):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8"/>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7"/>
        </w:trPr>
        <w:tc>
          <w:tcPr>
            <w:tcW w:w="1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(5,101 )</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(6,334 )</w:t>
            </w:r>
          </w:p>
        </w:tc>
        <w:tc>
          <w:tcPr>
            <w:tcW w:w="1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(17,818 )</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(12,454 )</w:t>
            </w:r>
          </w:p>
        </w:tc>
      </w:tr>
      <w:tr>
        <w:trPr>
          <w:trHeight w:val="23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20"/>
                <w:szCs w:val="20"/>
                <w:color w:val="auto"/>
              </w:rPr>
            </w:pPr>
          </w:p>
        </w:tc>
      </w:tr>
      <w:tr>
        <w:trPr>
          <w:trHeight w:val="277"/>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(5,101 )</w:t>
            </w:r>
          </w:p>
        </w:tc>
        <w:tc>
          <w:tcPr>
            <w:tcW w:w="14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(6,334 )</w:t>
            </w:r>
          </w:p>
        </w:tc>
        <w:tc>
          <w:tcPr>
            <w:tcW w:w="1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(17,818 )</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(11,508 )</w:t>
            </w:r>
          </w:p>
        </w:tc>
      </w:tr>
      <w:tr>
        <w:trPr>
          <w:trHeight w:val="228"/>
        </w:trPr>
        <w:tc>
          <w:tcPr>
            <w:tcW w:w="120" w:type="dxa"/>
            <w:vAlign w:val="bottom"/>
            <w:tcBorders>
              <w:top w:val="single" w:sz="8" w:color="CFF0FC"/>
            </w:tcBorders>
          </w:tcPr>
          <w:p>
            <w:pPr>
              <w:spacing w:after="0"/>
              <w:rPr>
                <w:sz w:val="19"/>
                <w:szCs w:val="19"/>
                <w:color w:val="auto"/>
              </w:rPr>
            </w:pPr>
          </w:p>
        </w:tc>
        <w:tc>
          <w:tcPr>
            <w:tcW w:w="5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r>
      <w:tr>
        <w:trPr>
          <w:trHeight w:val="243"/>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from continuing operations:</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left w:val="single" w:sz="8" w:color="CFF0FC"/>
            </w:tcBorders>
            <w:shd w:val="clear" w:color="auto" w:fill="CFF0FC"/>
          </w:tcPr>
          <w:p>
            <w:pPr>
              <w:spacing w:after="0"/>
              <w:rPr>
                <w:sz w:val="21"/>
                <w:szCs w:val="21"/>
                <w:color w:val="auto"/>
              </w:rPr>
            </w:pPr>
          </w:p>
        </w:tc>
      </w:tr>
      <w:tr>
        <w:trPr>
          <w:trHeight w:val="239"/>
        </w:trPr>
        <w:tc>
          <w:tcPr>
            <w:tcW w:w="120" w:type="dxa"/>
            <w:vAlign w:val="bottom"/>
          </w:tcPr>
          <w:p>
            <w:pPr>
              <w:spacing w:after="0"/>
              <w:rPr>
                <w:sz w:val="20"/>
                <w:szCs w:val="20"/>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(0.48 )</w:t>
            </w: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(22.16 )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(5.01 )</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(60.84 )</w:t>
            </w:r>
          </w:p>
        </w:tc>
      </w:tr>
      <w:tr>
        <w:trPr>
          <w:trHeight w:val="20"/>
        </w:trPr>
        <w:tc>
          <w:tcPr>
            <w:tcW w:w="1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237"/>
        </w:trPr>
        <w:tc>
          <w:tcPr>
            <w:tcW w:w="120" w:type="dxa"/>
            <w:vAlign w:val="bottom"/>
            <w:shd w:val="clear" w:color="auto" w:fill="CFF0FC"/>
          </w:tcPr>
          <w:p>
            <w:pPr>
              <w:spacing w:after="0"/>
              <w:rPr>
                <w:sz w:val="20"/>
                <w:szCs w:val="2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(0.48 )</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(22.16 )</w:t>
            </w:r>
          </w:p>
        </w:tc>
        <w:tc>
          <w:tcPr>
            <w:tcW w:w="1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(5.01 )</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(60.84 )</w:t>
            </w:r>
          </w:p>
        </w:tc>
      </w:tr>
      <w:tr>
        <w:trPr>
          <w:trHeight w:val="236"/>
        </w:trPr>
        <w:tc>
          <w:tcPr>
            <w:tcW w:w="536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share from discontinued operations: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r>
      <w:tr>
        <w:trPr>
          <w:trHeight w:val="243"/>
        </w:trPr>
        <w:tc>
          <w:tcPr>
            <w:tcW w:w="120" w:type="dxa"/>
            <w:vAlign w:val="bottom"/>
            <w:tcBorders>
              <w:bottom w:val="single" w:sz="8" w:color="CFF0FC"/>
            </w:tcBorders>
            <w:shd w:val="clear" w:color="auto" w:fill="CFF0FC"/>
          </w:tcPr>
          <w:p>
            <w:pPr>
              <w:spacing w:after="0"/>
              <w:rPr>
                <w:sz w:val="21"/>
                <w:szCs w:val="21"/>
                <w:color w:val="auto"/>
              </w:rPr>
            </w:pPr>
          </w:p>
        </w:tc>
        <w:tc>
          <w:tcPr>
            <w:tcW w:w="52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left w:val="single" w:sz="8" w:color="CFF0FC"/>
              <w:bottom w:val="single" w:sz="8" w:color="CFF0FC"/>
            </w:tcBorders>
            <w:shd w:val="clear" w:color="auto" w:fill="CFF0FC"/>
          </w:tcPr>
          <w:p>
            <w:pPr>
              <w:spacing w:after="0"/>
              <w:rPr>
                <w:sz w:val="21"/>
                <w:szCs w:val="21"/>
                <w:color w:val="auto"/>
              </w:rPr>
            </w:pPr>
          </w:p>
        </w:tc>
      </w:tr>
      <w:tr>
        <w:trPr>
          <w:trHeight w:val="237"/>
        </w:trPr>
        <w:tc>
          <w:tcPr>
            <w:tcW w:w="120" w:type="dxa"/>
            <w:vAlign w:val="bottom"/>
          </w:tcPr>
          <w:p>
            <w:pPr>
              <w:spacing w:after="0"/>
              <w:rPr>
                <w:sz w:val="20"/>
                <w:szCs w:val="20"/>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20"/>
                <w:szCs w:val="20"/>
                <w:color w:val="auto"/>
              </w:rPr>
            </w:pPr>
          </w:p>
        </w:tc>
      </w:tr>
      <w:tr>
        <w:trPr>
          <w:trHeight w:val="241"/>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left w:val="single" w:sz="8" w:color="CFF0FC"/>
            </w:tcBorders>
            <w:shd w:val="clear" w:color="auto" w:fill="CFF0FC"/>
          </w:tcPr>
          <w:p>
            <w:pPr>
              <w:spacing w:after="0"/>
              <w:rPr>
                <w:sz w:val="20"/>
                <w:szCs w:val="20"/>
                <w:color w:val="auto"/>
              </w:rPr>
            </w:pPr>
          </w:p>
        </w:tc>
      </w:tr>
      <w:tr>
        <w:trPr>
          <w:trHeight w:val="239"/>
        </w:trPr>
        <w:tc>
          <w:tcPr>
            <w:tcW w:w="120" w:type="dxa"/>
            <w:vAlign w:val="bottom"/>
          </w:tcPr>
          <w:p>
            <w:pPr>
              <w:spacing w:after="0"/>
              <w:rPr>
                <w:sz w:val="20"/>
                <w:szCs w:val="20"/>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(0.48 )</w:t>
            </w: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(22.16 )</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(5.01 )</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(56.22 )</w:t>
            </w:r>
          </w:p>
        </w:tc>
      </w:tr>
      <w:tr>
        <w:trPr>
          <w:trHeight w:val="20"/>
        </w:trPr>
        <w:tc>
          <w:tcPr>
            <w:tcW w:w="1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3"/>
        </w:trPr>
        <w:tc>
          <w:tcPr>
            <w:tcW w:w="120" w:type="dxa"/>
            <w:vAlign w:val="bottom"/>
            <w:shd w:val="clear" w:color="auto" w:fill="CFF0FC"/>
          </w:tcPr>
          <w:p>
            <w:pPr>
              <w:spacing w:after="0"/>
              <w:rPr>
                <w:sz w:val="22"/>
                <w:szCs w:val="22"/>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(0.48 )</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(22.16 )</w:t>
            </w:r>
          </w:p>
        </w:tc>
        <w:tc>
          <w:tcPr>
            <w:tcW w:w="1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(5.01 )</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(56.22 )</w:t>
            </w:r>
          </w:p>
        </w:tc>
      </w:tr>
      <w:tr>
        <w:trPr>
          <w:trHeight w:val="224"/>
        </w:trPr>
        <w:tc>
          <w:tcPr>
            <w:tcW w:w="536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r>
      <w:tr>
        <w:trPr>
          <w:trHeight w:val="247"/>
        </w:trPr>
        <w:tc>
          <w:tcPr>
            <w:tcW w:w="120" w:type="dxa"/>
            <w:vAlign w:val="bottom"/>
            <w:shd w:val="clear" w:color="auto" w:fill="CFF0FC"/>
          </w:tcPr>
          <w:p>
            <w:pPr>
              <w:spacing w:after="0"/>
              <w:rPr>
                <w:sz w:val="21"/>
                <w:szCs w:val="21"/>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10,548,470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285,886</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3,554,796</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204,694</w:t>
            </w:r>
          </w:p>
        </w:tc>
        <w:tc>
          <w:tcPr>
            <w:tcW w:w="120" w:type="dxa"/>
            <w:vAlign w:val="bottom"/>
            <w:tcBorders>
              <w:left w:val="single" w:sz="8" w:color="CFF0FC"/>
            </w:tcBorders>
            <w:shd w:val="clear" w:color="auto" w:fill="CFF0FC"/>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10,548,470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285,886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3,554,796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204,694</w:t>
            </w:r>
          </w:p>
        </w:tc>
        <w:tc>
          <w:tcPr>
            <w:tcW w:w="120" w:type="dxa"/>
            <w:vAlign w:val="bottom"/>
          </w:tcPr>
          <w:p>
            <w:pPr>
              <w:spacing w:after="0"/>
              <w:rPr>
                <w:sz w:val="20"/>
                <w:szCs w:val="20"/>
                <w:color w:val="auto"/>
              </w:rPr>
            </w:pPr>
          </w:p>
        </w:tc>
      </w:tr>
      <w:tr>
        <w:trPr>
          <w:trHeight w:val="481"/>
        </w:trPr>
        <w:tc>
          <w:tcPr>
            <w:tcW w:w="5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following table represents all potentially dilutive shares: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1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9"/>
        </w:trPr>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2"/>
        </w:trPr>
        <w:tc>
          <w:tcPr>
            <w:tcW w:w="1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36,350,685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401,603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120" w:type="dxa"/>
            <w:vAlign w:val="bottom"/>
          </w:tcPr>
          <w:p>
            <w:pPr>
              <w:spacing w:after="0"/>
              <w:rPr>
                <w:sz w:val="21"/>
                <w:szCs w:val="21"/>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9,624</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69,458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-3251200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-3234055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-3251200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-3234055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-3251200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-3234055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-3251200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-3234055</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-2599690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-2599690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-2599690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-2599690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-2282825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-2282825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-2282825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-2282825</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-1622425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-1605280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-1622425</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-1605280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-1622425</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-1605280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-1622425</wp:posOffset>
            </wp:positionV>
            <wp:extent cx="596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-1605280</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use the treasury stock method when determining dilutive shares. For the three and nine months ended September 30, 2024 and 2023, the Company was in a net loss position, therefore the share number used to calculate diluted earnings per share is the same as the basic earnings per share.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10. Equity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August 2023 Public Offering</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August 4, 2023, we completed a public offering of common stock and warrants, which included the following:</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50,488 shares of common stock at a price of $27.28 per share.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up to 132,793 shares of common stock at a price of $27.28 per with an exercise price of $0.001 per share. As of September 30, 2024, all pre-funded warrants have been exercised.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and Series B common warrants to purchase up to an aggregate of 366,562 shares of common stock at an exercise price of $27.28 per share.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received net proceeds of $4.3 million, net of transaction costs, as a result of this offering. In the fourth quarter of 2023, an aggregate of 322,691 Series A and Series B common warrants were exercised as part of our November 2023 warrant inducement agreement with certain holders of our common warrants. The Series A and Series B common warrants are exercisable immediately following the date of issuance and will expire on August 4, 2028 and February 4, 2025, respectively. In connection with a registered direct offering of the Company that closed on July 1, 2024 (the "July Registered Direct Offering"), the Company amended certain existing common warrants held by certain stockholders who participated in the July Registered Direct Offering that were issued in our August 2023 public offering, such that these common warrants will have a reduced exercise price equal to $0.515 per share and include the same exercise price adjustment terms as the common warrants issued in the July Registered Direct Offering. As of September 30, 2024, we have 1,316 Series A and 1,316 Series B common warrants outstanding to purchase shares of our common stock at an exercise price of $27.28 per share and 41,239 Series A common warrants outstanding with an amended exercise price of $0.515 per share that were issued in connection with the August 2023 public offering.</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such warrants are exercised at their current exercise price, we will receive up to an additional $0.1 million in gross proceeds in connection with the warrants issued as part of the August 2023 public offering.</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November 2023 Warrant Inducement</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9, 2023, we entered into a warrant inducement agreement (the "Inducement Agreement") with certain holders of our Series A and Series B common warrants issued in connection with our August 2023 public offering to exercise for cash 140,726 Series A and 181,965 Series B common warrants at a reduced exercise price of $10.25. We received $3.3 million in gross proceeds from the exercise of these warrants and issued an aggregate of 645,382 new Series A and new Series B warrants as follows:</w:t>
      </w:r>
    </w:p>
    <w:p>
      <w:pPr>
        <w:spacing w:after="0" w:line="72" w:lineRule="exact"/>
        <w:rPr>
          <w:sz w:val="20"/>
          <w:szCs w:val="20"/>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281,452 Series A common warrants to purchase an aggregate of up to 281,452 shares of common stock at $10.25 per share, of which 140,726 Series A-1 common warrants were immediately exercisable and 140,726 Series A-2 common warrants were exercisable at any time on or after February 5, 2024. The Series A-1 and Series A-2 common warrants have terms of four years and eight months, and five years, respectively.</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363,930 Series B common warrants to purchase an aggregate of up to 363,930 shares of common stock at $10.25 per share, of which 181,965 Series B-1 common warrants were immediately exercisable and 181,695 Series B-2 common warrants were exercisable at any time on or after February 5, 2024. The Series B-1 and Series B-2 common warrants have terms of fourteen months and twenty-four months, respectively.</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July Registered Direct Offering and a registered direct offering of the Company that closed on September 18, 2024 (the "September Registered Direct Offering"), the Company amended certain existing common warrants held by certain stockholders who participated in the registered direct offerings that were issued in our November 2023 warrant inducement, such that these common warrants will have a reduced exercise price equal to $0.515 per share and $0.33 per share, respectively, and include the same exercise price adjustment terms as the common warrants issued in the July Registered Direct Offering and September Registered Direct Offering. As of September 30, 2024, we have 17,524 Series A and 17,524 Series B common warrants outstanding with an exercise price of $10.25 per share, 82,478 Series A and 164,956 Series B common warrants with an amended exercise price of $0.515 per share and 181,450 Series A common warrants and 181,450 Series B common warrants with an amended exercise price of $0.33 per share that were issued in connection with the Inducement Agreement.</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such warrants are exercised at their current exercise price, we will receive up to an additional $0.6 million in gross proceeds in connection with the warrants issued in connection with the Inducement Agreement.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April 2024 Public Offering</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April 15, 2024, we completed a public offering of common stock and warrants, in which we received net proceeds of $4.0 million, net of transaction costs, which included the following:</w:t>
      </w:r>
    </w:p>
    <w:p>
      <w:pPr>
        <w:spacing w:after="0" w:line="54"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926,666 shares of common stock and accompanying common warrants to purchase up to 1,853,332 shares of common stock at a public offering price of $1.35 per share;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up to 2,473,334 shares of common stock and accompanying common warrants to purchase up to 4,946,668 shares of common stock at a combined public offering price of $1.3499 per pre-funded warrant, which is equal to the public offering price per share of common stock less the $0.0001 per share exercise price of each such pre-funded warrant. As of September 30, 2024, all pre-funded warrants have been exercised.</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common warrants are exercisable immediately following the date of issuance and will expire in April 2029. On July 1, 2024, and September 18, 2024, in connection with the July Registered Direct Offering and September Registered Direct Offering, respectively, the Company amended certain existing common warrants held by certain stockholders who participated in the registered direct offerings that were issued in our April 2024 public offering, such that these common warrants will have a reduced exercise price equal to $0.515 per share and $0.33 per share, respectively, and include the same exercise price adjustment terms as the common warrants issued in the July Registered Direct Offering and the September Registered Direct Offering. As of September 30, 2024, we have 133,332 common</w:t>
      </w:r>
    </w:p>
    <w:p>
      <w:pPr>
        <w:sectPr>
          <w:pgSz w:w="11900" w:h="16838" w:orient="portrait"/>
          <w:cols w:equalWidth="0" w:num="1">
            <w:col w:w="11240"/>
          </w:cols>
          <w:pgMar w:left="320" w:top="769"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warrants outstanding with an exercise price of $1.35 per share, 2,222,222 common warrants with an amended exercise price of $0.515 per share and 4,444,446 common warrants with an amended exercise price of $0.33 per share that were issued in connection with the April 2024 public offering.</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such warrants are exercised at their current exercise price, we will receive up to an additional $2.8 million in proceeds in connection with the warrants issued in connection with the April 2024 public offering.</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July 2024 Registered Direct Offering</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1, 2024, we completed the July Registered Direct Offering with certain holders of our outstanding common warrants issued in connection with our previous offerings. Pursuant to the July Registered Direct Offering, certain holders agreed to amend the exercise price of 7,318,241 existing warrants to a reduced exercise price of $0.515 per share. We received $2.7 million in gross proceeds less total issuance costs of $0.8 million. Issuance costs include banker and legal fees of $0.4 million and non-cash warrant modification costs of $0.4 million. The Company recognized the $0.4 modification date incremental value of the modified warrants as compared to the original warrants as a non-cash issuance cost of the July Registered Direct Offering. Additionally, pursuant to the July Registered Direct Offering, we issued the following:</w:t>
      </w:r>
    </w:p>
    <w:p>
      <w:pPr>
        <w:spacing w:after="0" w:line="187"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3,621,460 shares of common stock and accompanying common warrants to purchase up to 7,242,920 shares of common stock at an offering price of $0.515 per share;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up to 1,718,346 shares of common stock and accompanying common warrants to purchase up to 3,436,692 shares of common stock at a combined offering price of $0.5149 per pre-funded warrant, which is equal to the offering price of per share of common stock less the $0.0001 per share exercise price of each such pre-funded warrant. As of September 30, 2024, all pre-funded warrants have been exercised.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common warrants became exercisable immediately following stockholder approval on August 6, 2024, and will expire in August 2029. In connection with the July Registered Direct Offering, the Company amended certain existing common warrants that were previously issued to certain investors such that these common warrants will have a reduced exercise price equal to $0.515 per share and include the same exercise price adjustments as the common warrants issued in the July Registered Direct Offering. These amended warrants became exercisable immediately following stockholder approval on August 6, 2024. On September 18, 2024, in connection with the September Registered Direct Offering, the Company amended certain existing common warrants held by certain stockholders who participated in the September Registered Direct Offering that were issued in the July Registered Direct Offering, such that these common warrants will have a reduced exercise price equal to $0.33 per share, and include the same exercise price adjustments as the common warrants issued in the September Registered Direct Offering. As of September 30, 2024, we have 3,664,184 common warrants outstanding at an exercise price of $0.515 per share and 7,015,428 common warrants outstanding at an amended exercise price of $0.33 per share that were issued in connection with the July Registered Direct Offering.</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such warrants are exercised at their current exercise price, we will receive up to an additional $4.2 million in proceeds in connection with the warrants issued in connection with the July Registered Direct Offering.</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September 2024 Registered Direct Offering</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September 18, 2024, we completed the September Registered Direct Offering with certain holders of our outstanding common warrants issued in connection with our previous offerings. Pursuant to the September Registered Direct Offering, certain holders agreed to amend the exercise price of 11,822,774 existing warrants to a reduced exercise price of $0.33 per share. We received $3.0 million in gross proceeds less total issuance costs of $0.5 million. Issuance costs include banker and legal fees of $0.4 million and non-cash warrant modification costs of $0.1 million. The Company recognized the $0.1 million modification date incremental value of the modified warrants as compared to the original warrants as a non-cash issuance cost of the September Registered Direct Offering. Additionally, pursuant to the September Registered Direct Offering, we issued the following:</w:t>
      </w:r>
    </w:p>
    <w:p>
      <w:pPr>
        <w:spacing w:after="0" w:line="187" w:lineRule="exact"/>
        <w:rPr>
          <w:sz w:val="20"/>
          <w:szCs w:val="20"/>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4,020,000 shares of common stock and accompanying common warrants to purchase up to 8,040,000 shares of common stock at an offering price of $0.33 per share;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up to 5,070,910 shares of common stock and accompanying common warrants to purchase up to 10,141,820 shares of common stock at a combined offering price of $0.3299 per pre-funded warrant, which is equal to the offering price of per share of common stock less the $0.0001 per share exercise price of each such pre-funded warrant. As of September 30, 2024, 3,609,362 pre-funded warrants have been exercised and 1,461,548 pre-funded warrants remain outstanding.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common warrants became exercisable immediately following the date of stockholder approval on October 25, 2024, and will expire in October 2029. In connection with the September Registered Direct Offering, the Company amended certain existing common warrants that were previously issued to certain investors such that these common warrants will have a reduced exercise price equal to $0.33 per share and include the same exercise price adjustments as the common warrants issued in the September Registered Direct Offering. These amended warrants became exercisable immediately following stockholder approval on October 25, 2024. As of September 30, 2024, we have issued and outstanding common warrants to purchase 18,181,820 shares of our common stock at an exercise price of $0.33 per share in connection with the September Registered Direct Offering, which became exercisable immediately following stockholder approval on October 25, 2024.</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such warrants are exercised at their current exercise price, we will receive up to an additional $6.0 million in proceeds in connection with the warrants issued in connection with the September Registered Direct Offering.</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common warrant activity for the nine months ended September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8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3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2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6180" w:type="dxa"/>
            <w:vAlign w:val="bottom"/>
          </w:tcPr>
          <w:p>
            <w:pPr>
              <w:spacing w:after="0"/>
              <w:rPr>
                <w:sz w:val="16"/>
                <w:szCs w:val="16"/>
                <w:color w:val="auto"/>
              </w:rPr>
            </w:pPr>
          </w:p>
        </w:tc>
        <w:tc>
          <w:tcPr>
            <w:tcW w:w="15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Term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697,220</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35,661,432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(7,967 )</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800.80</w:t>
            </w:r>
          </w:p>
        </w:tc>
        <w:tc>
          <w:tcPr>
            <w:tcW w:w="22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1"/>
        </w:trPr>
        <w:tc>
          <w:tcPr>
            <w:tcW w:w="6180" w:type="dxa"/>
            <w:vAlign w:val="bottom"/>
            <w:tcBorders>
              <w:bottom w:val="single" w:sz="8" w:color="CFF0FC"/>
            </w:tcBorders>
            <w:shd w:val="clear" w:color="auto" w:fill="CFF0FC"/>
          </w:tcPr>
          <w:p>
            <w:pPr>
              <w:ind w:left="20"/>
              <w:spacing w:after="0" w:line="241" w:lineRule="exact"/>
              <w:rPr>
                <w:sz w:val="20"/>
                <w:szCs w:val="20"/>
                <w:color w:val="auto"/>
              </w:rPr>
            </w:pPr>
            <w:r>
              <w:rPr>
                <w:rFonts w:ascii="Times New Roman" w:cs="Times New Roman" w:eastAsia="Times New Roman" w:hAnsi="Times New Roman"/>
                <w:sz w:val="18"/>
                <w:szCs w:val="18"/>
                <w:color w:val="auto"/>
              </w:rPr>
              <w:t>Outstanding at September 30, 2024</w:t>
            </w:r>
            <w:r>
              <w:rPr>
                <w:rFonts w:ascii="Times New Roman" w:cs="Times New Roman" w:eastAsia="Times New Roman" w:hAnsi="Times New Roman"/>
                <w:sz w:val="24"/>
                <w:szCs w:val="24"/>
                <w:color w:val="auto"/>
                <w:vertAlign w:val="superscript"/>
              </w:rPr>
              <w:t>(1)</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36,350,685</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18,168,865</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-205105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-187960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-205105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 w:lineRule="exact"/>
        <w:rPr>
          <w:sz w:val="20"/>
          <w:szCs w:val="20"/>
          <w:color w:val="auto"/>
        </w:rPr>
      </w:pPr>
    </w:p>
    <w:p>
      <w:pPr>
        <w:ind w:right="20" w:firstLine="8"/>
        <w:spacing w:after="0" w:line="250" w:lineRule="auto"/>
        <w:tabs>
          <w:tab w:leader="none" w:pos="21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exercise price of outstanding common warrants includes adjustments to the exercise price of existing common warrants during our July and September 2024 direct offerings.</w:t>
      </w:r>
    </w:p>
    <w:p>
      <w:pPr>
        <w:spacing w:after="0" w:line="35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Aptevo uses Black-Scholes valuation model for estimating the fair value of the common warrants included in public and direct offerings. Set forth below are the assumptions used in valuing the common warrants issued: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40" w:type="dxa"/>
            <w:vAlign w:val="bottom"/>
          </w:tcPr>
          <w:p>
            <w:pPr>
              <w:spacing w:after="0"/>
              <w:rPr>
                <w:sz w:val="13"/>
                <w:szCs w:val="13"/>
                <w:color w:val="auto"/>
              </w:rPr>
            </w:pPr>
          </w:p>
        </w:tc>
        <w:tc>
          <w:tcPr>
            <w:tcW w:w="2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87"/>
        </w:trPr>
        <w:tc>
          <w:tcPr>
            <w:tcW w:w="57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179"/>
              <w:spacing w:after="0"/>
              <w:rPr>
                <w:sz w:val="20"/>
                <w:szCs w:val="20"/>
                <w:color w:val="auto"/>
              </w:rPr>
            </w:pPr>
            <w:r>
              <w:rPr>
                <w:rFonts w:ascii="Times New Roman" w:cs="Times New Roman" w:eastAsia="Times New Roman" w:hAnsi="Times New Roman"/>
                <w:sz w:val="14"/>
                <w:szCs w:val="14"/>
                <w:b w:val="1"/>
                <w:bCs w:val="1"/>
                <w:color w:val="auto"/>
              </w:rPr>
              <w:t>30,</w:t>
            </w:r>
          </w:p>
        </w:tc>
        <w:tc>
          <w:tcPr>
            <w:tcW w:w="1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69"/>
        </w:trPr>
        <w:tc>
          <w:tcPr>
            <w:tcW w:w="5780" w:type="dxa"/>
            <w:vAlign w:val="bottom"/>
          </w:tcPr>
          <w:p>
            <w:pPr>
              <w:spacing w:after="0"/>
              <w:rPr>
                <w:sz w:val="14"/>
                <w:szCs w:val="14"/>
                <w:color w:val="auto"/>
              </w:rPr>
            </w:pPr>
          </w:p>
        </w:tc>
        <w:tc>
          <w:tcPr>
            <w:tcW w:w="110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4"/>
                <w:szCs w:val="14"/>
                <w:color w:val="auto"/>
              </w:rPr>
            </w:pPr>
          </w:p>
        </w:tc>
        <w:tc>
          <w:tcPr>
            <w:tcW w:w="1100" w:type="dxa"/>
            <w:vAlign w:val="bottom"/>
            <w:tcBorders>
              <w:bottom w:val="single" w:sz="8" w:color="auto"/>
            </w:tcBorders>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540" w:type="dxa"/>
            <w:vAlign w:val="bottom"/>
            <w:tcBorders>
              <w:bottom w:val="single" w:sz="8" w:color="auto"/>
            </w:tcBorders>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00" w:type="dxa"/>
            <w:vAlign w:val="bottom"/>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w w:val="98"/>
              </w:rPr>
              <w:t>0.00%</w:t>
            </w:r>
          </w:p>
        </w:tc>
        <w:tc>
          <w:tcPr>
            <w:tcW w:w="1580" w:type="dxa"/>
            <w:vAlign w:val="bottom"/>
            <w:gridSpan w:val="3"/>
            <w:shd w:val="clear" w:color="auto" w:fill="CFF0FC"/>
          </w:tcPr>
          <w:p>
            <w:pPr>
              <w:jc w:val="center"/>
              <w:ind w:left="235"/>
              <w:spacing w:after="0"/>
              <w:rPr>
                <w:sz w:val="20"/>
                <w:szCs w:val="20"/>
                <w:color w:val="auto"/>
              </w:rPr>
            </w:pPr>
            <w:r>
              <w:rPr>
                <w:rFonts w:ascii="Times New Roman" w:cs="Times New Roman" w:eastAsia="Times New Roman" w:hAnsi="Times New Roman"/>
                <w:sz w:val="18"/>
                <w:szCs w:val="18"/>
                <w:color w:val="auto"/>
                <w:w w:val="98"/>
              </w:rPr>
              <w:t>0.00%</w:t>
            </w:r>
          </w:p>
        </w:tc>
        <w:tc>
          <w:tcPr>
            <w:tcW w:w="124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0.00%</w:t>
            </w:r>
          </w:p>
        </w:tc>
        <w:tc>
          <w:tcPr>
            <w:tcW w:w="1540" w:type="dxa"/>
            <w:vAlign w:val="bottom"/>
            <w:shd w:val="clear" w:color="auto" w:fill="CFF0FC"/>
          </w:tcPr>
          <w:p>
            <w:pPr>
              <w:jc w:val="center"/>
              <w:ind w:left="196"/>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113.24%</w:t>
            </w:r>
          </w:p>
        </w:tc>
        <w:tc>
          <w:tcPr>
            <w:tcW w:w="1580" w:type="dxa"/>
            <w:vAlign w:val="bottom"/>
            <w:gridSpan w:val="3"/>
          </w:tcPr>
          <w:p>
            <w:pPr>
              <w:jc w:val="center"/>
              <w:ind w:left="215"/>
              <w:spacing w:after="0"/>
              <w:rPr>
                <w:sz w:val="20"/>
                <w:szCs w:val="20"/>
                <w:color w:val="auto"/>
              </w:rPr>
            </w:pPr>
            <w:r>
              <w:rPr>
                <w:rFonts w:ascii="Times New Roman" w:cs="Times New Roman" w:eastAsia="Times New Roman" w:hAnsi="Times New Roman"/>
                <w:sz w:val="18"/>
                <w:szCs w:val="18"/>
                <w:color w:val="auto"/>
                <w:w w:val="99"/>
              </w:rPr>
              <w:t>103.57%</w:t>
            </w:r>
          </w:p>
        </w:tc>
        <w:tc>
          <w:tcPr>
            <w:tcW w:w="12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112.16%</w:t>
            </w:r>
          </w:p>
        </w:tc>
        <w:tc>
          <w:tcPr>
            <w:tcW w:w="154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103.57%</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00" w:type="dxa"/>
            <w:vAlign w:val="bottom"/>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w w:val="98"/>
              </w:rPr>
              <w:t>5.27%</w:t>
            </w:r>
          </w:p>
        </w:tc>
        <w:tc>
          <w:tcPr>
            <w:tcW w:w="1580" w:type="dxa"/>
            <w:vAlign w:val="bottom"/>
            <w:gridSpan w:val="3"/>
            <w:shd w:val="clear" w:color="auto" w:fill="CFF0FC"/>
          </w:tcPr>
          <w:p>
            <w:pPr>
              <w:jc w:val="center"/>
              <w:ind w:left="235"/>
              <w:spacing w:after="0"/>
              <w:rPr>
                <w:sz w:val="20"/>
                <w:szCs w:val="20"/>
                <w:color w:val="auto"/>
              </w:rPr>
            </w:pPr>
            <w:r>
              <w:rPr>
                <w:rFonts w:ascii="Times New Roman" w:cs="Times New Roman" w:eastAsia="Times New Roman" w:hAnsi="Times New Roman"/>
                <w:sz w:val="18"/>
                <w:szCs w:val="18"/>
                <w:color w:val="auto"/>
                <w:w w:val="98"/>
              </w:rPr>
              <w:t>5.33%</w:t>
            </w:r>
          </w:p>
        </w:tc>
        <w:tc>
          <w:tcPr>
            <w:tcW w:w="124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5.23%</w:t>
            </w:r>
          </w:p>
        </w:tc>
        <w:tc>
          <w:tcPr>
            <w:tcW w:w="1540" w:type="dxa"/>
            <w:vAlign w:val="bottom"/>
            <w:shd w:val="clear" w:color="auto" w:fill="CFF0FC"/>
          </w:tcPr>
          <w:p>
            <w:pPr>
              <w:jc w:val="center"/>
              <w:ind w:left="196"/>
              <w:spacing w:after="0"/>
              <w:rPr>
                <w:sz w:val="20"/>
                <w:szCs w:val="20"/>
                <w:color w:val="auto"/>
              </w:rPr>
            </w:pPr>
            <w:r>
              <w:rPr>
                <w:rFonts w:ascii="Times New Roman" w:cs="Times New Roman" w:eastAsia="Times New Roman" w:hAnsi="Times New Roman"/>
                <w:sz w:val="18"/>
                <w:szCs w:val="18"/>
                <w:color w:val="auto"/>
                <w:w w:val="98"/>
              </w:rPr>
              <w:t>4.18%</w:t>
            </w: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average life of warrants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 years</w:t>
            </w:r>
          </w:p>
        </w:tc>
        <w:tc>
          <w:tcPr>
            <w:tcW w:w="14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3.25 years</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3.25 years</w:t>
            </w:r>
          </w:p>
        </w:tc>
      </w:tr>
    </w:tbl>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Equity Distribution Agreement</w:t>
      </w:r>
    </w:p>
    <w:p>
      <w:pPr>
        <w:spacing w:after="0" w:line="13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previously entered into an Equity Distribution Agreement with Piper Sandler (the "Equity Distribution Agreement") under which we could issue and sell through Piper Sandler shares of our common stock pursuant to a Registration Statement on Form S-3 (the "Shelf Registration Statement") which we filed on December 14, 2020, and expired in December 2023. In the nine months ended September 30, 2023, the Company issued 16,611 shares of common stock at an average price of $99.43 under the Equity Distribution Agreement. We received $1.6 million in proceeds from the issuance of these shares.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Lincoln Park Purchase Agreement</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February 16, 2022, we entered into a Purchase Agreement ("2022 Purchase Agreement") and a Registration Rights Agreement with Lincoln Park (the "Registration Rights Agreement") to purchase up to $35.0 million of our common stock over a 36-month period, for which we issued 2,256 shares of our common stock to Lincoln Park for no cash consideration as an initial fee for its commitment to purchase shares of our common stock under the 2022 Purchase Agreement. For the nine months ended September 30, 2024, we did not issue shares of our common stock and for the nine months ended September 30, 2023, we issued 6,818 shares of our common stock to Lincoln Park under the 2022 Purchase Agreement and we received $0.5 million in proceeds from issuance of these shares. Our Shelf Registration Statement on Form S-3 expired on December 18, 2023, without which we cannot issue shares pursuant to the 2022 Purchase Agreement.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Rights Plan</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November 8, 2020, our Board approved and adopted a Rights Agreement (the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One Right also will be issued together with each common share issued by the Company after November 23, 2020, but before the Distribution Date (as defined in the Rights Agreement) (or the earlier</w:t>
      </w:r>
    </w:p>
    <w:p>
      <w:pPr>
        <w:sectPr>
          <w:pgSz w:w="11900" w:h="16838" w:orient="portrait"/>
          <w:cols w:equalWidth="0" w:num="1">
            <w:col w:w="11240"/>
          </w:cols>
          <w:pgMar w:left="320" w:top="769"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4" w:name="page15"/>
    <w:bookmarkEnd w:id="14"/>
    <w:p>
      <w:pPr>
        <w:jc w:val="both"/>
        <w:spacing w:after="0" w:line="255" w:lineRule="auto"/>
        <w:rPr>
          <w:sz w:val="20"/>
          <w:szCs w:val="20"/>
          <w:color w:val="auto"/>
        </w:rPr>
      </w:pPr>
      <w:r>
        <w:rPr>
          <w:rFonts w:ascii="Times New Roman" w:cs="Times New Roman" w:eastAsia="Times New Roman" w:hAnsi="Times New Roman"/>
          <w:sz w:val="18"/>
          <w:szCs w:val="18"/>
          <w:color w:val="auto"/>
        </w:rPr>
        <w:t>redemption or expiration of the Rights) and, in certain circumstances, after the Distribution Date. When exercisable, each Right initially would represent the right to purchase from the Company one one-thousandth of a share of a newly-designated series of preferred stock, Series A Junior Participating Preferred Stock, par value $0.001 per share, of the Company. Subject to various exceptions, the Rights become exercisable in the event any person (excluding certain exempted or grandfathered persons) becomes the beneficial owner of ten percent (10%) or more of the Company’s common stock without the approval of the Board. On November 1, 2024, we entered into amendment No. 4 to the Rights Agreement and extended the expiration of such agreement to October 31, 2025 and changed the exercise price to $70 per one one-thousandth of a Series A Junior Participating Preferred Share (as defined in the Rights Agreement), subject to adjustment.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2018 Stock Incentive Plan</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 2018, at the 2018 annual meeting of the stockholders, the Company’s stockholders approved a new 2018 Stock Incentive Plan (the "2018 SIP"), which replaced the Restated 2016 Plan (the "2016 SIP") on a go-forward basis. All stock options, RSUs or other equity awards granted subsequent to June 1, 2018 have been and will be issued out of the 2018 SIP, which has 0.1 million shares of Aptevo common stock authorized for issuance. The 2018 SIP became effective immediately upon stockholder approval at the 2018 annual meeting of the stockholders.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SIP (such shares, the "Returning Shares") will immediately be added to the share reserve under the 2018 SIP as and when such shares become Returning Shares, up to a maximum of 0.1 million shares.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June 7, 2022, at the 2022 annual meeting of the stockholders, our stockholders approved the Amended and Restated 2018 SIP (the "Amended 2018 SIP") to increase the number of shares authorized for issuance under the 2018 SIP by 11,363 shares of common stock (adjusted for 1-for-44 reverse stock split effective as of March 5, 2024).</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June 7, 2024, at the 2024 annual meeting of the stockholders, our stockholders approved the Second Amended and Restated 2018 SIP (the "Second Amended 2018 SIP") to increase the number of shares authorized for issuance under the Amended 2018 SIP by 165,000 shares of common stock. As of September 30, 2024, there are 0.1 million shares available to be granted under the Second Amended 2018 SIP.</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Stock options and RSUs under the Second Amended 2018 SIP generally vest pro rata over a one-year or three-year period. Stock options terminate ten years from the grant date, though the specific terms of each grant are determined individually. The Company’s executive officers, members of our Board, and certain other employees and consultants may be awarded options and/or RSUs with different vesting criteria, and awards granted to non-employee directors will vest over a one-year period. Option exercise and RSU grant prices for new awards granted by the Company equal the closing price of the Company’s common stock on the Nasdaq Capital Market on the date of grant.</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includes amortization of stock options and RSUs granted to employees and non-employees and has been reported in our unaudited condensed consolidated statements of operations as follows: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87"/>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restart"/>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2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 All assumptions used to calculate the grant date fair value of non-employee equity awards are generally consistent with the assumptions used for equity awards granted to employees. In the event the Company terminates any of its consulting agreements, the unvested equity underlying the agreements would also be forfeited. The stock compensation is lower in the current period mainly due to a decrease in our stock price.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Aptevo utilizes the Black-Scholes valuation model for estimating the fair value of all stock options granted. Set forth below are the assumptions used in valuing the stock options granted:</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826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72"/>
        </w:trPr>
        <w:tc>
          <w:tcPr>
            <w:tcW w:w="826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40" w:type="dxa"/>
            <w:vAlign w:val="bottom"/>
            <w:gridSpan w:val="2"/>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103.63%</w:t>
            </w:r>
          </w:p>
        </w:tc>
        <w:tc>
          <w:tcPr>
            <w:tcW w:w="100" w:type="dxa"/>
            <w:vAlign w:val="bottom"/>
          </w:tcPr>
          <w:p>
            <w:pPr>
              <w:spacing w:after="0"/>
              <w:rPr>
                <w:sz w:val="20"/>
                <w:szCs w:val="20"/>
                <w:color w:val="auto"/>
              </w:rPr>
            </w:pPr>
          </w:p>
        </w:tc>
      </w:tr>
      <w:tr>
        <w:trPr>
          <w:trHeight w:val="247"/>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FF0FC"/>
          </w:tcPr>
          <w:p>
            <w:pPr>
              <w:spacing w:after="0"/>
              <w:rPr>
                <w:sz w:val="21"/>
                <w:szCs w:val="21"/>
                <w:color w:val="auto"/>
              </w:rPr>
            </w:pPr>
          </w:p>
        </w:tc>
      </w:tr>
      <w:tr>
        <w:trPr>
          <w:trHeight w:val="234"/>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life of options</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24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grant stock options for the three and nine months ended September 30, 2024, or for the three months ended September 30, 2023. For the nine months ended September 30, 2023, management has applied an estimated forfeiture rate of 30%.</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option activity for the nine months ended September 30, 2024:</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5900" w:type="dxa"/>
            <w:vAlign w:val="bottom"/>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Term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(322 )</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620.32</w:t>
            </w:r>
          </w:p>
        </w:tc>
        <w:tc>
          <w:tcPr>
            <w:tcW w:w="18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2"/>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557.31</w:t>
            </w:r>
          </w:p>
        </w:tc>
        <w:tc>
          <w:tcPr>
            <w:tcW w:w="18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September 30,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577.17</w:t>
            </w:r>
          </w:p>
        </w:tc>
        <w:tc>
          <w:tcPr>
            <w:tcW w:w="18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-384810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-367665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-384810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-367665</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-384810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-367665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59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we had $0.2 million of unrecognized compensation expense related to options expected to vest over a weighted-average remaining vesting period of 0.8 years. The weighted-average grant date fair value per share of options granted during the nine months ended September 30, 2023, was $73.83. The total fair value of stock options vested for the nine months ended September 30, 2024 and 2023 was $1.1 million and $1.2 million, respectively.</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the total pretax intrinsic value (the difference between the closing stock price of Aptevo’s common stock on the last trading day of September 30, 2024 and the exercise price, multiplied by the number of in the money options) that would have been received by the option holders had all the option holders exercised their options on the last trading day of the quarter.</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RSU activity for the nine months ended September 30, 2024:</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7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87"/>
        </w:trPr>
        <w:tc>
          <w:tcPr>
            <w:tcW w:w="6900" w:type="dxa"/>
            <w:vAlign w:val="bottom"/>
          </w:tcPr>
          <w:p>
            <w:pPr>
              <w:spacing w:after="0"/>
              <w:rPr>
                <w:sz w:val="16"/>
                <w:szCs w:val="16"/>
                <w:color w:val="auto"/>
              </w:rPr>
            </w:pPr>
          </w:p>
        </w:tc>
        <w:tc>
          <w:tcPr>
            <w:tcW w:w="17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0" w:type="dxa"/>
            <w:vAlign w:val="bottom"/>
          </w:tcPr>
          <w:p>
            <w:pPr>
              <w:spacing w:after="0"/>
              <w:rPr>
                <w:sz w:val="1"/>
                <w:szCs w:val="1"/>
                <w:color w:val="auto"/>
              </w:rPr>
            </w:pPr>
          </w:p>
        </w:tc>
      </w:tr>
      <w:tr>
        <w:trPr>
          <w:trHeight w:val="23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(3,281 )</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(235 )</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and expected to vest at September 30, 2024</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69,458</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$0.3 million unrecognized stock-based compensation expense related to unvested RSUs expected to vest over the weighted-average period of 1.2 years.</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each RSU has been determined to be the closing trading price of the Company’s common stock on the date of grant as quoted on the Nasdaq Capital Market.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October 21 and October 23, 2024, holders of our September 2024 pre-funded warrants provided notice to exercise 1,190,587 and 270,961 pre-funded warrants, respectively, and 1,461,548 total shares of common stock were then issued. As of November 7, 2024, we have no remaining pre-funded warrants outstanding and 18,512,084 shares of common stock issued and outstanding.</w:t>
      </w:r>
    </w:p>
    <w:p>
      <w:pPr>
        <w:sectPr>
          <w:pgSz w:w="11900" w:h="16838" w:orient="portrait"/>
          <w:cols w:equalWidth="0" w:num="1">
            <w:col w:w="11240"/>
          </w:cols>
          <w:pgMar w:left="320" w:top="983"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6" w:name="page17"/>
    <w:bookmarkEnd w:id="16"/>
    <w:p>
      <w:pPr>
        <w:ind w:left="3"/>
        <w:spacing w:after="0"/>
        <w:rPr>
          <w:sz w:val="20"/>
          <w:szCs w:val="20"/>
          <w:color w:val="auto"/>
        </w:rPr>
      </w:pPr>
      <w:r>
        <w:rPr>
          <w:rFonts w:ascii="Times New Roman" w:cs="Times New Roman" w:eastAsia="Times New Roman" w:hAnsi="Times New Roman"/>
          <w:sz w:val="18"/>
          <w:szCs w:val="18"/>
          <w:color w:val="auto"/>
        </w:rPr>
        <w:t>On October 25, 2024, the Company held a Special Meeting of Stockholders (the "Special Meeting"), at which the Company's stockholders:</w:t>
      </w:r>
    </w:p>
    <w:p>
      <w:pPr>
        <w:spacing w:after="0" w:line="117" w:lineRule="exact"/>
        <w:rPr>
          <w:sz w:val="20"/>
          <w:szCs w:val="20"/>
          <w:color w:val="auto"/>
        </w:rPr>
      </w:pPr>
    </w:p>
    <w:p>
      <w:pPr>
        <w:jc w:val="both"/>
        <w:ind w:left="503" w:hanging="503"/>
        <w:spacing w:after="0" w:line="25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in accordance with Nasdaq Listing Rule 5635(d), the issuance of more than 19.99% of our outstanding common stock, par value $0.001 per share, issuable upon the exercise of common warrants issued pursuant to the September Registered Direct Offering, which includes an exercise price adjustment provision in the event of an issuance of common stock or common stock equivalent, an option to purchase common stock or common stock equivalent, change in price of common stock or common stock equivalent or other such event as described in the common warrants and to approve the amendment of certain existing common warrants to include the same exercise price adjustment provisions and the repricing of such existing warrants pursuant to the September Registered Direct Offering ("Proposal 1");</w:t>
      </w:r>
    </w:p>
    <w:p>
      <w:pPr>
        <w:spacing w:after="0" w:line="79"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an amendment to our Amended and Restated Certificate of Incorporation, as amended, to effect a reverse stock split of our Common Stock at a ratio in the range of 1-for-5 to 1-for-37, with such ratio to be determined in the discretion of our Board and with such reverse stock split to be effected at such time and date, if at all, as determined by our Board in its sole discretion ("Proposal 2"); and</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an authorization to adjourn the Special Meeting, if necessary or appropriate, to solicit additional proxies if there are not sufficient votes in favor of Proposal 1 or Proposal 2 ("Proposal 3").</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8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includes "forward-looking statements" within the meaning of Section 27A of the Securities Act of 1933, as amended, and Section 21E of the Securities Exchange Act of 1934, as amended (the Exchange Act). All statements in this Quarterly Report on Form 10-Q other than statements of historical facts, including statements regarding our strategy, future operations, future financial position, future revenues, the achievement of milestones and receipt of future payments, projected costs, prospects, plans, intentions, expectations, clinical trial results, compliance with listing requirements, future macroeconomic conditions and objectives could be forward-looking statements. The words "anticipates," "believes," "could," "designed," "estimates," "expects," "goal," "intends," "may," "plans," "projects," "should," "will," "would" and similar expressions (including the negatives thereof) are intended to identify forward-looking statements, although not all forward-looking statements contain these identifying words.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assumptions, expectations, projections, intentions, objectives and/or beliefs about future events or occurrences and these forward-looking statements are subject to a number of risks, uncertainties and assumptions, including, but not limited to, those described in Part II, Item 1A, "Risk Factors" in this Quarterly Report on Form 10-Q and our other filings with the Securities and Exchange Commission.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The timing of certain events and circumstances and known and unknown risks and uncertainties could cause actual results to differ materially from those anticipated or implied in the forward-looking statements that we make. Therefore, you should not place undue reliance on our forward-looking statements. Our forward-looking statements in this Quarterly Report on Form 10-Q are based on current information and we do not assume any obligation to update any forward-looking statements except as required by the federal securities laws.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Financial Condition and Results of Operations (this MD&amp;A) together with the unaudited condensed consolidated financial statements and the related notes thereto included in this Quarterly Report on Form 10-Q. This MD&amp;A contains forward-looking statements that are subject to risks and uncertainties, such as those set forth in the sections of this Quarterly Report on Form 10-Q, "Risk Factors" and elsewhere. As a result, our actual results may differ materially from those anticipated in these forward-looking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are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and have two clinical candidates and three preclinical candidates currently in development. Clinical candidate mipletamig (formerly APVO436) is a CD3xCD123 T-cell engager currently being clinically evaluated in the RAINIER trail, part one of a Phase 1b/2 program initiated in August 2024 for the treatment of acute myelogenous leukemia (AML). Clinical candidate ALG.APV-527 targets 4-1BB (co-stimulatory receptor) and 5T4 (tumor antigen). The compound is designed to reactivate antigen-primed T-cells to specifically kill tumor cells and is currently being evaluated for the treatment of multiple solid tumor types.</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Preclinical candidates, APVO603 and APVO711, were also developed using our ADAPTIR™ modular protein technology platform. Our preclinical candidate APVO442 was developed using our ADAPTIR-FLEX™ modular protein technology platform.</w:t>
      </w:r>
    </w:p>
    <w:p>
      <w:pPr>
        <w:spacing w:after="0" w:line="16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Our ADAPTIR and ADAPTIR-FLEX platforms are designed to generate monospecific, bispecific, and multi-specific antibody candidates capable of enhancing the human immune system against cancer cells. ADAPTIR and ADAPTIR-FLEX are both modular platforms, which gives us the flexibility to potentially generate immunotherapeutic candidates with a variety of mechanisms of action. This flexibility in design allows us to generate novel therapeutic candidates that may provide effective strategies against difficult to treat, as well as advanced forms of cancer. We have successfully designed and constructed numerous investigational-stage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and ADAPTIR FLEX molecules over monoclonal antibodies allow for the development of immunotherapies that are designed to engage immune effector cells and disease targets to produce signaling responses that modulate the immune system to kill tumor cells.</w:t>
      </w:r>
    </w:p>
    <w:p>
      <w:pPr>
        <w:spacing w:after="0" w:line="18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believe we are skilled at candidate generation, validation, and subsequent preclinical and clinical development using the ADAPTIR platform and the ADAPTIR-FLEX platform to generate bispecific and multi-specific candidates or other candidates to our platform capabilities. We have developed a preclinical candidate based on the ADAPTIR-FLEX platform which is advancing in our pipeline. We are developing our ADAPTIR and ADAPTIR-FLEX molecules using our protein engineering, preclinical development, process development, and clinical development capabilities.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APVO436 received its generic name, mipletamig (mih-ple'-tah-mig), and the lead candidate will be referred to by this name moving forward.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initiated mipletamig Phase 1b/2 dose optimization trial, "RAINIER," as part of its ongoing program to evaluate the compound in combination with standard of care for frontline patients with acute myeloid leukemia (AML).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16, 2024, the Company announced data from the Phase 1 ALG.APV-527 monotherapy trial showing 60% of evaluable patients achieved stable disease in solid tumor study.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2024 and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These expenses relate primarily to conducting non-clinical studies and clinical trials, fees to professional service providers for analytical testing, consulting costs,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include:</w:t>
      </w:r>
    </w:p>
    <w:p>
      <w:pPr>
        <w:spacing w:after="0" w:line="72" w:lineRule="exact"/>
        <w:rPr>
          <w:sz w:val="20"/>
          <w:szCs w:val="20"/>
          <w:color w:val="auto"/>
        </w:rPr>
      </w:pPr>
    </w:p>
    <w:p>
      <w:pPr>
        <w:ind w:left="1800" w:hanging="384"/>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salaries and related expenses, including stock-based compensation and benefits for our employees involved in our drug discovery and development activities;</w:t>
      </w:r>
    </w:p>
    <w:p>
      <w:pPr>
        <w:spacing w:after="0" w:line="53" w:lineRule="exact"/>
        <w:rPr>
          <w:rFonts w:ascii="Times New Roman" w:cs="Times New Roman" w:eastAsia="Times New Roman" w:hAnsi="Times New Roman"/>
          <w:sz w:val="18"/>
          <w:szCs w:val="18"/>
          <w:color w:val="auto"/>
        </w:rPr>
      </w:pPr>
    </w:p>
    <w:p>
      <w:pPr>
        <w:ind w:left="1800" w:hanging="384"/>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costs related to our clinical and pre-clinical programs;</w:t>
      </w:r>
    </w:p>
    <w:p>
      <w:pPr>
        <w:spacing w:after="0" w:line="117" w:lineRule="exact"/>
        <w:rPr>
          <w:rFonts w:ascii="Times New Roman" w:cs="Times New Roman" w:eastAsia="Times New Roman" w:hAnsi="Times New Roman"/>
          <w:sz w:val="18"/>
          <w:szCs w:val="18"/>
          <w:color w:val="auto"/>
        </w:rPr>
      </w:pPr>
    </w:p>
    <w:p>
      <w:pPr>
        <w:ind w:left="1800" w:hanging="384"/>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 incurred under agreements with third-party contract research organizations (CRO’s) and investigative sites;</w:t>
      </w:r>
    </w:p>
    <w:p>
      <w:pPr>
        <w:spacing w:after="0" w:line="53" w:lineRule="exact"/>
        <w:rPr>
          <w:rFonts w:ascii="Times New Roman" w:cs="Times New Roman" w:eastAsia="Times New Roman" w:hAnsi="Times New Roman"/>
          <w:sz w:val="18"/>
          <w:szCs w:val="18"/>
          <w:color w:val="auto"/>
        </w:rPr>
      </w:pPr>
    </w:p>
    <w:p>
      <w:pPr>
        <w:ind w:left="1800" w:hanging="384"/>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material expense for third-party manufacturing; and</w:t>
      </w:r>
    </w:p>
    <w:p>
      <w:pPr>
        <w:spacing w:after="0" w:line="117" w:lineRule="exact"/>
        <w:rPr>
          <w:rFonts w:ascii="Times New Roman" w:cs="Times New Roman" w:eastAsia="Times New Roman" w:hAnsi="Times New Roman"/>
          <w:sz w:val="18"/>
          <w:szCs w:val="18"/>
          <w:color w:val="auto"/>
        </w:rPr>
      </w:pPr>
    </w:p>
    <w:p>
      <w:pPr>
        <w:ind w:left="1800" w:hanging="384"/>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costs such as rent, utilities and depreciation.</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site initiation, patient enrollment and clinical trial site monitoring, and key non-clinical activities. While a number of our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by program for the three and nine months ended September 30, 2024 and 2023 are shown in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382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69"/>
        </w:trPr>
        <w:tc>
          <w:tcPr>
            <w:tcW w:w="57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Mipletamig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ALG.APV-527</w:t>
            </w:r>
          </w:p>
        </w:tc>
        <w:tc>
          <w:tcPr>
            <w:tcW w:w="3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Preclinical program, general research and discovery</w:t>
            </w: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3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382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69"/>
        </w:trPr>
        <w:tc>
          <w:tcPr>
            <w:tcW w:w="57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Mipletamig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ALG.APV-527</w:t>
            </w:r>
          </w:p>
        </w:tc>
        <w:tc>
          <w:tcPr>
            <w:tcW w:w="3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Preclinical program, general research and discovery</w:t>
            </w: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3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-1242060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-1224915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-1242060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-1224915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-25400</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-8255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$0.8 million, from $3.9 million for the three months ended September 30, 2023 to $3.1 million for the three months ended September 30, 2024. Research and development expenses decreased by $3.0 million, from $13.5 million for the nine months ended September 30, 2023 to $10.5 million for the nine months ended September 30, 2024. The decrease was primarily due to lower spending on mipletamig clinical trial as we concluded the Phase 1b dose expansion study while preparing to initiate a Phase 1b/2 dose optimization study and lower spending on preclinical projects and employee costs.</w:t>
      </w:r>
    </w:p>
    <w:p>
      <w:pPr>
        <w:sectPr>
          <w:pgSz w:w="11900" w:h="16838" w:orient="portrait"/>
          <w:cols w:equalWidth="0" w:num="1">
            <w:col w:w="11240"/>
          </w:cols>
          <w:pgMar w:left="320" w:top="98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$0.6 million, from $2.7 million for the three months ended September 30, 2023 to $2.1 million for the three months ended September 30, 2024. General and administrative expenses decreased by $1.3 million, from $9.0 million for the nine months ended September 30, 2023 to $7.7 million for the nine months ended September 30, 2024. The decrease is primarily due to lower employee and consulting costs.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from our cash equivalents and interest expense related to debt financing, which was paid off in Q1 2023.</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$0.1 million and $0.4 million for the three and nine months ended September 30, 2024, respectively. Other income, net was $0.2 million and $0.4 million for the three and nine months ended September 30, 2023, respectively. The change in other income, net is primarily due to the decrease in interest income from our money market accounts.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Gain Related to Sale of Nonfinancial Asset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recorded $9.7 million in other income for the nine months ended September 30, 2023, due to the sale of the deferred payments and milestones to XOMA during the quarter (see Note 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did not record income from discontinued operations for the nine months ended September 30, 2024. For the nine months ended September 30, 2023, we recorded $0.9 million of contingent gain consideration from previous discontinued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in conformity with accounting principles generally accepted in the United States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 for discussion of our accounting policies, significant judgments, and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2024 and 2023</w:t>
      </w:r>
      <w:r>
        <w:rPr>
          <w:rFonts w:ascii="Times New Roman" w:cs="Times New Roman" w:eastAsia="Times New Roman" w:hAnsi="Times New Roman"/>
          <w:sz w:val="18"/>
          <w:szCs w:val="18"/>
          <w:color w:val="231F20"/>
        </w:rPr>
        <w:t>:</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69"/>
        </w:trPr>
        <w:tc>
          <w:tcPr>
            <w:tcW w:w="67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(18,026 )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(6,477 )</w:t>
            </w:r>
          </w:p>
        </w:tc>
        <w:tc>
          <w:tcPr>
            <w:tcW w:w="0" w:type="dxa"/>
            <w:vAlign w:val="bottom"/>
          </w:tcPr>
          <w:p>
            <w:pPr>
              <w:spacing w:after="0"/>
              <w:rPr>
                <w:sz w:val="1"/>
                <w:szCs w:val="1"/>
                <w:color w:val="auto"/>
              </w:rPr>
            </w:pPr>
          </w:p>
        </w:tc>
      </w:tr>
      <w:tr>
        <w:trPr>
          <w:trHeight w:val="247"/>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(9,151 )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(3,525 )</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$18.0 million for the nine months ended September 30, 2024 was primarily due to our net loss of $17.8 million for the period and changes in working capital accounts. Net cash used in operating activities of $6.5 million for the nine months ended September 30, 2023 was primarily due to our net loss of $11.5 million for the period and changes in working capital accounts.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of $8.9 million was primarily due to the issuance of common stock. Net cash provided by financing activities of $3.0 million for the nine months ended September 30, 2023 was</w:t>
      </w:r>
    </w:p>
    <w:p>
      <w:pPr>
        <w:sectPr>
          <w:pgSz w:w="11900" w:h="16838" w:orient="portrait"/>
          <w:cols w:equalWidth="0" w:num="1">
            <w:col w:w="11240"/>
          </w:cols>
          <w:pgMar w:left="320" w:top="98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primarily due to $6.4 million proceeds received from issuance of common stock and pre-funded warrants. This was offset by $3.5 million of repayments of the MidCap term loan, which included the remaining outstanding principal balance and loan prepayment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IXINITY Milestone Payments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February 28, 2020, Aptevo entered into an LLC Purchase Agreement with Medexus, pursuant to which we sold all of the issued and outstanding limited liability company interests of Aptevo BioTherapeutics LLC, a wholly owned subsidiary of Aptevo. On March 29, 2023, we entered into and closed a Purchase Agreement with XOMA pursuant to which we sold to XOMA our right, title, and interest to all future deferred payments from Medexus and a portion of potential milestones. As consideration, we received $9.6 million at closing from XOMA and an additional $0.05 million post-closing payment. Aptevo continues to be eligible to receive up to $5.8 million in milestone payments from Medexus upon achievement of certain regulatory and IXINITY net sales threshold. For the nine months ended September 30, 2023, Aptevo received $0.5 million in deferred payments from Medexus related to IXINITY sales for the fourth quarter of 2022.</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Series A and Series B Common Warrants - August 2023</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4, 2023, in connection with the completion of a public offering, we issued Series A common warrants to purchase up to an aggregate of 183,281 shares of common stock and Series B common warrants to purchase up to an aggregate of 183,281 shares of common stock. The Series A and Series B common warrants are exercisable immediately following the date of issuance and will expire on August 4, 2028 and February 4, 2025, respectively. As of September 30, 2024, we have 1,316 Series A and 1,316 Series B common warrants outstanding from our August 2023 public offering with an exercise price of $27.28 per share and 41,239 Series A common warrants outstanding with an amended exercise price of $0.515 per share as part of the July Registered Direct Offering. If the remaining August 2023 warrants are exercised at their current exercise price, we will receive up to an additional $0.1 million in gross proceeds.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Series A and Series B Common Warrants – November 2023</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November 9, 2023, we entered into an Inducement Agreement with certain holders of our Series A and Series B common warrants issued in connection with our August 2023 public offering to exercise for cash 140,726 Series A and 181,965 Series B common warrants at a reduced exercise price of $10.25. We received $3.3 million in gross proceeds from the exercise of these warrants and issued an aggregate of 645,382 new Series A and new Series B warrants. As of September 30, 2024, we have 17,524 Series A and 17,524 Series B common warrants outstanding from our November 2023 warrant inducement with an exercise price of $10.25 per share, 82,478 Series A and 164,956 Series B common warrants with an amended exercise price of $0.515 per share as part of the July Registered Direct Offering and 181,450 Series A and 181,450 Series B common warrants with an amended exercise price of $0.33 per share as part of the September Registered Direct Offering. If the warrants are exercised at their current exercise price, we will receive up to an additional $0.6 million in gross proceeds.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Warrants - April 2024</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April 10, 2024, we completed a public offering related to the issuance and sale of 3,400,000 shares of our common stock (or pre-funded warrants in lieu thereof) at a purchase price of $1.35 per share. We received $4.6 million in gross proceeds from the issuance of these shares. Our net proceeds from the offering amounted to $4.0 million after placement agent and other fees. Additionally, we issued common warrants to purchase up to an aggregate of 6,800,000 shares of common stock. The common warrants are exercisable immediately following the date of issuance and will expire in April 2029. As of September 30, 2024, we have 133,332 common warrants outstanding from our April public offering with an exercise price of $1.35 per share, 2,222,222 common warrants outstanding with an amended exercise price of $0.515 per share as part of the July Registered Direct Offering and 4,444,446 common warrants outstanding with an amended exercise price of $0.33 per share as part of the September Registered Direct Offering. If the warrants are exercised at their current exercise price, we will receive up to an additional $2.8 million in proceeds.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Warrants - July 2024</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1, 2024, we completed the July Registered Direct Offering related to the issuance and sale of 5,339,806 shares of our common stock (or pre-funded warrants in lieu thereof) at a purchase price of $0.515 per share. We received $2.7 million in gross proceeds from the issuance of these shares. Our net proceeds from the offering amounted to $2.3 million after placement agent and other fees. Additionally, we issued common warrants to purchase up to an aggregate of 10,679,612 shares of common stock. The common warrants have an exercise price of $0.515 per share, are exercisable immediately following stockholder approval on August 6, 2024, and will expire in August 2029. The July Registered Direct Offering also amended 7,318,241 existing common warrants to lower the exercise price to $0.515 per share. The amended warrants became exercisable immediately following stockholder approval on August 6, 2024. As of September 30, 2024, we have 3,664,184 common warrants outstanding from the July Registered Direct Offering with an exercise price of $0.515 per share and 7,015,428 common warrants outstanding with an amended exercise price of $0.33 per share as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 of the September Registered Direct Offering. If the warrants are exercised at their current exercise price, we will receive up to an additional $4.2 million in proceeds.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Warrants - September 2024</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September 16, 2024, we completed a public offering related to the issuance and sale of 9,090,910 shares of our common stock (or pre-funded warrants in lieu thereof) at a purchase price of $0.33 per share. We received $3.0 million in gross proceeds from the issuance of these shares. Our net proceeds from the offering amounted to $2.5 million after placement agent and other fees. Additionally, we issued common warrants to purchase up to an aggregate of 18,181,820 shares of common stock. The common warrants have an exercise price of $0.33 per share, are exercisable immediately following stockholder approval on October 25, 2024, and will expire in October 2029. The September Registered Direct Offering also amended 11,822,774 existing common warrants to lower the exercise price to $0.33 per share. The amended warrants became exercisable immediately following stockholder approval on October 25, 2024. As of September 30, 2024, we have 18,181,820 common warrants as part of the September Registered Direct Offering. If the warrants are exercised at their current exercise price, we will receive up to an additional $6.0 million in proceeds.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financed our operations to date primarily through royalty and purchase agreements with various partners, sale of business products and segments, public offerings of our common stock, loan proceeds, milestone payments, research and development funding from strategic partners, revenue generated from our previously owned commercial products, and funds received at the date of our spin-off from Emergent. We had cash and cash equivalents of $7.8 million and an accumulated deficit of $241.3 million as of September 30, 2024.</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nine months ended September 30, 2024, net cash used in our operating activities was $18.0 million.</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future success is dependent on our ability to develop our product candidates.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delays in opportunities to partner our product candidates, due to financial and other impacts on potential partners. Additionally, we may experience potential impacts on our future milestones from Medexus due to effects of macroeconomic impacts, including, but not limited to, bank failure, and the rising and fluctuating inflation, which may impact Medexus’ ability to continue to successfully commercialize the IXINITY businesses.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54" w:lineRule="exact"/>
        <w:rPr>
          <w:sz w:val="20"/>
          <w:szCs w:val="20"/>
          <w:color w:val="auto"/>
        </w:rPr>
      </w:pPr>
    </w:p>
    <w:p>
      <w:pPr>
        <w:jc w:val="both"/>
        <w:ind w:left="1260" w:hanging="368"/>
        <w:spacing w:after="0" w:line="266"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when needed or on acceptable terms;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profitability given our historical losses;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key personnel;</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completing our clinical trials, and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clearance to commence clinical trials for product candidates;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conditions, including rising and fluctuating inflation, interest rates and supply chain constraints;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our ADAPTIR or ADAPTIR-FLEX platforms;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ind w:left="1260" w:hanging="36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w:t>
      </w:r>
    </w:p>
    <w:p>
      <w:pPr>
        <w:spacing w:after="0" w:line="117"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of conducting preclinical and clinical trials, including whether clinical trial results will be consistent with the past data;</w:t>
      </w:r>
    </w:p>
    <w:p>
      <w:pPr>
        <w:spacing w:after="0" w:line="53"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effectively conduct our clinical and non-clinical trials, and to effectively carry out their contractual duties, comply with regulatory requirements or meet expected deadlines;</w:t>
      </w:r>
    </w:p>
    <w:p>
      <w:pPr>
        <w:spacing w:after="0" w:line="53"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product candidates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any milestone payments from Medexus with respect to IXINITY; and</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are unable to raise substantial additional capital in the next year, whether on terms that are acceptable to us or at all, then we may be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260" w:hanging="368"/>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clinical trials or other development activities for one or more of our product candidates; and/or,</w:t>
      </w:r>
    </w:p>
    <w:p>
      <w:pPr>
        <w:spacing w:after="0" w:line="117"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establishment of other activities that may be necessary to commercialize our product candidates, if approved.</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macroeconomic factors, we may experience delays in clinical trials and non-clinical work, and opportunities to partner our product candidates, due to financial and other impacts on potential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This lease was amended in March 2019 to extend the term of the amended lease through April 2030 and provided two options to extend the lease term, each by five years, as well as a one-time option to terminate the lease in April 2023, with nine months’ notice, or by July 2022. On May 26, 2022, we further amended our office and laboratory lease to remove the one-time termination option in April 2023. In exchange for removing the termination option, we received six months of free rent. As a result, we recorded an additional $4.4 million of lease liability and right-of-use asset on the consolidated balance sheet in May 2022.</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 non-exclusive Commercial Platform License Agreement with OMT ("OMT License Agreement") for certain transgenic rodents of OMT's OmniAb platform. Our OMT License Agreement obligates us to make milestone and royalty payments upon achievement of certain regulatory approvals and commercialization of our product candidates. Mipletamig and APVO603 are the product candidates currently subject to this agreement. Pursuant to our agreement, we are required to make a $2.0 million milestone payment upon dosing the first patient in a Phase 2 clinical trial of mipletamig.</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no material changes to the information provided under Item 7A, Quantitative and Qualitative Disclosures About Market Risk in our Annual Report on Form 10-K for the year ended December 31, 2023 filed on March 5,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2024,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September 30, 2024,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September 30, 2024, that have materially affected, or are reasonably likely to materially affect, our internal control over financial reporting.</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Quarterly Report on Form 10-Q in evaluating us and our common stock.</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material risks to our business, operations, and ownership of our common stock:</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be profitable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and may be unable to raise capital when needed or on acceptable terms.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dependent on our continued ability to attract, motivate and retain key personnel, and any failure to attract or retain key personnel may negatively affect our business.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depends, in part, upon our ability to develop, receive regulatory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establishing and maintaining collaborations that leverage our capabilities in pursuit of developing and commercializing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and will continue to face substantial competition and our failure to effectively compete may prevent us from achieving significant market penetration for our product candidates, if approved.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macroeconomic conditions, including rising and fluctuating inflation, interest rates, market volatility, economic uncertainty, impact from the results of the United States presidential election and congressional elections, bank failure, and supply chain constraints.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and further develop our ADAPTIR or ADAPTIR-FLEX platforms.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proprietary rights, our business could be harmed.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activist stockholders against us have been and could be disruptive and costly and may cause uncertainty about the strategic direction of our business.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and may continue to be volatile.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periodic litigation, which could result in losses or unexpected expenditure of time and resources.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income will depend, in part, on the ability of Medexus to successfully further develop, market and commercialize IXINITY, resulting in milestone payments to the Company by Medexus.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profitable in the future.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experienced significant operating losses in the past and may not be profitable in the future. For the nine months ended September 30, 2024, we had net loss of $17.8 million compared to $11.5 million net loss for the same period in 2023. As of September 30, 2024, we had an accumulated deficit of $241.3 million. We expect to continue to incur annual net operating losses for the foreseeable future, and will require substantial resources over the next several years as we expand our efforts to discover, develop and commercialize immunotherapeutic candidates. Our future success and ability to attain profitability will depend upon our ability to develop and commercialize our product candidates.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and board of directors have concluded that a substantial doubt is deemed to exist concerning our ability to continue as a going concern</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Accounting Standards Update, or ASU 2014-15, requires management to assess our ability to continue as a going concern for one year after the date the financial statements are issued. As further discussed in Note 1, Nature of Business and Significant Accounting Policies to our condensed consolidated financial statements in this Form 10-Q, substantial doubt is deemed to exist about the company’s ability to continue as a going concern through August 2025. Our financial statements do not include any adjustment relating to the recoverability and classification of recorded asset amounts or the amounts and classification of liabilities that might be necessary should we be unable to continue as a going concern. Our ability to continue as a going concern will require us to generate positive cash flow from operations, obtain additional financing, enter into strategic alliances and/or sell assets in addition to our existing cash and cash equivalents and the funding provided by our Purchase Agreement with XOMA, potential future milestone payments from Medexus under our LLC Purchase Agreement and exercise of warrants. The reaction of investors to the inclusion of a going concern statement in this report on Form 10-Q, our current lack of cash resources and our potential inability to continue as a going concern may materially adversely affect our share price and our ability to raise new capital and enter into strategic alliances. If we become unable to continue as a going concern, we may have to liquidate our assets and the values we receive for our assets in liquidation or dissolution could be significantly lower than the values reflected in our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and may be unable to raise capital when needed or on acceptable terms.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2024, we had cash and cash equivalents in the amount of $7.8 million. We will require additional funding to continue our business including to support the ongoing clinical development of mipletamig (formerly APVO436) and ALG.APV-527, develop additional products, support commercial marketing activities or otherwise provide additional financial flexibility. If we are not able to secure adequate additional funding, we may need to make reductions in spending. This may include extending payment terms with suppliers, liquidating assets, and suspending or curtailing planned programs. We may also have to delay, reduce the scope of, suspend or eliminate one or more research and development programs. We may also be forced to grant rights to develop and market our product candidates that we would otherwise prefer to develop or market ourselves or we may be unable to take advantage of future business opportunities. A failure to raise the additional funding or to effectively implement cost reductions would harm our business, results of operations and future prospects. Our future capital requirements will depend on many factors, including:</w:t>
      </w:r>
    </w:p>
    <w:p>
      <w:pPr>
        <w:spacing w:after="0" w:line="8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attract, motivate and retain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timing and receipt of any milestone payments under our agreements with Medexus with respect to the sales of IXINITY;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invest in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the payment obligations and covenants under any future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partnerships and/or collaborations that generate additional cash;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improvements to our facilities;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costs, timing, and other requirements to initiate and complete our Phase 1b/2 clinical trial for mipletamig and Phase 1 clinical trial of ALG.APV-527, as well as future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applications, obtaining, maintaining, enforcing and protecting our intellectual property rights and defending intellectual property-related claims;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the impact of inflation, cost of capital and the impact from the results of the United States presidential election and congressional elections.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changing circumstances, some of which may be beyond our control, such as macroeconomic conditions, could cause us to consume capital significantly faster than we currently anticipate, and we may need to seek additional funds sooner than planned.</w:t>
      </w:r>
    </w:p>
    <w:p>
      <w:pPr>
        <w:spacing w:after="0" w:line="54"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cannot guarantee that future financing will be available in sufficient amounts, or on commercially reasonable terms, or at all. If our capital resources are insufficient to meet our future capital requirements, we will need to finance our cash needs through bank loans, public or private equity or debt offerings, collaboration and licensing arrangements, or other strategic transactions. Our ability to raise future capital on acceptable terms or at all will be impacted by the macroeconomic environment, including rising and fluctuating interest rates, economic uncertainty and volatility in the capital market, geopolitical tensions and political events, including the impact from the results of the United States presidential election and congressional elections, the ongoing war between Ukraine and Russia and the rising conflict in the Middle East, reoccurrences of COVID-19 or other pandemics, or other future widespread public health epidemics, or other factors that could also adversely impact our ability to access capital as and when needed or increase our costs in order to raise capital. Current capital market conditions, including the impact of inflation, have increased borrowing rates and can be expected to significantly increase our cost of capital as compared to prior periods. On August 4, 2023, we completed a public offering related to the issuance and sale of 183,281 shares of common stock (or pre-funded warrant in lieu thereof, all of which have since been exercised) and received net proceeds of $4.3 million. On November 9, 2023, we entered into the Inducement Agreement to exercise for cash 322,691 existing common warrants issued on August 4, 2023, and issue 645,382 new warrants, for which we received net proceeds of $3.0 million. On April 10, 2024, we completed a public offering related to the issuance and sale of 3,400,000 shares of our common stock (or pre-funded warrant in lieu thereof, all of which have since been exercised) and received $4.0 million in net proceeds. On July 1, 2024, we completed the July Registered Direct Offering related to the issuance and sale of 5,339,806 shares of our common stock (or pre-funded warrant in lieu thereof, all of which have since been exercised) and received $2.3 million in net proceeds. On September 18, 2024, we completed the September Registered Direct Offering related to the issuance and sale of 9,090,910 shares of our common stock (or pre-funded warrant in lieu thereof, of which 1,461,548 remain outstanding) and received $2.5 million in net proceeds. Future issuances of common stock may include, but not be limited to, (i) the issuance of the remaining outstanding shares of common stock upon the exercise of warrants issued in connection with our August and November 2023 and April, July and September 2024 offerings of common stock and warrants that would result in gross proceeds of $13.7 million, and (ii) the issuance of common stock in a firm commitment offering or private placement. Public or bank debt financing, if available, may involve agreements that include covenants limiting or restricting our ability to take specific actions, such as incurring additional debt, making capital expenditures, pursuing acquisition opportunities, declaring dividends and limiting or restricting our ability to acquire, sell or license intellectual property rights and other operating restrictions that could adversely impact our ability to conduct our business.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 If financing is unavailable or lost, our business, results of operations, financial condition and financial prospects would be adversely affected and we could be forced to delay, reduce the scope of or eliminate many of our planned activities.</w:t>
      </w:r>
    </w:p>
    <w:p>
      <w:pPr>
        <w:spacing w:after="0" w:line="9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Shelf Registration Statement on Form S-3 expired on December 18, 2023. SEC regulations limit the amount of funds we can raise during any 12-month period pursuant to a shelf registration statement on Form S-3. Prior to expiration of our Shelf Registration Statement, on March 29, 2022, we filed an amendment to the prospectus related to the Shelf Registration Statement on Form S-3 filed on December 14, 2020 pursuant to General Instruction I.B.6 of Form S-3 (General Instruction I.B.6), which updated the amount of registered shares that we were eligible to sell. So long as the aggregate market value of our common stock held by non-affiliates was less than $75 million, we would not be permitted to sell any registered shares under such Shelf Registration Statement on Form S-3 with a value of more than one-third of the aggregate market value of our common stock held by non-affiliates in any 12-month period due to the limitations of General Instruction I.B.6 of Form S-3 and the then-current public float of our common stock. If we are required to file a new registration statement on another form, we may incur additional costs and be subject to delays in raising capital due to review by SEC staff.</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and fluctuating inflation, interest rates, market volatility, economic uncertainty, and supply chain constraints.</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Various macroeconomic factors have in the past and could adversely affect in the future our business and the results of our operations and financial condition, including changes in inflation, interest rates and overall economic conditions and uncertainties such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as those resulting from the current and future conditions in the global financial markets. For instance, inflation has negatively impacted the Company by increasing our labor costs, through higher wages and higher interest rates, and operating costs.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on favorable terms, or at all, in order to fund our operations.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susceptible to changes in the U.S. economy. The U.S. economy has been affected from time to time by economic downturns or recessions, supply chain constraints, rising and fluctuating inflation and interest rates, restricted credit, poor liquidity, reduced corporate profitability, volatility in credit, equity and foreign exchange markets, bankruptcies and overall uncertainty with respect to the economy.</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any further deterioration in the U.S. economy would likely affect the operation of our business and ability to raise capital. In addition, U.S. debt ceiling and budget deficit concerns have increased the possibility of additional credit-rating downgrades and economic slowdowns, or a recession in the United States. Although U.S. lawmakers passed legislation to raise the federal debt ceiling on multiple occasions,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Similarly, these macroeconomic factors could affect the ability of our third-party suppliers and manufacturers to manufacture clinical trial materials for our product candidates.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against us have been and could be disruptive and costly and may cause uncertainty about the strategic direction of our business.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Stockholders have in the past and may, from time to time, engage in proxy solicitations or advance stockholder proposals, or otherwise attempt to effect changes and assert influence on our Board and management. Activist campaigns that contest or conflict with our strategic direction or seek changes in the composition of our Board or management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and management, diverting their attention from the pursuit of our business strategy. Any perceived uncertainties as to our future direction and control, our ability to execute on our strategy, or changes to the composition of our Board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with a specific agenda, it may adversely affect our ability to effectively implement our business strategy and create value for our stockholders. We may choose to initiate, or may become subject to, litigation as a result of a proxy contest or matters arising from the proxy contest, which would serve as a further distraction to our Board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income will depend, in part, on the ability of Medexus to successfully further develop, market and commercialize IXINITY, resulting in milestone payments to the Company by Medexus.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February 28, 2020, we entered into a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were earned at the rate of 2% of net revenue through June 2022. As of June 30, 2022, the royalty rate on net revenue of IXINITY increased to 5%. On March 29, 2023, we entered into and closed a Purchase Agreement with XOMA pursuant to which we sold to XOMA our right, title, and interest to all future deferred payments from Medexus and a portion of potential milestones. As consideration, we received $9.6 million at closing from XOMA and an additional $0.05 million post-closing payment. We accounted for the $9.6 million Closing Payment and the $0.05 million post-closing payment from XOMA as other income in accordance with ASC 610-20 </w:t>
      </w:r>
      <w:r>
        <w:rPr>
          <w:rFonts w:ascii="Times New Roman" w:cs="Times New Roman" w:eastAsia="Times New Roman" w:hAnsi="Times New Roman"/>
          <w:sz w:val="18"/>
          <w:szCs w:val="18"/>
          <w:i w:val="1"/>
          <w:iCs w:val="1"/>
          <w:color w:val="auto"/>
        </w:rPr>
        <w:t>Other Income - Gains and Losses from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Derecognition of Nonfinancial Assets </w:t>
      </w:r>
      <w:r>
        <w:rPr>
          <w:rFonts w:ascii="Times New Roman" w:cs="Times New Roman" w:eastAsia="Times New Roman" w:hAnsi="Times New Roman"/>
          <w:sz w:val="18"/>
          <w:szCs w:val="18"/>
          <w:color w:val="auto"/>
        </w:rPr>
        <w:t>in the first quarter of 2023.</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Medexus’ ability to continue to successfully commercialize the IXINITY business may be affected, and we may experience potential impacts on our future milestone payments from Medexus due to the macroeconomic and geopolitical environment. The failure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t>of Medexus to successfully market and commercialize IXINITY, including because of factors outside of Medexus’ control, could result in lower than expected milestone payments to us and negatively impact our future financial and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as a result of a variety of factors, including:</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any milestone payments with respect to sales of IXINITY by Medexus;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research and development and clinical activities as well as expenditures we may incur to acquire or develop additional technologies, products and product candidates.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Due to the macroeconomic and geopolitical environment, we may experience delays in opportunities to partner our product candidates, due to financial and other impacts on potential partners. Additionally, we may experience potential impacts on our future milestone payments from Medexus, which may impact Medexus’ ability to continue to successfully commercialize the IXINITY businesses. These and other factors may have a material adverse effect on our business, results of operations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cannot successfully defend ourselves against future claims that our product candidates caused injuries, we may incur substantial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merit or eventual outcome, product liability claims may result in:</w:t>
      </w:r>
    </w:p>
    <w:p>
      <w:pPr>
        <w:spacing w:after="0" w:line="99"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and/or 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or withdrawal of an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products that we may develop.</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Operating Officer, Jeffrey G. Lamothe, our Chief Financial Officer, Daphne Taylor, our General Counsel, SoYoung Kwon,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82"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completed a Section 382 study and have concluded that we experienced an "ownership change" as defined in Section 382 of the U.S. Internal Revenue Code of 1986, as amended (the "Code"), and thus the tax benefits of our pre-"ownership change" net operating loss carryforwards and certain other tax attributes will be subject to an annual limitation under Sections 382 and 383 of the Code.</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stock owned by the 5% stockholders at any time during the applicable testing period, which is generally the rolling three-year period preceding the date of the potential ownership change testing event. Such potential ownership change testing events include changes involving a stockholder becoming a 5% stockholder or arising from a new issuance of capital stock or share repurchases by the corporation, subject to certain exceptions.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June 2024 is 3.44%).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Sections 382 and 383 of the Code in the taxable year that such built-in gains are recognized or deemed recognized (but only up to the amount of the net unrealized built-in gain), while certain built-in losses recognized during such five-year period are subject to the annual limitation under Section 382 of the Code (but only up to the amount of the net unrealized built-in loss).</w:t>
      </w:r>
    </w:p>
    <w:p>
      <w:pPr>
        <w:spacing w:after="0" w:line="79" w:lineRule="exact"/>
        <w:rPr>
          <w:sz w:val="20"/>
          <w:szCs w:val="20"/>
          <w:color w:val="auto"/>
        </w:rPr>
      </w:pPr>
    </w:p>
    <w:p>
      <w:pPr>
        <w:jc w:val="both"/>
        <w:ind w:firstLine="530"/>
        <w:spacing w:after="0" w:line="258" w:lineRule="auto"/>
        <w:rPr>
          <w:sz w:val="20"/>
          <w:szCs w:val="20"/>
          <w:color w:val="auto"/>
        </w:rPr>
      </w:pPr>
      <w:r>
        <w:rPr>
          <w:rFonts w:ascii="Times New Roman" w:cs="Times New Roman" w:eastAsia="Times New Roman" w:hAnsi="Times New Roman"/>
          <w:sz w:val="18"/>
          <w:szCs w:val="18"/>
          <w:color w:val="auto"/>
        </w:rPr>
        <w:t>As of December 31, 2023, we had approximately $168.2 million and $70.5 million of federal and state net operating loss carryforwards, respectively, available to reduce future taxable income that will begin to expire in 2037 for federal income tax purposes. We completed an IRC Section 382 study through December 31, 2023. The study concluded that we have experienced an ownership change in November of 2020 and December of 2020 and $162.6 million of our net operating loss ("NOL") carry forwards are subject to an annual limitation. It is not expected that the annual limitations will result in the expiration of NOL carryforwards prior to utilization assuming sufficient income.</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change to the deductibility of our research and development expenditures enacted under the Tax Cuts and Jobs Act ("TCJA") could increase the amount of taxes to which we are subject and our effective tax rate.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Beginning in 2022, the TCJA eliminates the option to deduct research and development expenditures currently and requires taxpayers to capitalize and amortize these expenditures over five or fifteen years depending on the type of research and development expenditure pursuant to Section 174 of the Code. Such change to the deductibility of our research and development expenditures could increase the amount of taxes to which we are subject and our effective tax rate.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investments are subject to market and credit risks that could diminish their value and these risks could be greater during periods of extreme volatility or disruption in the financial and credit markets, which could adversely impact our business, financial condition, results of operations, liquidity and cash flows.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investments are subject to risks of credit defaults and changes in market values. Periods of macroeconomic weakness or recession, heightened volatility or disruption in the financial and credit markets, such as the current macroeconomic environment, increase these risks, potentially resulting in other-than-temporary impairment of assets in our investment portfolio. The impact of geopolitical tension or political events, such as the impact from the United States presidential election and congressional elections, a deterioration in the bilateral relationship between the US and China, the rising conflict in the Middle East, or Russia’s invasion of Ukraine, including any additional sanctions, export controls or other restrictive actions that may be imposed by the United States and/or other countries against governmental or other entities in, for example, Russia, also could lead to disruption, instability and volatility in the global markets, which may have an impact on our investments across negatively impacted sectors or geographies. Severe global economic and societal disruptions and uncertainties, such as reoccurrences of COVID-19 or other pandemics, or other future widespread public health epidemics may cause disruptions that could severely impact our business, such as delays or difficulties to the financing environment and raising capital due to economic uncertainty or volatility.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Development Risks</w:t>
      </w:r>
    </w:p>
    <w:p>
      <w:pPr>
        <w:spacing w:after="0" w:line="13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current and planned preclinical studies and clinical trials may not satisfy the requirements of the FDA or non-U.S. regulatory authorities. Results from early preclinical studies and clinical trials may not be predictive of results from later-stage or other trials and interim or top line data may be subject to change or qualification based on the complete analysis of data.</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completed our Phase 1b dose expansion clinical trial with mipletamig in 2023 and initiated a dose optimization Phase 1b/2 study in August of 2024 to assess safety and efficacy of mipletamig and to determine an optimal dose in front line patients. Additionally, we initiated a first-in-human Phase 1 clinical study of ALG.APV-527 in the first quarter of 2023 and we are currently enrolling new patients. None of our other product candidates have entered clinical development. Clinical failure can occur at any stage of preclinical or clinical development. Preclinical studies and clinical trials may produce inconsistent, negative or inconclusive results. The FDA or a non-US regulatory authority may require us to conduct additional clinical or preclinical testing. Success in early preliminary data, preclinical studies and clinical trials does not mean that future larger registration clinical trials will be successful and interim results of a clinical trial do not necessarily predict final results. Product candidates in later-stage clinical trials may fail to demonstrate sufficient safety and efficacy to the satisfaction of the FDA and non-U.S. regulatory authorities despite having progressed through initial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adherence to the dosing regimen and other clinical trial protocols and the rate of 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Any of these events could limit the commercial potential of our product candidates and have a material adverse effect on our business, prospects, financial condition and results of operations.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our mipletamig clinical trial is an open-label study and is conducted at a limited number of clinical sites on a limited number of patients. An "open-label" clinical trial is one where both the patient and investigator know whether the patient is receiving the investigational product candidate or an existing approved drug. Most typically, open-label clinical trials test only the investigational product candidate and sometimes may do so at different dose levels or in combination with other drugs.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18"/>
          <w:szCs w:val="18"/>
          <w:color w:val="auto"/>
        </w:rPr>
        <w:t>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these clinical trials may not be predictive of future clinical trial results with mipletamig or other product candidates. In addition, although the FDA issued a "may proceed" notification which allowed us and Alligator to initiate our Phase 1 clinical trial of ALG.APV-527, and the interim data from the dose escalation phase are positive, we cannot guarantee that this trial or future trials of ALG.APV-527 will show the desired safety and efficacy.</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Even in situations where a clinical stage candidate appears to be benefiting a patient that benefit may not be of a permanent nature.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contract research organizations ("CROs");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require us to perform additional or unanticipated clinical trials to obtain approval or we may be subject to additional post-marketing testing, surveillance, or Risk Evaluation and Mitigation Strategy ("REMS") requirements to maintain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significance;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laws, regulations, or the regulatory review process during the development period rendering our data insufficient to obtain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or IRBs regarding the scope,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disagree with our intended indications;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Further, our product candidates may not be approved even if they achieve their primary endpoints in Phase 3 clinical trials or registration trials. Regardless of any advisory committee recommendation, the FDA may decline to approve the biologics license application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The regulatory authorities and policies governing the development of our product candidates may also change at any time.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investigational new drugs ("INDs"), or IND amendments to commence additional clinical trials on the timelines we expect, and even if we are able to, the FDA may not permit us to proceed.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submitted INDs and received approvals to proceed into clinical trials for multiple product candidates, including ALG.APV-527 and mipletamig, however, we may not be able to file future INDs for our product candidates on the timelines we expect. For example, we may experience manufacturing delays or other delays with IND-enabling studies. Moreover, we cannot be sure that submission of future INDs will result in the FDA allowing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mipletamig has received orphan drug designation for acute myelogenous leukemia and thus has a relatively small patient population. Also, the eligibility criteria of our clinical trials may further limit the pool of available study participants as we require that patients have specific characteristics that we can measure to assure their disease is either severe enough or not too advanced to include them in a study.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including the patient eligibility criteria for the study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conducting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preliminary results of any of our clinical trial sites;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could result in significant delays and could require us to abandon one or more clinical trials altogether. Site initiation and enrollment delays in our clinical trials may result in increased development costs for our product candidates, delays in the availability of preliminary or final results, and delays to commercially launching our product candidates, if approved, which may cause the value of our company to decline and limit our ability to obtain additional financing.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or other unexpected properties of any of our product candidates, either when used alone or in combination with other approved or investigational therapies, could cause us or regulatory authorities to interrupt, delay or halt our development activities and manufacturing and distribution operations and could result in a more restrictive label, the imposition of a clinical hold, suspension,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the FDA or comparable foreign regulatory authorities could suspend or terminate a clinical trial or deny approval of our product candidates. Furthermore, we are currently and may in the future evaluate our product candidates in combination with approved and/or experimental therapies. These combinations may have additional or more severe side effects than caused by our product candidate as monotherapies. The uncertainty resulting from the use of our product candidate in combination with other therapies may make it difficult to accurately predict side effects or efficacy in potential future clinical trials. If our product candidates receive marketing approval and we or others later identify undesirable side effects caused by such products, a number of potentially significant negative consequences may result, including:</w:t>
      </w:r>
    </w:p>
    <w:p>
      <w:pPr>
        <w:spacing w:after="0" w:line="8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conduct additional clinical trials or abandon our research efforts for our other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impose distribution or use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one or more post-market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implementation of a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approval and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do not have the ability to independently conduct the clinical and preclinical trials required to obtain regulatory approval for our product candidates. We depend on third parties, such as independent clinical investigators, research sites, contract research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organizations, or CROs, and other third-party service providers to conduct the clinical and preclinical trials of our product candidates, and we expect to continue to do so. For example, Dr. Dirk Huebner, Chief Medical Officer, is providing clinical trial and medical affairs oversight duties as an independent consultant. We rely heavily on Dr. Huebner and these other third parties for successful execution and oversight of our clinical and non-clinical trials, but we do not exercise day to day control over their activities.</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circumstances out of our control,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 In addition, our clinical trials must be conducted with product produced under GMP and similar regulations outside of the United States. Our failure, or the failure of our product candidate manufacturers, to comply with these regulations may require us to repeat or redesign clinical trials, or conduct additional trials, which would increase our development costs and delay or impact the conduct of our preclinical studies, clinical trials, and the likelihood of regulatory approval.</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Manufacture of our product candidates, especially in large quantities, is complex and time consuming. The loss of any of our third-party manufacturers, or delays or problems in the manufacture of our product candidates, could result in product shortages and/or delays in clinical development.</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manufacturing capabilities and do not plan to develop such capacity in the foreseeable future. We depend on a limited number of third-party suppliers for the production of our product candidates. Accordingly, our ability to develop and deliver product candidates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these third-party manufacturers do not successfully carry out their contractual duties, meet expected deadlines or manufacture and/or store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In some cases, the technical skills required to manufacture our products or product candidates may be unique or proprietary to the original manufacturer and we may have difficulty, or there may be contractual restrictions prohibiting us from, transferring such skills to an alternate supplier in a timely fashion if at all. The addition of a new or alternative manufacturer may also require FDA approvals and may have a material adverse effect on our business.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jc w:val="both"/>
        <w:spacing w:after="0" w:line="256" w:lineRule="auto"/>
        <w:rPr>
          <w:sz w:val="20"/>
          <w:szCs w:val="20"/>
          <w:color w:val="auto"/>
        </w:rPr>
      </w:pPr>
      <w:r>
        <w:rPr>
          <w:rFonts w:ascii="Times New Roman" w:cs="Times New Roman" w:eastAsia="Times New Roman" w:hAnsi="Times New Roman"/>
          <w:sz w:val="18"/>
          <w:szCs w:val="18"/>
          <w:color w:val="auto"/>
        </w:rPr>
        <w:t>of the United States and maintain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mipletamig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Additionally, we may be unable to contract with alternative manufacturers on favorable or reasonable terms. Any new manufacturers would need to either obtain or develop the necessary manufacturing know-how, and obtain the necessary equipment and materials, which may take substantial time and investment.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any 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produce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must also receive FDA approval for the use of any new manufacturers for commercial supply.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cost-effective manner, and as a result, our development programs will be delayed, our financial performance will be adversely impacted and we will be unable to meet our long-term goals.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8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by the FDA for a product candidate that we develop, and we may be unsuccessful. If we are successful, the designation may not lead to a faster development or regulatory review or approval process, and it does not increase the likelihood that our product candidates will receive marketing approval.</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the product candidates we develop qualify as breakthrough therapies, the FDA may later decide that the drugs no longer meet the conditions for qualification and rescind the designation.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ADAPTIR and ADAPTIR-FLEX platform technologies as a designated platform technology, but we might not receive such designation, and even if we do, such designation may not lead to a faster development, regulatory review or approval process.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designation for our ADAPTIR and ADAPTIR-FLEX platform technologies as a designated platform technology. Under the FDORA, a platform technology incorporated within or utilized by a biologic is eligible for designation as a designated platform technology if (1) the platform technology is incorporated in, or utilized by, a product approved under a BLA; (2) preliminary evidence submitted by the sponsor of the approved or licensed product, or a sponsor that has been granted a right of reference to data submitted in the application for such product, demonstrates that the platform technology has the potential to be incorporated in, or utilized by, more than one product without an adverse effect on quality, manufacturing, or safety; and</w:t>
      </w:r>
    </w:p>
    <w:p>
      <w:pPr>
        <w:spacing w:after="0" w:line="3" w:lineRule="exact"/>
        <w:rPr>
          <w:sz w:val="20"/>
          <w:szCs w:val="20"/>
          <w:color w:val="auto"/>
        </w:rPr>
      </w:pPr>
    </w:p>
    <w:p>
      <w:pPr>
        <w:jc w:val="both"/>
        <w:ind w:firstLine="8"/>
        <w:spacing w:after="0" w:line="251"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product that incorporates or utilizes the platform technology that is the subject of the request. If so designated, the FDA may expedite the development and review of any subsequent original BLA for a product that uses or incorporates the platform technology. Even if we believe our platform technology meets the criteria for such designation, the FDA may disagree and instead determine not to grant such designation. In addition, the receipt of such designation for a platform technology does not ensure that a product will be developed more quickly or receive a faster FDA review process or ultimate FDA approval. Moreover, the FDA may revoke a designation if the FDA determines that a designated platform technology no longer meets the criteria for such designation.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conduct clinical trials for our product candidates outside the United States, and the FDA or non-U.S.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 may not accept data from such trials in the development or approval of our product candidates in those jurisdictions.</w:t>
      </w:r>
    </w:p>
    <w:p>
      <w:pPr>
        <w:spacing w:after="0" w:line="9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in the past and may in the future conduct clinical trials outside the U.S. and the FDA and foreign regulatory authorities may not accept those data in support of the further development or approval of our product candidates. The acceptance of trial data from clinical trials conducted outside the United States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such foreign trials will be subject to the applicable local laws of the foreign jurisdictions where the trials are conducted. There can be no assurance that the FDA or any applicable foreign regulatory authority will accept data from trials conducted outside of the United States. If the FDA or any applicable foreign regulatory authority does not accept such data, it would result in the need to conduct additional trials beyond those we have planned, which would be costly and time-consuming and delay aspects of our business plan, and which may result in our product candidates not receiving marketing approval for commercialization in the applicable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Commercialization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two clinical-stage candidates, mipletamig and ALG.APV-527, which were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unexpected or unacceptable adverse events or failure to demonstrate efficacy in clinical trials.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 post-marketing testing requirements, surveillance requirements, or REMS. To the extent any of the foregoing should occur, our business may be materially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further develop our ADAPTIR or ADAPTIR-FLEX platforms.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expand our product pipeline of immuno-oncology candidates based on our ADAPTIR and ADAPTIR-FLEX platform technologies. We plan to select and create product candidates for early development, potentially with other collaborative partners. We expect to continue to develop the platform to address unmet medical needs through directed immune stimulatory and/or blockades in oncology and other therapeutic areas. Our goal is to leverage our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and will continue to face substantial competition and our failure to effectively compete may prevent us from achieving significant market penetration for our product candidates, if approved.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or macroeconomic impacts more successfully, or more effectively negotiate third-party licensing and collaborative arrangements.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our most significant competitors in the oncology market include: AbbVie Inc., Affimed, ALX Oncology Holdings Inc., Amgen Inc., Arcellx, AstraZeneca, AvenCell Therapeutics, Inc., BioNTech, Bio-Path, Bristol Myers Squibb, Cellectis, Faron Pharma, F-star Therapeutics, Genentech Inc. (a subsidiary of F. Hoffmann-La Roche Ltd.), Genmab A/S, Gilead Sciences, Inc., GlaxoSmithKline plc, ImmunoGen, Inc., Johnson &amp; Johnson, Macrogenics, Inc., Menarini Group, Molecular Partners, Novartis, Pfizer Inc., Pieris Pharmaceuticals, Inc., Regeneron Pharma, Sanofi-Aventis US LLC, Shattuck Labs, Syros Pharmaceuticals, Inc., Servier Laboratories,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healthcare reform measures may have a material adverse effect on our business and results of operations.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On June 17, 2021, the U.S. Supreme Court dismissed the most recent judicial challenge to the ACA brought by several states without specifically ruling on the constitutionality of the ACA. It is unclear how other healthcare reform measures of the Biden administration or other efforts, if any, to challenge, repeal or replace the ACA will impact our business. In addition, other legislative changes have been proposed and adopted in the United States since the ACA was enacted:</w:t>
      </w:r>
    </w:p>
    <w:p>
      <w:pPr>
        <w:spacing w:after="0" w:line="82" w:lineRule="exact"/>
        <w:rPr>
          <w:sz w:val="20"/>
          <w:szCs w:val="20"/>
          <w:color w:val="auto"/>
        </w:rPr>
      </w:pPr>
    </w:p>
    <w:p>
      <w:pPr>
        <w:jc w:val="both"/>
        <w:ind w:left="102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occurred beginning April 1, 2022 through June 30, 2022, and the 2% payment reduction resumed on July 1, 2022.</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out-of-pocket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Legislative and regulatory agendas, as they relate to the healthcare and pharmaceutical industries and the economy as a whole, of the Biden administration and the U.S. Congress currently remain uncertain. One example of President Biden’s priorities came via an executive order that he issued on July 9, 2021 directing the FDA to, among other things,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Any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spacing w:after="0" w:line="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and Compliance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long-term success depends, in part, upon our ability to develop, receive regulatory approval for and commercialize our product candidates.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Developing and obtaining regulatory approval for product candidates is a lengthy process, often taking a number of years, is uncertain and expensive. All of the product candidates that we are developing, or may develop in the future, require research and development, non-clinical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 Manufacturers and manufacturers’ facilities are required to comply with extensive FDA, and comparable foreign regulatory authority requirements, including ensuring that quality control and manufacturing procedures conform to GMP requirements and applicable product tracking and tracing requirements.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or manufacturing processes, or failure to comply with regulatory requirements both before and after approval, may yield various results, including:</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 and product labels;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a similar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untitled, or cyber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For example, the current administration may implement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8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72" w:lineRule="exact"/>
        <w:rPr>
          <w:sz w:val="20"/>
          <w:szCs w:val="20"/>
          <w:color w:val="auto"/>
        </w:rPr>
      </w:pPr>
    </w:p>
    <w:p>
      <w:pPr>
        <w:jc w:val="both"/>
        <w:ind w:left="1040" w:hanging="508"/>
        <w:spacing w:after="0" w:line="256"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79" w:lineRule="exact"/>
        <w:rPr>
          <w:rFonts w:ascii="Times New Roman" w:cs="Times New Roman" w:eastAsia="Times New Roman" w:hAnsi="Times New Roman"/>
          <w:sz w:val="18"/>
          <w:szCs w:val="18"/>
          <w:color w:val="auto"/>
        </w:rPr>
      </w:pPr>
    </w:p>
    <w:p>
      <w:pPr>
        <w:jc w:val="both"/>
        <w:ind w:left="1040" w:hanging="508"/>
        <w:spacing w:after="0" w:line="258"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75" w:lineRule="exact"/>
        <w:rPr>
          <w:rFonts w:ascii="Times New Roman" w:cs="Times New Roman" w:eastAsia="Times New Roman" w:hAnsi="Times New Roman"/>
          <w:sz w:val="18"/>
          <w:szCs w:val="18"/>
          <w:color w:val="auto"/>
        </w:rPr>
      </w:pPr>
    </w:p>
    <w:p>
      <w:pPr>
        <w:jc w:val="both"/>
        <w:ind w:left="1040" w:hanging="508"/>
        <w:spacing w:after="0" w:line="255"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1040" w:hanging="508"/>
        <w:spacing w:after="0" w:line="255"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Effective January 1,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assert that a claim including items or services resulting from a violation of the federal Anti-Kickback Statute constitutes a false or fraudulent claim for purposes of the False Claims Act.</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customers and others, any of which could have a material adverse effect on our business, financial condition and results of operations.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7" w:name="page48"/>
    <w:bookmarkEnd w:id="47"/>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a breach of our information technology systems or those of our key third-party vendors occurs, we may incur additional costs related to repairing or rebuilding our internal systems, complying with breach notification laws,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proprietary rights, our business could be harmed.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in protecting our intellectual property depends significantly on our ability to:</w:t>
      </w:r>
    </w:p>
    <w:p>
      <w:pPr>
        <w:spacing w:after="0" w:line="75"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U.S. and foreign patents, that are meaningful to our products, including defending those patents against adverse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patent term extension for the patents covering our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trade secrets;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others from infringing our proprietary rights.</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the grounds that its activities do not infringe the patent. If any of these events were to occur, our business, financial condition and operating results could be materially and adversely affected.</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patent litigation, we may be a party to adversarial proceedings before the Patent Trial and Appeal Board (PTAB) of the USPTO, or the Opposition Divisions of the European Patent Office (EPO). Potential proceedings before the PTAB include inter parties review proceedings, post-grant review proceedings and interference proceedings. Depending on our level of success at the PTAB and Opposition Divisions of the EPO, these proceedings could adversely impact our intellectual property rights with respect to our products and technology.</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products regulated as biologics may face competition from biosimilars approved through an abbreviated regulatory pathway.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is a similar abbreviated pathway for the approval of biosimilar products in the EU. Reference products in the EU benefit from an eight-year data exclusivity period during which the data included in the dossier for the reference product may not be referenced for the purposes of an abbreviated biosimilar application. Following the expiration of the data exclusivity period, there is an additional two-year period of market exclusivity during which a biosimilar marketing authorization application can be submitted, and the innovator’s data may be referenced, but no product can be placed on the market until the expiration of such period. The overall 10-year period can be extended to a maximum of 11 years in certain circumstances. As in the U.S., there is no guarantee that a product will qualify for the prescribed period of exclusivity and, even if a product does qualify, another company may market a competing version of the reference product if such company obtained a marketing authorization with a complete independent data package of pharmaceutical tests, preclinical tests and clinical trials.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the extent to which a biosimilar, once licensed, will be substituted for any one of our reference products in a way that is similar to traditional generic substitution for non-biological products, and will depend on a number of marketplace and regulatory factors that are still developing. If competitors are able to obtain marketing approval for biosimilars referencing any of our products, if approved, our products may become subject to competition from such biosimilars, which would impair our ability to successfully commercialize and generate revenues from sales of such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choose to file patent infringement claims against us.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patent infringement or other similar claims, or to avoid potential claims, we may choose or be required to seek a license from the third-party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from the initiation and continuation of patent litigation or other proceedings could have a material adverse effect on our ability to compete in the marketplace.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Aptevo trademarks may be opposed which could have a material and adverse effect on our business.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an application pending that covers the APTEVO THERAPEUTICS trademark and received a notice of allowance in September 2022 from the USPTO for the APTEVO BIOTHERAPEUTICS and APTEVO RESEARCH AND DEVELOPMENT trademarks. We refer to these trademarks as our house marks. If a third-party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in our intellectual property licenses with third parties, could result in loss of license rights or other damages.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Collaborations and Other Transactions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and entering into other transactions that leverage our capabilities in pursuit of developing and commercializing our product candidates and any such collaborations and transactions, if any, could result in financial results that differ from market expectations.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have been collaboratively developing ALG.APV-527, a first-in-class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risks that we are subject to in any of our collaborations include, among others:</w:t>
      </w:r>
    </w:p>
    <w:p>
      <w:pPr>
        <w:spacing w:after="0" w:line="117" w:lineRule="exact"/>
        <w:rPr>
          <w:sz w:val="20"/>
          <w:szCs w:val="20"/>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not commit adequate resources to the development, marketing and distribution of any collaboration products, limiting our potential revenues from these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experience financial difficulties and may therefore be unable to meet their commitments to us;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pursue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terminate our relationship.</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macroeconomic factors, we may experience delays in opportunities to develop our product candidates, due to financial and other impacts on potential partners.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in the normal course of business, the Company engages in discussions with third parties regarding possible strategic alliances, joint ventures, acquisitions, divestitures and business combinations to further develop or commercialize our product candidates. As a result of such transactions, our financial results may differ from our own or the investment community's expectations in a given fiscal quarter or over the long term. Furthermore, efforts to engage in such transactions require varying levels of management resources, which may divert the Company’s attention from other business operations. Any transactions we engage in could result in our financial results differing materially from market expectations.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may continue to be volatile.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stock price has fluctuated in the past and is likely to be volatile in the future. Between August 1, 2016 and September 30, 2024, the reported closing price of our common stock has fluctuated between $0.165 and $3,659.04 per share (as adjusted to reflect our 1-for-44 reverse stock split of our outstanding common stock that was effective on March 5, 2024).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the geopolitical tension or political events, including the impact from the United States presidential election and congressional elections, the war in Ukraine and the rising conflict in the Middle East, and macroeconomic conditions, including rising and fluctuating inflation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t>and interest rates and reduced consumer confidence. The market price of our common stock may fluctuate significantly due to a number of factors, some of which may be beyond our control or unrelated to our operations, including, among others:</w:t>
      </w:r>
    </w:p>
    <w:p>
      <w:pPr>
        <w:spacing w:after="0" w:line="62"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investor perceptions or negative announcements by our competitors, suppliers, or partners regarding their own performance;</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success of competitive products or technologies;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timing, expenses, and results of clinical and preclinical trials of our product candidates;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regarding clinical trial results and product introductions by us or our competitors;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of acquisitions, collaborations, financings or other transactions by us or our competitors;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public concern as to the safety of our product candidates;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termination or delay of a development program;</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recruitment or departure of key personnel;</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estimated or actual sales of IXINITY by Medexus;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variations in our cash flows or results of operations;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industry and macroeconomic conditions, including domestic and global financial, economic, and geopolitical instability;</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earnings estimated by securities analysts or management, or our ability to meet those estimates;</w:t>
      </w:r>
    </w:p>
    <w:p>
      <w:pPr>
        <w:spacing w:after="0" w:line="116" w:lineRule="exact"/>
        <w:rPr>
          <w:rFonts w:ascii="Times New Roman" w:cs="Times New Roman" w:eastAsia="Times New Roman" w:hAnsi="Times New Roman"/>
          <w:sz w:val="22"/>
          <w:szCs w:val="22"/>
          <w:color w:val="auto"/>
        </w:rPr>
      </w:pPr>
    </w:p>
    <w:p>
      <w:pPr>
        <w:jc w:val="both"/>
        <w:ind w:left="1020" w:hanging="503"/>
        <w:spacing w:after="0" w:line="239" w:lineRule="auto"/>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and the amount and status of short interest in our common stock;</w:t>
      </w:r>
    </w:p>
    <w:p>
      <w:pPr>
        <w:spacing w:after="0" w:line="10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continue as a going concern; and</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other factors described in this "Risk Factors" section.</w:t>
      </w:r>
    </w:p>
    <w:p>
      <w:pPr>
        <w:spacing w:after="0" w:line="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be subject to short selling strategies that may drive down the market price of our common stock.</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Short sellers have in the past and may attempt in the future to drive down the market price of our common stock.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stock to decline, many short sellers (sometime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(“blogging”)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shares in the market. Further, these short seller publications are not regulated by any governmental, self-regulatory organization or other official authority in the U.S. and they are not subject to certification requirements imposed by the SEC. Accordingly, the opinions they express may be based on distortions, omissions or fabrications. Companies that are subject to unfavorable allegations, even if untrue, may have to expend a significant amount of resources to investigate such allegations and/or defend themselves, including shareholder suits against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that may be prompted by such allegations. We may in the future be the subject of shareholder suits that we believe were prompted by allegations made by short sellers.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coverage under our directors’ and officers’ liability insurance is reduced or terminated as a result of an ownership change or otherwise, our indemnification obligations and limitations of our directors’ and officers’ liability insurance may have a material adverse effect on our financial condition, results of operations and cash flows.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A significant change in the Company’s risk profile could increase the cost to us of our directors’ and officers’ liability insurance coverage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maintain effective internal controls, we may not be able to accurately report our financial results and our business could be harmed.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In the past, we were an emerging growth company and we currently are a non-accelerated filer and have availed ourselves of the exemption from the requirement that our independent registered public accounting firm attest to the effectiveness of our internal control over financial reporting under Section 404. If we cease to be a non-accelerated filer and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announcement of data from clinical trials by us or our collaborative partners or news of any developments related to our key pipeline product candidates has in the past caused and may in the future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LLC ("Nasdaq"). Nasdaq has minimum requirements that a company must meet in order to remain listed on Nasdaq, including corporate governance standards and a requirement that we maintain a minimum closing bid price of $1.00 per share and a minimum stockholders' equity of at least $2.5 million, among other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June 25, 2024, the Company received a letter from Nasdaq notifying the Company that, for the last 30 consecutive business days, the bid price of the Company’s common stock had closed below $1.00 per share, the minimum closing bid price required by the continued listing requirements of Nasdaq Listing Rule 5550(a)(2) (the “Bid Price Requirement”).</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Nasdaq’s letter has no immediate impact on the listing of the Company’s common stock, which will continue to be listed and traded on Nasdaq, subject to the Company’s compliance with the other continued listing requirements. Nasdaq’s letter provides the Company 180 calendar days, or until December 23, 2024 (the "Compliance Date"), to regain compliance with the Bid Price Requirement. To regain compliance with the Bid Price Requirement, the closing bid price of the Company’s common stock must be at least $1.00 per share for a minimum of ten consecutive business days before the Compliance Date. The Company may be eligible for an additional 180-day period to regain compliance if the Company meets all other listing standards of Nasdaq, with the exception of the Bid Price Requirement, and provides written notice to Nasdaq of its intention to cure the deficiency during the second compliance period, by effecting a reverse stock split, if necessary. In the event the Company fails to regain compliance, the Company would have the right to a hearing before the Nasdaq Listing Qualifications Panel (the "Panel"). There can be no assurance that, if the Company receives a delisting notice and appeals the delisting determination by the Panel, such appeal would be successful.</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intends to take all reasonable measures available to regain compliance under the Nasdaq Listing Rules and remain listed on Nasdaq, including by effecting a reverse stock split.</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future, 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Aptevo may be diluted in the future.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future, your percentage ownership in Aptevo may be diluted because of equity issuances or securities convertible into equity for acquisitions, capital market transactions or otherwise, including, but not limited to, equity issuances under our Rights Agreement with Broadridge Corporate Issuer Solutions, Inc., upon the exercise of warrants issued in connection with both of our 2023 and 2024 registered offerings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filling vacancies on the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nominations of candidates for election to the Board of Directors and other proposals;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a new series of preferred stock without stockholder approval.</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we currently have a short-term stockholder Rights Agreement in effect. On November 1, 2024, we entered into amendment No. 4 to the Rights Agreement and extended the expiration of such agreement to October 31, 2025.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by-laws include a forum selection clause, which may impact your ability to bring actions against us.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periodic litigation, which could result in losses or unexpected expenditure of time and resources.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shares may be sold into the market at any time which could depress our stock price.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our stockholders sell a substantial number of shares of our common stock in the public market, our market price could decline. Any such sales or perception that such sales may occur could decrease the market price of our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quarter ended September 30, 2024, none of our directors or executive officers adopted, terminated or materially modified a plan for the purchase or sale of our securities intended to satisfy the affirmative defense conditions of Rule 10b5-1(c) or a non-Rule 10b5-1 trading arrangement for the purchase or sale of our securities, within the meaning of Item 408 of Regulation S-K.</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60" w:type="dxa"/>
            <w:vAlign w:val="bottom"/>
            <w:gridSpan w:val="13"/>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37"/>
        </w:trPr>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140" w:type="dxa"/>
            <w:vAlign w:val="bottom"/>
            <w:gridSpan w:val="2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140" w:type="dxa"/>
            <w:vAlign w:val="bottom"/>
            <w:tcBorders>
              <w:bottom w:val="single" w:sz="8" w:color="auto"/>
            </w:tcBorders>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Common Warrant, dated September 18, 2024, filed as Exhibit 4.1 to the Current Report on Form 8-K filed with the SEC on September 18,</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2024 and incorporated herein by reference.</w:t>
              </w:r>
            </w:hyperlink>
          </w:p>
        </w:tc>
        <w:tc>
          <w:tcPr>
            <w:tcW w:w="70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Pre-Funded Warrant, dated September 18, 2024, filed as Exhibit 4.2 to the Current Report on Form 8-K filed with the SEC on September</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18, 2024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01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Amendment No. 4 to Rights Agreement, dated as of November 1, 2024, between the Company and Broadridge Corporate Issuer Solutions,</w:t>
              </w:r>
            </w:hyperlink>
          </w:p>
        </w:tc>
        <w:tc>
          <w:tcPr>
            <w:tcW w:w="20" w:type="dxa"/>
            <w:vAlign w:val="bottom"/>
            <w:tcBorders>
              <w:bottom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Inc., as Rights Agent, filed as Exhibit 4.1 to the Current Report on Form 8-K filed with the SEC on November 4, 2024 and incorporated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herein by reference.</w:t>
              </w:r>
            </w:hyperlink>
          </w:p>
        </w:tc>
        <w:tc>
          <w:tcPr>
            <w:tcW w:w="86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7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Placement Agency Agreement dated September 16, 2024, between the Company and Roth Capital Partners, filed as Exhibit 10.1 to the</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Current Report on Form 8-K filed with the SEC on September 18, 2024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tcBorders>
              <w:right w:val="single" w:sz="8" w:color="0000FF"/>
            </w:tcBorders>
            <w:gridSpan w:val="3"/>
            <w:shd w:val="clear" w:color="auto" w:fill="0000FF"/>
          </w:tcPr>
          <w:p>
            <w:pPr>
              <w:spacing w:after="0" w:line="20" w:lineRule="exact"/>
              <w:rPr>
                <w:sz w:val="1"/>
                <w:szCs w:val="1"/>
                <w:color w:val="auto"/>
              </w:rPr>
            </w:pPr>
          </w:p>
        </w:tc>
        <w:tc>
          <w:tcPr>
            <w:tcW w:w="29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0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Securities Purchase Agreement, dated September 16, 2024, between the Company and the purchasers party thereto, filed as Exhibit 10.2 to</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the Current Report on Form 8-K filed with the SEC on September 18, 2024 and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tcBorders>
              <w:right w:val="single" w:sz="8" w:color="0000FF"/>
            </w:tcBorders>
            <w:gridSpan w:val="3"/>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8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Form of Amended Series A-1 Common Warrant, dated September 18, 2024 (originally entered into on November 9, 2023), between the</w:t>
              </w:r>
            </w:hyperlink>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Company and certain warrant holders, filed as Exhibit 10.3 to the Current Report on Form 8-K filed with the SEC on September 18, 2024</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and incorporated herein by reference.</w:t>
              </w:r>
            </w:hyperlink>
          </w:p>
        </w:tc>
        <w:tc>
          <w:tcPr>
            <w:tcW w:w="20" w:type="dxa"/>
            <w:vAlign w:val="bottom"/>
            <w:tcBorders>
              <w:bottom w:val="single" w:sz="8" w:color="0000EE"/>
            </w:tcBorders>
          </w:tcPr>
          <w:p>
            <w:pPr>
              <w:spacing w:after="0"/>
              <w:rPr>
                <w:sz w:val="17"/>
                <w:szCs w:val="17"/>
                <w:color w:val="auto"/>
              </w:rPr>
            </w:pPr>
          </w:p>
        </w:tc>
        <w:tc>
          <w:tcPr>
            <w:tcW w:w="74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8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Form of Amended Series A-2 Common Warrant, dated September 18, 2024 (originally entered into on November 9, 2023), between the</w:t>
              </w:r>
            </w:hyperlink>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Company and certain warrant holders, filed as Exhibit 10.4 to the Current Report on Form 8-K filed with the SEC on September 18, 2024</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and incorporated herein by reference.</w:t>
              </w:r>
            </w:hyperlink>
          </w:p>
        </w:tc>
        <w:tc>
          <w:tcPr>
            <w:tcW w:w="20" w:type="dxa"/>
            <w:vAlign w:val="bottom"/>
            <w:tcBorders>
              <w:bottom w:val="single" w:sz="8" w:color="0000EE"/>
            </w:tcBorders>
          </w:tcPr>
          <w:p>
            <w:pPr>
              <w:spacing w:after="0"/>
              <w:rPr>
                <w:sz w:val="17"/>
                <w:szCs w:val="17"/>
                <w:color w:val="auto"/>
              </w:rPr>
            </w:pPr>
          </w:p>
        </w:tc>
        <w:tc>
          <w:tcPr>
            <w:tcW w:w="74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98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Form of Amended Series B-1 Common Warrant, dated September 18, 2024 (originally entered into on November 9, 2023), between the</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Company and certain warrant holders, filed as Exhibit 10.5 to the Current Report on Form 8-K filed with the SEC on September 18, 2024</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and incorporated herein by reference.</w:t>
              </w:r>
            </w:hyperlink>
          </w:p>
        </w:tc>
        <w:tc>
          <w:tcPr>
            <w:tcW w:w="20" w:type="dxa"/>
            <w:vAlign w:val="bottom"/>
            <w:tcBorders>
              <w:bottom w:val="single" w:sz="8" w:color="0000EE"/>
            </w:tcBorders>
          </w:tcPr>
          <w:p>
            <w:pPr>
              <w:spacing w:after="0"/>
              <w:rPr>
                <w:sz w:val="17"/>
                <w:szCs w:val="17"/>
                <w:color w:val="auto"/>
              </w:rPr>
            </w:pPr>
          </w:p>
        </w:tc>
        <w:tc>
          <w:tcPr>
            <w:tcW w:w="74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98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Form of Amended Series B-2 Common Warrant, dated September 18, 2024 (originally entered into on November 9, 2023), between the</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Company and certain warrant holders, filed as Exhibit 10.6 to the Current Report on Form 8-K filed with the SEC on September 18, 2024</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and incorporated herein by reference.</w:t>
              </w:r>
            </w:hyperlink>
          </w:p>
        </w:tc>
        <w:tc>
          <w:tcPr>
            <w:tcW w:w="20" w:type="dxa"/>
            <w:vAlign w:val="bottom"/>
            <w:tcBorders>
              <w:bottom w:val="single" w:sz="8" w:color="0000EE"/>
            </w:tcBorders>
          </w:tcPr>
          <w:p>
            <w:pPr>
              <w:spacing w:after="0"/>
              <w:rPr>
                <w:sz w:val="17"/>
                <w:szCs w:val="17"/>
                <w:color w:val="auto"/>
              </w:rPr>
            </w:pPr>
          </w:p>
        </w:tc>
        <w:tc>
          <w:tcPr>
            <w:tcW w:w="74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96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Form of Amended Warrant, dated September 18, 2024 (originally entered into on April 15, 2024), between the Company and certain</w:t>
              </w:r>
            </w:hyperlink>
          </w:p>
        </w:tc>
        <w:tc>
          <w:tcPr>
            <w:tcW w:w="5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warrant holders, filed as Exhibit 10.7 to the Current Report on Form 8-K filed with the SEC on September 18, 2024 and incorporated herein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left w:val="single" w:sz="8" w:color="0000EE"/>
            </w:tcBorders>
            <w:gridSpan w:val="6"/>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00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Form of Amended Warrant, dated September 18, 2024 (originally entered into on July 1, 2024), between the Company and certain warrant</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holders, filed as Exhibit 10.8 to the Current Report on Form 8-K filed with the SEC on September 18, 2024 and incorporated herein by</w:t>
              </w:r>
            </w:hyperlink>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66">
              <w:r>
                <w:rPr>
                  <w:rFonts w:ascii="Times New Roman" w:cs="Times New Roman" w:eastAsia="Times New Roman" w:hAnsi="Times New Roman"/>
                  <w:sz w:val="18"/>
                  <w:szCs w:val="18"/>
                  <w:color w:val="0000FF"/>
                  <w:w w:val="97"/>
                </w:rPr>
                <w:t>reference.</w:t>
              </w:r>
            </w:hyperlink>
          </w:p>
        </w:tc>
        <w:tc>
          <w:tcPr>
            <w:tcW w:w="20" w:type="dxa"/>
            <w:vAlign w:val="bottom"/>
            <w:tcBorders>
              <w:bottom w:val="single" w:sz="8" w:color="0000EE"/>
            </w:tcBorders>
          </w:tcPr>
          <w:p>
            <w:pPr>
              <w:spacing w:after="0"/>
              <w:rPr>
                <w:sz w:val="17"/>
                <w:szCs w:val="17"/>
                <w:color w:val="auto"/>
              </w:rPr>
            </w:pPr>
          </w:p>
        </w:tc>
        <w:tc>
          <w:tcPr>
            <w:tcW w:w="94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 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406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51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 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406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51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920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1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830"/>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0000FF"/>
            </w:tcBorders>
            <w:gridSpan w:val="3"/>
          </w:tcPr>
          <w:p>
            <w:pPr>
              <w:spacing w:after="0"/>
              <w:rPr>
                <w:sz w:val="24"/>
                <w:szCs w:val="24"/>
                <w:color w:val="auto"/>
              </w:rPr>
            </w:pPr>
          </w:p>
        </w:tc>
        <w:tc>
          <w:tcPr>
            <w:tcW w:w="4060" w:type="dxa"/>
            <w:vAlign w:val="bottom"/>
            <w:gridSpan w:val="6"/>
          </w:tcPr>
          <w:p>
            <w:pPr>
              <w:jc w:val="right"/>
              <w:ind w:right="270"/>
              <w:spacing w:after="0"/>
              <w:rPr>
                <w:sz w:val="20"/>
                <w:szCs w:val="20"/>
                <w:color w:val="auto"/>
              </w:rPr>
            </w:pPr>
            <w:r>
              <w:rPr>
                <w:rFonts w:ascii="Times New Roman" w:cs="Times New Roman" w:eastAsia="Times New Roman" w:hAnsi="Times New Roman"/>
                <w:sz w:val="18"/>
                <w:szCs w:val="18"/>
                <w:color w:val="auto"/>
              </w:rPr>
              <w:t>58</w:t>
            </w: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10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7"/>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100" w:type="dxa"/>
            <w:vAlign w:val="bottom"/>
            <w:tcBorders>
              <w:bottom w:val="single" w:sz="8" w:color="auto"/>
            </w:tcBorders>
          </w:tcPr>
          <w:p>
            <w:pPr>
              <w:spacing w:after="0"/>
              <w:rPr>
                <w:sz w:val="16"/>
                <w:szCs w:val="16"/>
                <w:color w:val="auto"/>
              </w:rPr>
            </w:pPr>
          </w:p>
        </w:tc>
      </w:tr>
      <w:tr>
        <w:trPr>
          <w:trHeight w:val="205"/>
        </w:trPr>
        <w:tc>
          <w:tcPr>
            <w:tcW w:w="1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7"/>
                <w:szCs w:val="17"/>
                <w:color w:val="auto"/>
              </w:rPr>
            </w:pPr>
          </w:p>
        </w:tc>
        <w:tc>
          <w:tcPr>
            <w:tcW w:w="10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9"/>
                <w:szCs w:val="19"/>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APTEVO THERAPEUTICS INC.</w:t>
      </w:r>
    </w:p>
    <w:p>
      <w:pPr>
        <w:spacing w:after="0" w:line="293" w:lineRule="exact"/>
        <w:rPr>
          <w:sz w:val="20"/>
          <w:szCs w:val="20"/>
          <w:color w:val="auto"/>
        </w:rPr>
      </w:pPr>
    </w:p>
    <w:p>
      <w:pPr>
        <w:ind w:left="20"/>
        <w:spacing w:after="0"/>
        <w:tabs>
          <w:tab w:leader="none" w:pos="6200" w:val="left"/>
          <w:tab w:leader="none" w:pos="81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26035</wp:posOffset>
            </wp:positionV>
            <wp:extent cx="292290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3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97" w:lineRule="exact"/>
        <w:rPr>
          <w:sz w:val="20"/>
          <w:szCs w:val="20"/>
          <w:color w:val="auto"/>
        </w:rPr>
      </w:pPr>
    </w:p>
    <w:p>
      <w:pPr>
        <w:ind w:left="20"/>
        <w:spacing w:after="0"/>
        <w:tabs>
          <w:tab w:leader="none" w:pos="6200" w:val="left"/>
          <w:tab w:leader="none" w:pos="82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26035</wp:posOffset>
            </wp:positionV>
            <wp:extent cx="29229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31"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40" w:val="left"/>
          <w:tab w:leader="none" w:pos="786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Daphne Taylor, certify that:</w:t>
      </w:r>
    </w:p>
    <w:p>
      <w:pPr>
        <w:spacing w:after="0" w:line="225"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40" w:val="left"/>
          <w:tab w:leader="none" w:pos="79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Aptevo Therapeutics Inc. on Form 10-Q for the period ending September 30, 2024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6720" w:val="left"/>
          <w:tab w:leader="none" w:pos="842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26035</wp:posOffset>
            </wp:positionV>
            <wp:extent cx="26574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23"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74"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Aptevo Inc. on Form 10-Q for the period ending September 30, 2024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6720" w:val="left"/>
          <w:tab w:leader="none" w:pos="84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26035</wp:posOffset>
            </wp:positionV>
            <wp:extent cx="26574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23"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74"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decimal"/>
      <w:start w:val="3"/>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lvl w:ilvl="1">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56" Type="http://schemas.openxmlformats.org/officeDocument/2006/relationships/hyperlink" Target="https://www.sec.gov/Archives/edgar/data/1671584/000095017024107776/apvo-ex4_1.htm" TargetMode="External"/><Relationship Id="rId257" Type="http://schemas.openxmlformats.org/officeDocument/2006/relationships/hyperlink" Target="https://www.sec.gov/Archives/edgar/data/1671584/000095017024107776/apvo-ex4_2.htm" TargetMode="External"/><Relationship Id="rId258" Type="http://schemas.openxmlformats.org/officeDocument/2006/relationships/hyperlink" Target="https://www.sec.gov/Archives/edgar/data/1671584/000095017024120188/apvo-ex4_1.htm" TargetMode="External"/><Relationship Id="rId259" Type="http://schemas.openxmlformats.org/officeDocument/2006/relationships/hyperlink" Target="https://www.sec.gov/Archives/edgar/data/1671584/000095017024107776/apvo-ex10_1.htm" TargetMode="External"/><Relationship Id="rId260" Type="http://schemas.openxmlformats.org/officeDocument/2006/relationships/hyperlink" Target="https://www.sec.gov/Archives/edgar/data/1671584/000095017024107776/apvo-ex10_2.htm" TargetMode="External"/><Relationship Id="rId261" Type="http://schemas.openxmlformats.org/officeDocument/2006/relationships/hyperlink" Target="https://www.sec.gov/Archives/edgar/data/1671584/000095017024107776/apvo-ex10_3.htm" TargetMode="External"/><Relationship Id="rId262" Type="http://schemas.openxmlformats.org/officeDocument/2006/relationships/hyperlink" Target="https://www.sec.gov/Archives/edgar/data/1671584/000095017024107776/apvo-ex10_4.htm" TargetMode="External"/><Relationship Id="rId263" Type="http://schemas.openxmlformats.org/officeDocument/2006/relationships/hyperlink" Target="https://www.sec.gov/Archives/edgar/data/1671584/000095017024107776/apvo-ex10_5.htm" TargetMode="External"/><Relationship Id="rId264" Type="http://schemas.openxmlformats.org/officeDocument/2006/relationships/hyperlink" Target="https://www.sec.gov/Archives/edgar/data/1671584/000095017024107776/apvo-ex10_6.htm" TargetMode="External"/><Relationship Id="rId265" Type="http://schemas.openxmlformats.org/officeDocument/2006/relationships/hyperlink" Target="https://www.sec.gov/Archives/edgar/data/1671584/000095017024107776/apvo-ex10_7.htm" TargetMode="External"/><Relationship Id="rId266" Type="http://schemas.openxmlformats.org/officeDocument/2006/relationships/hyperlink" Target="https://www.sec.gov/Archives/edgar/data/1671584/000095017024107776/apvo-ex10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2024-11-07T07:47:05Z</dcterms:created>
  <dcterms:modified xsi:type="dcterms:W3CDTF">2024-11-07T07:47:05Z</dcterms:modified>
</cp:coreProperties>
</file>