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-5080</wp:posOffset>
            </wp:positionV>
            <wp:extent cx="428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APTEVO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p>
      <w:pPr>
        <w:spacing w:after="0" w:line="20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81-1567056</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71" w:lineRule="exact"/>
        <w:rPr>
          <w:sz w:val="24"/>
          <w:szCs w:val="24"/>
          <w:color w:val="auto"/>
        </w:rPr>
      </w:pPr>
    </w:p>
    <w:p>
      <w:pPr>
        <w:sectPr>
          <w:pgSz w:w="11900" w:h="16838" w:orient="portrait"/>
          <w:cols w:equalWidth="0" w:num="2">
            <w:col w:w="7140" w:space="720"/>
            <w:col w:w="3380"/>
          </w:cols>
          <w:pgMar w:left="320" w:top="1132"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8"/>
          <w:szCs w:val="18"/>
          <w:b w:val="1"/>
          <w:bCs w:val="1"/>
          <w:color w:val="auto"/>
        </w:rPr>
        <w:t>2401 4</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Avenue, Suite 1050</w:t>
      </w:r>
    </w:p>
    <w:p>
      <w:pPr>
        <w:ind w:left="20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Seattle, Washington</w:t>
      </w:r>
      <w:r>
        <w:rPr>
          <w:sz w:val="20"/>
          <w:szCs w:val="20"/>
          <w:color w:val="auto"/>
        </w:rPr>
        <w:tab/>
      </w:r>
      <w:r>
        <w:rPr>
          <w:rFonts w:ascii="Times New Roman" w:cs="Times New Roman" w:eastAsia="Times New Roman" w:hAnsi="Times New Roman"/>
          <w:sz w:val="18"/>
          <w:szCs w:val="18"/>
          <w:b w:val="1"/>
          <w:bCs w:val="1"/>
          <w:color w:val="auto"/>
        </w:rPr>
        <w:t>98121</w:t>
      </w:r>
    </w:p>
    <w:p>
      <w:pPr>
        <w:spacing w:after="0" w:line="10"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0" w:lineRule="exact"/>
        <w:rPr>
          <w:sz w:val="24"/>
          <w:szCs w:val="24"/>
          <w:color w:val="auto"/>
        </w:rPr>
      </w:pPr>
    </w:p>
    <w:p>
      <w:pPr>
        <w:ind w:left="1280"/>
        <w:spacing w:after="0"/>
        <w:tabs>
          <w:tab w:leader="none" w:pos="5040" w:val="left"/>
          <w:tab w:leader="none" w:pos="78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Symbols(s)</w:t>
      </w:r>
      <w:r>
        <w:rPr>
          <w:sz w:val="20"/>
          <w:szCs w:val="20"/>
          <w:color w:val="auto"/>
        </w:rPr>
        <w:tab/>
      </w:r>
      <w:r>
        <w:rPr>
          <w:rFonts w:ascii="Times New Roman" w:cs="Times New Roman" w:eastAsia="Times New Roman" w:hAnsi="Times New Roman"/>
          <w:sz w:val="18"/>
          <w:szCs w:val="18"/>
          <w:b w:val="1"/>
          <w:bCs w:val="1"/>
          <w:color w:val="auto"/>
        </w:rPr>
        <w:t>Name of Exchange on Which Registered</w:t>
      </w:r>
    </w:p>
    <w:p>
      <w:pPr>
        <w:spacing w:after="0" w:line="31" w:lineRule="exact"/>
        <w:rPr>
          <w:sz w:val="24"/>
          <w:szCs w:val="24"/>
          <w:color w:val="auto"/>
        </w:rPr>
      </w:pPr>
    </w:p>
    <w:p>
      <w:pPr>
        <w:ind w:left="360"/>
        <w:spacing w:after="0"/>
        <w:tabs>
          <w:tab w:leader="none" w:pos="5540" w:val="left"/>
          <w:tab w:leader="none" w:pos="8200" w:val="left"/>
        </w:tabs>
        <w:rPr>
          <w:sz w:val="20"/>
          <w:szCs w:val="20"/>
          <w:color w:val="auto"/>
        </w:rPr>
      </w:pPr>
      <w:r>
        <w:rPr>
          <w:rFonts w:ascii="Times New Roman" w:cs="Times New Roman" w:eastAsia="Times New Roman" w:hAnsi="Times New Roman"/>
          <w:sz w:val="18"/>
          <w:szCs w:val="18"/>
          <w:b w:val="1"/>
          <w:bCs w:val="1"/>
          <w:color w:val="auto"/>
        </w:rPr>
        <w:t>Common Stock, $0.001 par value per share</w:t>
      </w:r>
      <w:r>
        <w:rPr>
          <w:sz w:val="20"/>
          <w:szCs w:val="20"/>
          <w:color w:val="auto"/>
        </w:rPr>
        <w:tab/>
      </w:r>
      <w:r>
        <w:rPr>
          <w:rFonts w:ascii="Times New Roman" w:cs="Times New Roman" w:eastAsia="Times New Roman" w:hAnsi="Times New Roman"/>
          <w:sz w:val="18"/>
          <w:szCs w:val="18"/>
          <w:b w:val="1"/>
          <w:bCs w:val="1"/>
          <w:color w:val="auto"/>
        </w:rPr>
        <w:t>APVO</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23" w:lineRule="exact"/>
        <w:rPr>
          <w:sz w:val="24"/>
          <w:szCs w:val="24"/>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(The Nasdaq Capital Market)</w:t>
      </w:r>
    </w:p>
    <w:p>
      <w:pPr>
        <w:spacing w:after="0" w:line="72"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0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8, 2024, the number of shares of the registrant’s common stock outstanding was 4,080,169.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30" w:type="dxa"/>
        <w:tblCellMar>
          <w:top w:w="0" w:type="dxa"/>
          <w:left w:w="0" w:type="dxa"/>
          <w:bottom w:w="0" w:type="dxa"/>
          <w:right w:w="0" w:type="dxa"/>
        </w:tblCellMar>
      </w:tblPr>
      <w:tr>
        <w:trPr>
          <w:trHeight w:val="187"/>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80" w:type="dxa"/>
            <w:vAlign w:val="bottom"/>
            <w:gridSpan w:val="2"/>
            <w:vMerge w:val="continue"/>
          </w:tcPr>
          <w:p>
            <w:pPr>
              <w:spacing w:after="0"/>
              <w:rPr>
                <w:sz w:val="14"/>
                <w:szCs w:val="14"/>
                <w:color w:val="auto"/>
              </w:rPr>
            </w:pPr>
          </w:p>
        </w:tc>
        <w:tc>
          <w:tcPr>
            <w:tcW w:w="9520" w:type="dxa"/>
            <w:vAlign w:val="bottom"/>
            <w:gridSpan w:val="18"/>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18"/>
                <w:szCs w:val="18"/>
                <w:color w:val="auto"/>
              </w:rPr>
            </w:pPr>
          </w:p>
        </w:tc>
        <w:tc>
          <w:tcPr>
            <w:tcW w:w="7080" w:type="dxa"/>
            <w:vAlign w:val="bottom"/>
            <w:gridSpan w:val="8"/>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180" w:type="dxa"/>
            <w:vAlign w:val="bottom"/>
            <w:gridSpan w:val="6"/>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42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90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EE"/>
            </w:tcBorders>
            <w:gridSpan w:val="7"/>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50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0" w:type="dxa"/>
            <w:vAlign w:val="bottom"/>
            <w:gridSpan w:val="1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00" w:type="dxa"/>
            <w:vAlign w:val="bottom"/>
            <w:tcBorders>
              <w:top w:val="single" w:sz="8" w:color="0000FF"/>
            </w:tcBorders>
            <w:gridSpan w:val="7"/>
          </w:tcPr>
          <w:p>
            <w:pPr>
              <w:spacing w:after="0"/>
              <w:rPr>
                <w:sz w:val="18"/>
                <w:szCs w:val="18"/>
                <w:color w:val="auto"/>
              </w:rPr>
            </w:pPr>
          </w:p>
        </w:tc>
        <w:tc>
          <w:tcPr>
            <w:tcW w:w="51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40" w:type="dxa"/>
            <w:vAlign w:val="bottom"/>
            <w:gridSpan w:val="1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2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Pr>
          <w:p>
            <w:pPr>
              <w:spacing w:after="0"/>
              <w:rPr>
                <w:sz w:val="20"/>
                <w:szCs w:val="20"/>
                <w:color w:val="auto"/>
              </w:rPr>
            </w:pPr>
          </w:p>
        </w:tc>
      </w:tr>
      <w:tr>
        <w:trPr>
          <w:trHeight w:val="277"/>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zero shares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or outstanding</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673,430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442,458 shares issued and outstanding at March 31, 2024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r>
      <w:tr>
        <w:trPr>
          <w:trHeight w:val="25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236,318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235,607</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(230,281 )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(223,447 )</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-3762375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-3128010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-3110865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-1859280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4020" w:type="dxa"/>
            <w:vAlign w:val="bottom"/>
            <w:tcBorders>
              <w:bottom w:val="single" w:sz="8" w:color="auto"/>
            </w:tcBorders>
            <w:gridSpan w:val="5"/>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14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(3,752 )</w:t>
            </w:r>
          </w:p>
        </w:tc>
        <w:tc>
          <w:tcPr>
            <w:tcW w:w="220" w:type="dxa"/>
            <w:vAlign w:val="bottom"/>
          </w:tcPr>
          <w:p>
            <w:pPr>
              <w:spacing w:after="0"/>
              <w:rPr>
                <w:sz w:val="20"/>
                <w:szCs w:val="20"/>
                <w:color w:val="auto"/>
              </w:rPr>
            </w:pPr>
          </w:p>
        </w:tc>
        <w:tc>
          <w:tcPr>
            <w:tcW w:w="1440" w:type="dxa"/>
            <w:vAlign w:val="bottom"/>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(4,168 )</w:t>
            </w:r>
          </w:p>
        </w:tc>
      </w:tr>
      <w:tr>
        <w:trPr>
          <w:trHeight w:val="243"/>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(3,231 )</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(3,588 )</w:t>
            </w:r>
          </w:p>
        </w:tc>
      </w:tr>
      <w:tr>
        <w:trPr>
          <w:trHeight w:val="20"/>
        </w:trPr>
        <w:tc>
          <w:tcPr>
            <w:tcW w:w="63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(6,983 )</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(7,756 )</w:t>
            </w:r>
          </w:p>
        </w:tc>
      </w:tr>
      <w:tr>
        <w:trPr>
          <w:trHeight w:val="241"/>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from continuing operations, net</w:t>
            </w: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43"/>
        </w:trPr>
        <w:tc>
          <w:tcPr>
            <w:tcW w:w="6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related to sale of non-financial asset</w:t>
            </w:r>
          </w:p>
        </w:tc>
        <w:tc>
          <w:tcPr>
            <w:tcW w:w="14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gridSpan w:val="2"/>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1460" w:type="dxa"/>
            <w:vAlign w:val="bottom"/>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(6,834 )</w:t>
            </w:r>
          </w:p>
        </w:tc>
        <w:tc>
          <w:tcPr>
            <w:tcW w:w="220" w:type="dxa"/>
            <w:vAlign w:val="bottom"/>
          </w:tcPr>
          <w:p>
            <w:pPr>
              <w:spacing w:after="0"/>
              <w:rPr>
                <w:sz w:val="20"/>
                <w:szCs w:val="20"/>
                <w:color w:val="auto"/>
              </w:rPr>
            </w:pPr>
          </w:p>
        </w:tc>
        <w:tc>
          <w:tcPr>
            <w:tcW w:w="1440" w:type="dxa"/>
            <w:vAlign w:val="bottom"/>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20"/>
                <w:szCs w:val="20"/>
                <w:color w:val="auto"/>
              </w:rPr>
            </w:pPr>
          </w:p>
        </w:tc>
      </w:tr>
      <w:tr>
        <w:trPr>
          <w:trHeight w:val="24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460" w:type="dxa"/>
            <w:vAlign w:val="bottom"/>
            <w:tcBorders>
              <w:bottom w:val="single" w:sz="8" w:color="auto"/>
            </w:tcBorders>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p>
        </w:tc>
        <w:tc>
          <w:tcPr>
            <w:tcW w:w="144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0"/>
                <w:szCs w:val="20"/>
                <w:color w:val="auto"/>
              </w:rPr>
            </w:pPr>
          </w:p>
        </w:tc>
      </w:tr>
      <w:tr>
        <w:trPr>
          <w:trHeight w:val="27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460" w:type="dxa"/>
            <w:vAlign w:val="bottom"/>
            <w:shd w:val="clear" w:color="auto" w:fill="CFF0FC"/>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(6,834 )</w:t>
            </w:r>
          </w:p>
        </w:tc>
        <w:tc>
          <w:tcPr>
            <w:tcW w:w="220" w:type="dxa"/>
            <w:vAlign w:val="bottom"/>
            <w:shd w:val="clear" w:color="auto" w:fill="CFF0FC"/>
          </w:tcPr>
          <w:p>
            <w:pPr>
              <w:spacing w:after="0"/>
              <w:rPr>
                <w:sz w:val="24"/>
                <w:szCs w:val="24"/>
                <w:color w:val="auto"/>
              </w:rPr>
            </w:pPr>
          </w:p>
        </w:tc>
        <w:tc>
          <w:tcPr>
            <w:tcW w:w="1440" w:type="dxa"/>
            <w:vAlign w:val="bottom"/>
            <w:shd w:val="clear" w:color="auto" w:fill="CFF0FC"/>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FF0FC"/>
          </w:tcPr>
          <w:p>
            <w:pPr>
              <w:spacing w:after="0"/>
              <w:rPr>
                <w:sz w:val="24"/>
                <w:szCs w:val="24"/>
                <w:color w:val="auto"/>
              </w:rPr>
            </w:pPr>
          </w:p>
        </w:tc>
      </w:tr>
      <w:tr>
        <w:trPr>
          <w:trHeight w:val="228"/>
        </w:trPr>
        <w:tc>
          <w:tcPr>
            <w:tcW w:w="6320" w:type="dxa"/>
            <w:vAlign w:val="bottom"/>
            <w:tcBorders>
              <w:top w:val="single" w:sz="8" w:color="CFF0FC"/>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income per share from continuing operations:</w:t>
            </w:r>
          </w:p>
        </w:tc>
        <w:tc>
          <w:tcPr>
            <w:tcW w:w="14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(9.95 )</w:t>
            </w:r>
          </w:p>
        </w:tc>
        <w:tc>
          <w:tcPr>
            <w:tcW w:w="220" w:type="dxa"/>
            <w:vAlign w:val="bottom"/>
          </w:tcPr>
          <w:p>
            <w:pPr>
              <w:spacing w:after="0"/>
              <w:rPr>
                <w:sz w:val="20"/>
                <w:szCs w:val="20"/>
                <w:color w:val="auto"/>
              </w:rPr>
            </w:pPr>
          </w:p>
        </w:tc>
        <w:tc>
          <w:tcPr>
            <w:tcW w:w="1440" w:type="dxa"/>
            <w:vAlign w:val="bottom"/>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20"/>
                <w:szCs w:val="20"/>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shd w:val="clear" w:color="auto" w:fill="CFF0FC"/>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(9.95 )</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FF0FC"/>
          </w:tcPr>
          <w:p>
            <w:pPr>
              <w:spacing w:after="0"/>
              <w:rPr>
                <w:sz w:val="20"/>
                <w:szCs w:val="20"/>
                <w:color w:val="auto"/>
              </w:rPr>
            </w:pPr>
          </w:p>
        </w:tc>
      </w:tr>
      <w:tr>
        <w:trPr>
          <w:trHeight w:val="236"/>
        </w:trPr>
        <w:tc>
          <w:tcPr>
            <w:tcW w:w="6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shd w:val="clear" w:color="auto" w:fill="CFF0FC"/>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(9.95 )</w:t>
            </w:r>
          </w:p>
        </w:tc>
        <w:tc>
          <w:tcPr>
            <w:tcW w:w="2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FF0FC"/>
          </w:tcPr>
          <w:p>
            <w:pPr>
              <w:spacing w:after="0"/>
              <w:rPr>
                <w:sz w:val="22"/>
                <w:szCs w:val="22"/>
                <w:color w:val="auto"/>
              </w:rPr>
            </w:pP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(9.95 )</w:t>
            </w:r>
          </w:p>
        </w:tc>
        <w:tc>
          <w:tcPr>
            <w:tcW w:w="220" w:type="dxa"/>
            <w:vAlign w:val="bottom"/>
          </w:tcPr>
          <w:p>
            <w:pPr>
              <w:spacing w:after="0"/>
              <w:rPr>
                <w:sz w:val="19"/>
                <w:szCs w:val="19"/>
                <w:color w:val="auto"/>
              </w:rPr>
            </w:pPr>
          </w:p>
        </w:tc>
        <w:tc>
          <w:tcPr>
            <w:tcW w:w="1440" w:type="dxa"/>
            <w:vAlign w:val="bottom"/>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159,597</w:t>
            </w:r>
          </w:p>
        </w:tc>
        <w:tc>
          <w:tcPr>
            <w:tcW w:w="100" w:type="dxa"/>
            <w:vAlign w:val="bottom"/>
          </w:tcPr>
          <w:p>
            <w:pPr>
              <w:spacing w:after="0"/>
              <w:rPr>
                <w:sz w:val="20"/>
                <w:szCs w:val="20"/>
                <w:color w:val="auto"/>
              </w:rPr>
            </w:pPr>
          </w:p>
        </w:tc>
      </w:tr>
      <w:tr>
        <w:trPr>
          <w:trHeight w:val="247"/>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686,735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159,597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-2905125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-2270760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-1636395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-1619250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-984885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-668020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-650875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33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786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(6,834 )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96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receivable</w:t>
            </w:r>
          </w:p>
        </w:tc>
        <w:tc>
          <w:tcPr>
            <w:tcW w:w="96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(841 )</w:t>
            </w: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accrued compensation and other liabilities</w:t>
            </w:r>
          </w:p>
        </w:tc>
        <w:tc>
          <w:tcPr>
            <w:tcW w:w="9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(926 )</w:t>
            </w: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(909 )</w:t>
            </w: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r>
      <w:tr>
        <w:trPr>
          <w:trHeight w:val="20"/>
        </w:trPr>
        <w:tc>
          <w:tcPr>
            <w:tcW w:w="7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(6,651 )</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3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9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of long-term debt, including fees</w:t>
            </w:r>
          </w:p>
        </w:tc>
        <w:tc>
          <w:tcPr>
            <w:tcW w:w="9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(3,467 )</w:t>
            </w: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equity awards withheld for tax liability</w:t>
            </w:r>
          </w:p>
        </w:tc>
        <w:tc>
          <w:tcPr>
            <w:tcW w:w="96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in lieu of fractional shares</w:t>
            </w:r>
          </w:p>
        </w:tc>
        <w:tc>
          <w:tcPr>
            <w:tcW w:w="9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3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3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(1,873 )</w:t>
            </w:r>
          </w:p>
        </w:tc>
      </w:tr>
      <w:tr>
        <w:trPr>
          <w:trHeight w:val="20"/>
        </w:trPr>
        <w:tc>
          <w:tcPr>
            <w:tcW w:w="78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9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(6,654 )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20"/>
                <w:szCs w:val="20"/>
                <w:color w:val="auto"/>
              </w:rPr>
            </w:pPr>
          </w:p>
        </w:tc>
      </w:tr>
      <w:tr>
        <w:trPr>
          <w:trHeight w:val="243"/>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25,328</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-1773555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-1447800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-504825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600" w:type="dxa"/>
            <w:vAlign w:val="bottom"/>
            <w:gridSpan w:val="3"/>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26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3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442,458</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(223,447 )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70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231,130</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in lieu of fractional shares in</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connection with the 1-for-44 reverse stock split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effected on March 5, 2024</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(371 )</w:t>
            </w: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(6,834 )</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(6,834 )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673,430</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236,318</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(230,281 )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700" w:type="dxa"/>
            <w:vAlign w:val="bottom"/>
          </w:tcPr>
          <w:p>
            <w:pPr>
              <w:spacing w:after="0"/>
              <w:rPr>
                <w:sz w:val="24"/>
                <w:szCs w:val="24"/>
                <w:color w:val="auto"/>
              </w:rPr>
            </w:pPr>
          </w:p>
        </w:tc>
        <w:tc>
          <w:tcPr>
            <w:tcW w:w="2600" w:type="dxa"/>
            <w:vAlign w:val="bottom"/>
            <w:gridSpan w:val="3"/>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26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3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146,961</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(206,036 )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70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164,533</w:t>
            </w:r>
          </w:p>
        </w:tc>
        <w:tc>
          <w:tcPr>
            <w:tcW w:w="280" w:type="dxa"/>
            <w:vAlign w:val="bottom"/>
          </w:tcPr>
          <w:p>
            <w:pPr>
              <w:spacing w:after="0"/>
              <w:rPr>
                <w:sz w:val="20"/>
                <w:szCs w:val="20"/>
                <w:color w:val="auto"/>
              </w:rPr>
            </w:pP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(203,263 )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-2991485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-2991485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-2991485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-2991485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-2991485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-1636395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-1619885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-1636395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-1619885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-1636395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-1619885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-1636395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-1619885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-950595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-950595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-950595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-950595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-187960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-187960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Organization and Liquidity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Aptevo Therapeutics Inc. (Aptevo, we, us, or the Company) is a clinical-stage, research and development biotechnology company focused on developing novel immuno-oncology candidates for the treatment of different forms of cancer. We have developed two versatile and enabling platform technologies for rational design of precision immune modulatory drugs. Our clinical candidates, APVO436 and ALG.APV-527, and preclinical candidates, APVO603 and APVO711, were developed using our ADAPTIR™ modular protein technology platform. Our preclinical candidate APVO442 was developed using our ADAPTIR-FLEX™ modular protein technology platform.</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trading on the Nasdaq Capital Market under the symbol “APVO.”</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basis that assumes we will continue as a going concern and which contemplates the realization of assets and satisfaction of liabilities and commitments in the normal course of business. The consolidated financial statements do not include any adjustments that might result from the outcome of the uncertainty of our ability to continue as a going concern, nor do they include adjustments to reflect the possible future effects of the recoverability and classification of recorded asset amounts and classifications of liabilities that might be necessary should the Company be unable to continue as a going concern. For the three months ended March 31, 2024, we had a net loss of $6.8 million. We had an accumulated deficit of $230.3 million as of March 31, 2024. For the three months ended March 31, 2024, net cash used in our operating activities was $6.7 million. We have suffered recurring losses from operations and negative cash flows from operating activities.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addition to our existing cash resources, cash to be generated from future milestones related to IXINITY sales and regulatory approvals achieved by Medexus Pharmaceuticals ("Medexus"), and exercise of common warrants. We may choose to raise additional funds to support our operating and capital needs in the future.</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whether and to what extent potential milestones are received from Medexus with respect to IXINITY; (e) macroeconomic conditions such as rising interest rates, inflation and costs; and (f) other items affecting our forecasted level of expenditures and use of cash resources. We may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goals may be adversely affected. Given the continuing global economic and geopolitical climate, including rising interest rates and stock market volatility, we may experience delays or difficulties in the financing environment and raising capital due to economic uncertainty.</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2023, and the notes thereto, which are included in the Company’s Annual Report on Form 10-K for the year ended December 31, 2023.</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our wholly owned subsidiary, Aptevo Research and Development LLC. All intercompany balances and transactions have been eliminated.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financial statements and accompanying notes. Estimates are used for, but not limited to, clinical accruals, useful lives of equipment, commitments and contingencies, stock-based compensation, and incremental borrowing rate (IBR) used for our lease. Given the global economic and geopolitical climate, these estimates are becoming more challenging, and actual results could differ materially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Gain Related to Sale of Nonfinancial Asset to XOMA (US) LLC</w:t>
      </w:r>
    </w:p>
    <w:p>
      <w:pPr>
        <w:spacing w:after="0" w:line="121"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8"/>
          <w:szCs w:val="18"/>
          <w:color w:val="auto"/>
        </w:rPr>
        <w:t>On March 29, 2023, we entered into and closed a payment interest purchase agreement (the “Purchase Agreement”) with XOMA (US) LLC (“XOMA”) pursuant to which we sold to XOMA our right, title and interest in all of the deferred payments and a portion of the milestone payments from Medexus pursuant to our LLC Purchase Agreement with Medexus, dated February 28, 2020 (the "LLC Agreement"). Under the terms of the Purchase Agreement, we received $9.6 million at closing (the “Closing Payment”) and an additional post-closing payment of $0.05.</w:t>
      </w:r>
    </w:p>
    <w:p>
      <w:pPr>
        <w:spacing w:after="0" w:line="72"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8"/>
          <w:szCs w:val="18"/>
          <w:color w:val="auto"/>
        </w:rPr>
        <w:t xml:space="preserve">We accounted for the $9.6 million Closing Payment and the $0.05 million post-closing payment from XOMA as other income in accordance with Accounting Standards Codification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in the first quarter of 2023. Contractual rights sold to XOMA represent an intangible asset under ASC 610-20 </w:t>
      </w:r>
      <w:r>
        <w:rPr>
          <w:rFonts w:ascii="Times New Roman" w:cs="Times New Roman" w:eastAsia="Times New Roman" w:hAnsi="Times New Roman"/>
          <w:sz w:val="18"/>
          <w:szCs w:val="18"/>
          <w:i w:val="1"/>
          <w:iCs w:val="1"/>
          <w:color w:val="auto"/>
        </w:rPr>
        <w:t>Other Income - Gains and Losses from the Derecognition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Nonfinancial Assets </w:t>
      </w:r>
      <w:r>
        <w:rPr>
          <w:rFonts w:ascii="Times New Roman" w:cs="Times New Roman" w:eastAsia="Times New Roman" w:hAnsi="Times New Roman"/>
          <w:sz w:val="18"/>
          <w:szCs w:val="18"/>
          <w:color w:val="auto"/>
        </w:rPr>
        <w:t>for which XOMA bears all benefit and Aptevo has no obligations going forward. The Company will continue to account for its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future milestones under our LLC Purchase Agreement with Medexus as contingent consideration under </w:t>
      </w:r>
      <w:r>
        <w:rPr>
          <w:rFonts w:ascii="Times New Roman" w:cs="Times New Roman" w:eastAsia="Times New Roman" w:hAnsi="Times New Roman"/>
          <w:sz w:val="18"/>
          <w:szCs w:val="18"/>
          <w:i w:val="1"/>
          <w:iCs w:val="1"/>
          <w:color w:val="auto"/>
        </w:rPr>
        <w:t>ASC 450-30 Gain Contingencies</w:t>
      </w:r>
      <w:r>
        <w:rPr>
          <w:rFonts w:ascii="Times New Roman" w:cs="Times New Roman" w:eastAsia="Times New Roman" w:hAnsi="Times New Roman"/>
          <w:sz w:val="18"/>
          <w:szCs w:val="18"/>
          <w:color w:val="auto"/>
        </w:rPr>
        <w:t xml:space="preserve"> and will record income when proceeds are received.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other significant accounting policies were reported in our Annual Report on Form 10-K for the year ended December 31, 2023 that was filed with the SEC on March 5, 2024. Our other significant accounting policies have not changed materially from the policies previously reported.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discontinued operations from the sale of business products and segments.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income from discontinued operations in the unaudited condensed consolidated statements of operations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69"/>
        </w:trPr>
        <w:tc>
          <w:tcPr>
            <w:tcW w:w="68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276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4"/>
                <w:szCs w:val="14"/>
                <w:color w:val="auto"/>
              </w:rPr>
            </w:pPr>
          </w:p>
        </w:tc>
      </w:tr>
      <w:tr>
        <w:trPr>
          <w:trHeight w:val="23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payment from Medexus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20"/>
                <w:szCs w:val="20"/>
                <w:color w:val="auto"/>
              </w:rPr>
            </w:pPr>
          </w:p>
        </w:tc>
      </w:tr>
      <w:tr>
        <w:trPr>
          <w:trHeight w:val="21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Gain on contingent consideration from release of escrow related to sale of Aptevo</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BioTherapeutics</w:t>
            </w:r>
          </w:p>
        </w:tc>
        <w:tc>
          <w:tcPr>
            <w:tcW w:w="38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r>
      <w:tr>
        <w:trPr>
          <w:trHeight w:val="245"/>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contingent consideration from Kamada</w:t>
            </w:r>
          </w:p>
        </w:tc>
        <w:tc>
          <w:tcPr>
            <w:tcW w:w="380" w:type="dxa"/>
            <w:vAlign w:val="bottom"/>
            <w:tcBorders>
              <w:bottom w:val="single" w:sz="8" w:color="auto"/>
            </w:tcBorders>
            <w:shd w:val="clear" w:color="auto" w:fill="CFF0FC"/>
          </w:tcPr>
          <w:p>
            <w:pPr>
              <w:spacing w:after="0"/>
              <w:rPr>
                <w:sz w:val="21"/>
                <w:szCs w:val="21"/>
                <w:color w:val="auto"/>
              </w:rPr>
            </w:pPr>
          </w:p>
        </w:tc>
        <w:tc>
          <w:tcPr>
            <w:tcW w:w="2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0"/>
                <w:szCs w:val="20"/>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we did not record income from discontinued operations. For the three months ended March 31, 2023, we collected $0.5 million in deferred payments from Medexus related to IXINITY sales and $0.2 million related to funds released from escrow from the sale of Aptevo BioTherapeutics in 2020. Additionally, we received $0.3 million related to the sale of hyperimmune business to Saol (later acquired by Kamada, Ltd.) as a result of the collection of certain accounts receivable.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b w:val="1"/>
          <w:bCs w:val="1"/>
          <w:color w:val="auto"/>
        </w:rPr>
        <w:t>Note 3. XOMA Transaction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March 29, 2023, we entered into and closed a Purchase Agreement with XOMA pursuant to which we sold to XOMA our right, title and interest in and to all of the deferred payments and a portion of the milestone payments from Medexus under our LLC Purchase Agreement. Under the terms of our Purchase Agreement with XOMA, we received $9.6 million at closing and an additional post-closing payment of $0.05 million. In exchange for the Closing Payment, we sold to XOMA our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Company’s entitlement to receive the Canadian Approval Milestone Payment; and (iii) 50% of the Company’s entitlement to receive the European Approval Milestone Payments and Net Sales Milestone Payment.</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accounted for the $9.6 million Closing Payment and the $0.05 million post-closing payment from XOMA as other income in accordance with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in the first quarter of 2023. Contractual rights sold to XOMA represent an intangible asset under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for which XOMA bears all benefit and Aptevo has no obligations going forward. The Company will continue to account for its portion of future milestones under our LLC Purchase Agreement with Medexus as contingent consideration under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xml:space="preserve"> and will record income when proceeds are received.</w:t>
      </w:r>
    </w:p>
    <w:p>
      <w:pPr>
        <w:spacing w:after="0" w:line="3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4.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Alligator Bioscience AB</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and Alligator have been collaboratively developing ALG.APV-527, a first-in-class bispecific antibody candidate simultaneously targeting 4-1BB (CD137), a member of the TNFR superfamily of a costimulatory receptor found on activated T cells, and 5T4, a tumor antigen widely overexpressed in a number of different types of cancer.</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In accordance with ASC 808, we concluded that because the Collaboration Agreement is a cost sharing agreement, there is no revenue.</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we recorded approximately $0.6 million and $0.8 million, which represent our 50% cost share, in our research and development expense related to the Collaboration Agreement,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we had $9.6 million and $13.2 million in Level 1 money market funds, respectively. The carrying amounts of our money market funds approximate their fair value. At March 31, 2024 and December 31, 2023, we did not have any Level 2 or Level 3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color w:val="auto"/>
        </w:rPr>
        <w:t>Note 6. Cash and Cash Equivalents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include time deposits and investments in money market funds.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and cash equivalents as of March 31, 2024 and December 31, 2023:</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shd w:val="clear" w:color="auto" w:fill="CFF0FC"/>
          </w:tcPr>
          <w:p>
            <w:pPr>
              <w:spacing w:after="0"/>
              <w:rPr>
                <w:sz w:val="20"/>
                <w:szCs w:val="20"/>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100" w:type="dxa"/>
            <w:vAlign w:val="bottom"/>
          </w:tcPr>
          <w:p>
            <w:pPr>
              <w:spacing w:after="0"/>
              <w:rPr>
                <w:sz w:val="20"/>
                <w:szCs w:val="20"/>
                <w:color w:val="auto"/>
              </w:rPr>
            </w:pPr>
          </w:p>
        </w:tc>
      </w:tr>
      <w:tr>
        <w:trPr>
          <w:trHeight w:val="277"/>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 Operating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with a term through April 2030 and two options to extend the lease term, each by five years. As of March 31, 2024, we are not reasonably certain to exercise the two options to extend the lease term and our lease liability is recorded through April 30, 2030.</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2024 and 2023, we recorded $0.2 million related to variable lease expense.</w:t>
      </w: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36"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42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3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use assets acquired under operating leases: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Seattle office lease, including amendment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payments: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6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operating leases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-2073910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-2073910</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-1028065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-1028065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long-term and current portion of the lease liabilities is $5.2 million and $0.7 million, respectively. As of March 31, 2023, the long-term and current portion of the lease liabilities were $5.9 million and $0.6 million, respectively.</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weighted-average remaining lease term and weighted-average discount rate for operating leases was 6.08 years and 12.03%.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8. Reverse Stock Split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5, 2024, we held a Special Meeting of Stockholders at which our stockholders approved a series of alternate amendments to the Amended and Restated Certificate of Incorporation to effect, at the option of our Board of Directors (the "Board"), a reverse split of Aptevo's common stock at a ratio ranging from 1-for-15 to 1-for-44, inclusive, with the effectiveness of one of such amendments and the abandonment of the other amendments, or the abandonment of all amendments, to be determined by the Board in its sole discretion following the Special Meeting. The specific 1-for-44 reverse split ratio was subsequently approved by the Board on February 27, 2024. On March 5, 2024, the Company filed a Certificate of Amendment of Amended and Restated Certificate of Incorporation with the Secretary of State of the State of Delaware to effect a 1-for-44 reverse stock split of the Company's outstanding common stock (the "Reverse Stock Split"). The Reverse Stock Split became effective on March 5, 2024 at 5:01 p.m. Eastern Time, and our common stock began trading on the Nasdaq Capital Market, on a split-adjusted basis, at market open on March 6, 2024.</w:t>
      </w:r>
    </w:p>
    <w:p>
      <w:pPr>
        <w:sectPr>
          <w:pgSz w:w="11900" w:h="16838" w:orient="portrait"/>
          <w:cols w:equalWidth="0" w:num="1">
            <w:col w:w="11240"/>
          </w:cols>
          <w:pgMar w:left="320" w:top="98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 w:name="page11"/>
    <w:bookmarkEnd w:id="10"/>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be entitled to receive a fractional share received a cash payment in lieu thereof.</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adjusted all common stock and stock equivalent figures retroactively in this Form 10-Q for all periods presented to reflect the Reverse Stock Split.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9. Net Income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common shares outstanding for the period. Diluted net income (loss) per share is computed by dividing the net income (loss) by the weighted-average number of common share equivalents outstanding for the period using the as-if converted method. Shares of the Company's common stock underlying pre-funded warrants and shares held in abeyance resulting from the previous exercise of warrants are included in the calculation of basic and diluted earnings per share because there is little to no consideration required for delivery of shares. For the purpose of this calculation, warrants, stock options and restricted stock units ("RSUs") are only included in the calculation of diluted net income (loss) per share when their effect is dilutive.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instruments are dilutive. The control number used is income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income per share (in thousands, except share and per share amounts):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1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1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71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(6,834 )</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left w:val="single" w:sz="8" w:color="CFF0FC"/>
            </w:tcBorders>
            <w:shd w:val="clear" w:color="auto" w:fill="CFF0FC"/>
          </w:tcPr>
          <w:p>
            <w:pPr>
              <w:spacing w:after="0"/>
              <w:rPr>
                <w:sz w:val="20"/>
                <w:szCs w:val="20"/>
                <w:color w:val="auto"/>
              </w:rPr>
            </w:pPr>
          </w:p>
        </w:tc>
      </w:tr>
      <w:tr>
        <w:trPr>
          <w:trHeight w:val="239"/>
        </w:trPr>
        <w:tc>
          <w:tcPr>
            <w:tcW w:w="7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0"/>
                <w:szCs w:val="20"/>
                <w:color w:val="auto"/>
              </w:rPr>
            </w:pPr>
          </w:p>
        </w:tc>
      </w:tr>
      <w:tr>
        <w:trPr>
          <w:trHeight w:val="276"/>
        </w:trPr>
        <w:tc>
          <w:tcPr>
            <w:tcW w:w="71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(6,834 )</w:t>
            </w: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tcBorders>
              <w:left w:val="single" w:sz="8" w:color="CFF0FC"/>
            </w:tcBorders>
            <w:shd w:val="clear" w:color="auto" w:fill="CFF0FC"/>
          </w:tcPr>
          <w:p>
            <w:pPr>
              <w:spacing w:after="0"/>
              <w:rPr>
                <w:sz w:val="24"/>
                <w:szCs w:val="24"/>
                <w:color w:val="auto"/>
              </w:rPr>
            </w:pPr>
          </w:p>
        </w:tc>
      </w:tr>
      <w:tr>
        <w:trPr>
          <w:trHeight w:val="228"/>
        </w:trPr>
        <w:tc>
          <w:tcPr>
            <w:tcW w:w="120" w:type="dxa"/>
            <w:vAlign w:val="bottom"/>
            <w:tcBorders>
              <w:top w:val="single" w:sz="8" w:color="CFF0FC"/>
            </w:tcBorders>
          </w:tcPr>
          <w:p>
            <w:pPr>
              <w:spacing w:after="0"/>
              <w:rPr>
                <w:sz w:val="19"/>
                <w:szCs w:val="19"/>
                <w:color w:val="auto"/>
              </w:rPr>
            </w:pPr>
          </w:p>
        </w:tc>
        <w:tc>
          <w:tcPr>
            <w:tcW w:w="67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r>
      <w:tr>
        <w:trPr>
          <w:trHeight w:val="243"/>
        </w:trPr>
        <w:tc>
          <w:tcPr>
            <w:tcW w:w="71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income per share from continuing operations:</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left w:val="single" w:sz="8" w:color="CFF0FC"/>
            </w:tcBorders>
            <w:shd w:val="clear" w:color="auto" w:fill="CFF0FC"/>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(9.95 )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37"/>
        </w:trPr>
        <w:tc>
          <w:tcPr>
            <w:tcW w:w="120" w:type="dxa"/>
            <w:vAlign w:val="bottom"/>
            <w:shd w:val="clear" w:color="auto" w:fill="CFF0FC"/>
          </w:tcPr>
          <w:p>
            <w:pPr>
              <w:spacing w:after="0"/>
              <w:rPr>
                <w:sz w:val="20"/>
                <w:szCs w:val="20"/>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(9.95 )</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Borders>
              <w:left w:val="single" w:sz="8" w:color="CFF0FC"/>
            </w:tcBorders>
            <w:shd w:val="clear" w:color="auto" w:fill="CFF0FC"/>
          </w:tcPr>
          <w:p>
            <w:pPr>
              <w:spacing w:after="0"/>
              <w:rPr>
                <w:sz w:val="20"/>
                <w:szCs w:val="20"/>
                <w:color w:val="auto"/>
              </w:rPr>
            </w:pPr>
          </w:p>
        </w:tc>
      </w:tr>
      <w:tr>
        <w:trPr>
          <w:trHeight w:val="236"/>
        </w:trPr>
        <w:tc>
          <w:tcPr>
            <w:tcW w:w="710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share from discontinued operations: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r>
      <w:tr>
        <w:trPr>
          <w:trHeight w:val="243"/>
        </w:trPr>
        <w:tc>
          <w:tcPr>
            <w:tcW w:w="120" w:type="dxa"/>
            <w:vAlign w:val="bottom"/>
            <w:tcBorders>
              <w:bottom w:val="single" w:sz="8" w:color="CFF0FC"/>
            </w:tcBorders>
            <w:shd w:val="clear" w:color="auto" w:fill="CFF0FC"/>
          </w:tcPr>
          <w:p>
            <w:pPr>
              <w:spacing w:after="0"/>
              <w:rPr>
                <w:sz w:val="21"/>
                <w:szCs w:val="21"/>
                <w:color w:val="auto"/>
              </w:rPr>
            </w:pPr>
          </w:p>
        </w:tc>
        <w:tc>
          <w:tcPr>
            <w:tcW w:w="6980" w:type="dxa"/>
            <w:vAlign w:val="bottom"/>
            <w:tcBorders>
              <w:bottom w:val="single" w:sz="8" w:color="CFF0FC"/>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left w:val="single" w:sz="8" w:color="CFF0FC"/>
              <w:bottom w:val="single" w:sz="8" w:color="CFF0FC"/>
            </w:tcBorders>
            <w:shd w:val="clear" w:color="auto" w:fill="CFF0FC"/>
          </w:tcPr>
          <w:p>
            <w:pPr>
              <w:spacing w:after="0"/>
              <w:rPr>
                <w:sz w:val="21"/>
                <w:szCs w:val="21"/>
                <w:color w:val="auto"/>
              </w:rPr>
            </w:pPr>
          </w:p>
        </w:tc>
      </w:tr>
      <w:tr>
        <w:trPr>
          <w:trHeight w:val="236"/>
        </w:trPr>
        <w:tc>
          <w:tcPr>
            <w:tcW w:w="120" w:type="dxa"/>
            <w:vAlign w:val="bottom"/>
          </w:tcPr>
          <w:p>
            <w:pPr>
              <w:spacing w:after="0"/>
              <w:rPr>
                <w:sz w:val="20"/>
                <w:szCs w:val="20"/>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20"/>
                <w:szCs w:val="20"/>
                <w:color w:val="auto"/>
              </w:rPr>
            </w:pPr>
          </w:p>
        </w:tc>
      </w:tr>
      <w:tr>
        <w:trPr>
          <w:trHeight w:val="241"/>
        </w:trPr>
        <w:tc>
          <w:tcPr>
            <w:tcW w:w="71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left w:val="single" w:sz="8" w:color="CFF0FC"/>
            </w:tcBorders>
            <w:shd w:val="clear" w:color="auto" w:fill="CFF0FC"/>
          </w:tcPr>
          <w:p>
            <w:pPr>
              <w:spacing w:after="0"/>
              <w:rPr>
                <w:sz w:val="20"/>
                <w:szCs w:val="20"/>
                <w:color w:val="auto"/>
              </w:rPr>
            </w:pPr>
          </w:p>
        </w:tc>
      </w:tr>
      <w:tr>
        <w:trPr>
          <w:trHeight w:val="239"/>
        </w:trPr>
        <w:tc>
          <w:tcPr>
            <w:tcW w:w="120" w:type="dxa"/>
            <w:vAlign w:val="bottom"/>
          </w:tcPr>
          <w:p>
            <w:pPr>
              <w:spacing w:after="0"/>
              <w:rPr>
                <w:sz w:val="20"/>
                <w:szCs w:val="20"/>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(9.95 )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3"/>
        </w:trPr>
        <w:tc>
          <w:tcPr>
            <w:tcW w:w="120" w:type="dxa"/>
            <w:vAlign w:val="bottom"/>
            <w:shd w:val="clear" w:color="auto" w:fill="CFF0FC"/>
          </w:tcPr>
          <w:p>
            <w:pPr>
              <w:spacing w:after="0"/>
              <w:rPr>
                <w:sz w:val="22"/>
                <w:szCs w:val="22"/>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(9.95 )</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Borders>
              <w:left w:val="single" w:sz="8" w:color="CFF0FC"/>
            </w:tcBorders>
            <w:shd w:val="clear" w:color="auto" w:fill="CFF0FC"/>
          </w:tcPr>
          <w:p>
            <w:pPr>
              <w:spacing w:after="0"/>
              <w:rPr>
                <w:sz w:val="22"/>
                <w:szCs w:val="22"/>
                <w:color w:val="auto"/>
              </w:rPr>
            </w:pPr>
          </w:p>
        </w:tc>
      </w:tr>
      <w:tr>
        <w:trPr>
          <w:trHeight w:val="223"/>
        </w:trPr>
        <w:tc>
          <w:tcPr>
            <w:tcW w:w="710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r>
      <w:tr>
        <w:trPr>
          <w:trHeight w:val="247"/>
        </w:trPr>
        <w:tc>
          <w:tcPr>
            <w:tcW w:w="120" w:type="dxa"/>
            <w:vAlign w:val="bottom"/>
            <w:shd w:val="clear" w:color="auto" w:fill="CFF0FC"/>
          </w:tcPr>
          <w:p>
            <w:pPr>
              <w:spacing w:after="0"/>
              <w:rPr>
                <w:sz w:val="21"/>
                <w:szCs w:val="21"/>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686,735</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159,597</w:t>
            </w:r>
          </w:p>
        </w:tc>
        <w:tc>
          <w:tcPr>
            <w:tcW w:w="120" w:type="dxa"/>
            <w:vAlign w:val="bottom"/>
            <w:tcBorders>
              <w:left w:val="single" w:sz="8" w:color="CFF0FC"/>
            </w:tcBorders>
            <w:shd w:val="clear" w:color="auto" w:fill="CFF0FC"/>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686,735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159,597</w:t>
            </w:r>
          </w:p>
        </w:tc>
        <w:tc>
          <w:tcPr>
            <w:tcW w:w="120" w:type="dxa"/>
            <w:vAlign w:val="bottom"/>
          </w:tcPr>
          <w:p>
            <w:pPr>
              <w:spacing w:after="0"/>
              <w:rPr>
                <w:sz w:val="20"/>
                <w:szCs w:val="20"/>
                <w:color w:val="auto"/>
              </w:rPr>
            </w:pPr>
          </w:p>
        </w:tc>
      </w:tr>
      <w:tr>
        <w:trPr>
          <w:trHeight w:val="481"/>
        </w:trPr>
        <w:tc>
          <w:tcPr>
            <w:tcW w:w="7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following table represents all potentially dilutive shares: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1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12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2"/>
        </w:trPr>
        <w:tc>
          <w:tcPr>
            <w:tcW w:w="120" w:type="dxa"/>
            <w:vAlign w:val="bottom"/>
          </w:tcPr>
          <w:p>
            <w:pPr>
              <w:spacing w:after="0"/>
              <w:rPr>
                <w:sz w:val="20"/>
                <w:szCs w:val="20"/>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120" w:type="dxa"/>
            <w:vAlign w:val="bottom"/>
          </w:tcPr>
          <w:p>
            <w:pPr>
              <w:spacing w:after="0"/>
              <w:rPr>
                <w:sz w:val="21"/>
                <w:szCs w:val="21"/>
                <w:color w:val="auto"/>
              </w:rPr>
            </w:pPr>
          </w:p>
        </w:tc>
        <w:tc>
          <w:tcPr>
            <w:tcW w:w="6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-3251200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-3234055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-3251200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-3234055</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-2599690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-2599690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-2282825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-2282825</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-1622425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-1605280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-1622425</wp:posOffset>
            </wp:positionV>
            <wp:extent cx="59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-1605280</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use the treasury stock method when determining dilutive shares. For the three months ended March 31, 2024, the Company was in a net loss position, therefore the share number used to calculate diluted earnings per share is the same as the basic earnings per share. As of March 31, 2023, we determined that outstanding warrants, options, and RSUs are not dilutive as the exercise and grant prices were higher than our average share price for the three.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color w:val="auto"/>
        </w:rPr>
        <w:t>Note 10. Equity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August 2023 Public Raise</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August 4, 2023, we completed a public offering of common stock and warrants, which included the following:</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50,488 shares of common stock at a price of $27.28 per share.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132,793 shares of common stock at a price of $27.28 per with an exercise price of $0.001 per share. As of March 31, 2024, all pre-funded warrants have been exercised.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and Series B common warrants to purchase up to an aggregate of 366,562 shares of common stock at an exercise price of $27.28 per share.</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received net proceeds of $4.3 million, net of transaction costs, as a result of this offering. In the fourth quarter of 2023, an aggregate of 322,691 Series A and Series B common warrants were exercised as part of our November 2023 warrant inducement agreement with certain holders of our common warrants. As of March 31, 2024, there were 42,555 Series A and 1,316 Series B common warrants outstanding with an exercise price of $27.28 which will expire on August 4, 2028 and February 4, 2025,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these warrants are exercised, we will receive up to an additional $1.2 million in gross proceeds.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November 2023 Warrant Inducement</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9, 2023, we entered into a warrant inducement agreement (the "Inducement Agreement") with certain holders of our Series A and Series B common warrants issued in connection with our August 2023 public offering to exercise for cash 140,726 Series A and 181,965 Series B common warrants at a reduced exercise price of $10.25. We received $3.3 million in gross proceeds from the exercise of these warrants and issued an aggregate of 645,382 new Series A and new Series B warrants as follows:</w:t>
      </w:r>
    </w:p>
    <w:p>
      <w:pPr>
        <w:spacing w:after="0" w:line="72" w:lineRule="exact"/>
        <w:rPr>
          <w:sz w:val="20"/>
          <w:szCs w:val="20"/>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281,452 Series A common warrants to purchase an aggregate of up to 281,452 shares of common stock at $10.25 per share, of which 140,726 Series A-1 common warrants were immediately exercisable and 140,726 Series A-2 common warrants were exercisable at any time on or after February 5, 2024. The Series A-1 and Series A-2 common warrants have terms of four years and eight months, and five years, respectively.</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363,930 Series B common warrants to purchase an aggregate of up to 363,930 shares of common stock at $10.25 per share, of which 181,965 Series B-1 common warrants were immediately exercisable and 181,695 Series B-2 common warrants were exercisable at any time on or after February 5, 2024. The Series B-1 and Series B-2 common warrants have terms of fourteen months and twenty-four months, respectively.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there were 140,726 Series A-1, 140,726 Series A-2, 181,965 Series B-1 and 181,965 Series B-2 common warrants outstanding with an exercise price of $10.25 per share, and 4,798 shares remain held in abeyance.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these new warrants are exercised, we will receive up to an additional $6.6 million in gross proceeds.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3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previously entered into an Equity Distribution Agreement with Piper Sandler (the "Equity Distribution Agreement") under which we could issue and sell through Piper Sandler shares of our common stock pursuant to a Registration Statement on Form S-3 which we filed on December 14, 2020, and expired in December 2023. In the three months ended March 31, 2023, the Company issued 16,611 shares of common stock at an average price of $99.43 under the Equity Distribution Agreement. We received $1.6 million in proceeds from the issuance of these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Rights Plan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8, 2020, our Board of Directors (the "Board") approved and adopted a Rights Agreement (the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One Right also will be issued together with each Common Share issued by the Company after November 23, 2020, but before the Distribution Date (as defined in the Rights Agreement) (or the earlier redemption or expiration of the Rights) and, in certain circumstances, after the Distribution Date. When exercisable, each Right initially would represent the right to purchase from the Company one one-thousandth of a share of a newly-designated series of preferred stock, Series A Junior Participating Preferred Stock, par value $0.001 per share, of the Company. Subject to various exceptions, the Rights become exercisable in the event any person (excluding certain exempted or grandfathered persons) becomes the beneficial owner of ten percent (10%) or more of the Company’s common stock without the approval of the Board. On November 2, 2023, we entered into Amendment No. 3 to the Rights Agreement and extended the expiration of such agreement to November 4, 2024 and changed the exercise price to $2.02 per one one-thousandth of a Series A Junior Participating Preferred Share, subject to adjustment.</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13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 2018, at the 2018 Annual Meeting of the Stockholders, the Company’s stockholders approved a new 2018 Stock Incentive Plan (the "2018 SIP"), which replaced the Restated 2016 Plan on a go-forward basis. All stock options, RSUs or other equity awards granted subsequent to June 1, 2018 have been and will be issued out of the 2018 SIP, which has 0.02 million shares of Aptevo common stock authorized for issuance. The 2018 SIP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0.02 million shares.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7, 2022, at the 2022 Annual Meeting of Stockholders, our stockholders approved the Amended and Restated 2018 SIP to increase the number of shares authorized for issuance under the 2018 SIP by 500,000 shares of common stock. As of March 31, 2024, there are 1,558 shares available to be granted under the 2018 SIP.</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 options and RSUs under the Amended and Restated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RSUs granted to employees and non-employees and has been reported in our unaudited condensed consolidated statements of operations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340" w:type="dxa"/>
            <w:vAlign w:val="bottom"/>
            <w:gridSpan w:val="2"/>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0" w:type="dxa"/>
            <w:vAlign w:val="bottom"/>
            <w:tcBorders>
              <w:bottom w:val="single" w:sz="8" w:color="auto"/>
            </w:tcBorders>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915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forfeited.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Aptevo utilizes the Black-Scholes valuation model for estimating the fair value of all stock options granted. Set forth below are the assumptions used in valuing the stock options granted:</w:t>
      </w:r>
    </w:p>
    <w:p>
      <w:pPr>
        <w:spacing w:after="0" w:line="16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7"/>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103.63%</w:t>
            </w:r>
          </w:p>
        </w:tc>
        <w:tc>
          <w:tcPr>
            <w:tcW w:w="100" w:type="dxa"/>
            <w:vAlign w:val="bottom"/>
          </w:tcPr>
          <w:p>
            <w:pPr>
              <w:spacing w:after="0"/>
              <w:rPr>
                <w:sz w:val="20"/>
                <w:szCs w:val="20"/>
                <w:color w:val="auto"/>
              </w:rPr>
            </w:pPr>
          </w:p>
        </w:tc>
      </w:tr>
      <w:tr>
        <w:trPr>
          <w:trHeight w:val="247"/>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4.18%</w:t>
            </w:r>
          </w:p>
        </w:tc>
        <w:tc>
          <w:tcPr>
            <w:tcW w:w="100" w:type="dxa"/>
            <w:vAlign w:val="bottom"/>
            <w:shd w:val="clear" w:color="auto" w:fill="CFF0FC"/>
          </w:tcPr>
          <w:p>
            <w:pPr>
              <w:spacing w:after="0"/>
              <w:rPr>
                <w:sz w:val="21"/>
                <w:szCs w:val="21"/>
                <w:color w:val="auto"/>
              </w:rPr>
            </w:pPr>
          </w:p>
        </w:tc>
      </w:t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4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grant stock options for the three months ended March 31, 2024. For the three months ended March 31, 2023, management has applied an estimated forfeiture rate of 30%.</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option activity for the three months ended March 31, 2024:</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5900" w:type="dxa"/>
            <w:vAlign w:val="bottom"/>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709.25</w:t>
            </w: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561.59</w:t>
            </w:r>
          </w:p>
        </w:tc>
        <w:tc>
          <w:tcPr>
            <w:tcW w:w="1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March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593.56</w:t>
            </w:r>
          </w:p>
        </w:tc>
        <w:tc>
          <w:tcPr>
            <w:tcW w:w="18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-384810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-367665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-384810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-367665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-384810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-367665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we had $0.4 million of unrecognized compensation expense related to options expected to vest over a weighted-average remaining vesting period of 0.9 years. The weighted-average grant date fair value per share of options granted during the three months ended March 31, 2023 was $73.83. The total fair value of stock options vested for the three months ended March 31, 2024 and 2023 was $0.8 million and $0.9 million, respectively.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the total pretax intrinsic value (the difference between the closing stock price of Aptevo’s common stock on the last trading day of March 2024 and the exercise price, multiplied by the number of in the money options) that would have been received by the option holders had all the option holders exercised their options on the last trading day of the quarter.</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RSU activity for the three months ended March 31, 2024:</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7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3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(2,070 )</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(56 )</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expected to vest at March 31, 2024</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there was $0.5 million unrecognized stock-based compensation expense related to unvested RSUs expected to vest over the weighted-average period of 1.21 years.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stock on the date of grant as quoted on the Nasdaq Capital Market.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April 10, 2024, we completed a public offering of (i) 926,666 shares of our common stock and accompanying common warrants ("Common Warrants") to purchase up to 1,853,332 shares of common stock at a public offering price of $1.35 per share and accompanying Common Warrants and (ii) pre-funded warrants ("Pre-Funded Warrants") to purchase 2,473,334 shares of common stock and accompanying Common Warrants to purchase up to 4,946,668 shares of common stock at a combined public offering price of</w:t>
      </w:r>
    </w:p>
    <w:p>
      <w:pPr>
        <w:sectPr>
          <w:pgSz w:w="11900" w:h="16838" w:orient="portrait"/>
          <w:cols w:equalWidth="0" w:num="1">
            <w:col w:w="11240"/>
          </w:cols>
          <w:pgMar w:left="320" w:top="983"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$1.3499 per Pre-funded Warrant and accompanying Common Warrants, which is equal to the public offering price per share of Common Stock and accompanying Common Warrant less the $0.0001 per share exercise price of each such Pre-funded Warrant. We received $4.6 million in gross proceeds from the offering. Our net proceeds from the offering amounted to approximately $4.0 million after deducting offering expenses payable by us, including placement agent and other fees. The Common Warrants have an exercise price of $1.35 per share and are exercisable immediately following the date of issuance and will expire in April 2029. If the Common Warrants are exercised, we will receive up to an additional $9.2 million in proceeds.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the achievement of milestones and receipt of future payments, projected costs, prospects, plans, intentions, expectations, clinical trial results, compliance with listing requirements, future macroeconomic conditions and objectives could be forward-looking statements. The words “anticipates,” “believes,” “could,” “designed,” “estimates,” “expects,” “goal,” “intends,” “may,” “plans,” “projects,” “should,” “will,” “would” and similar expressions (including the negatives thereof) are intended to identify forward-looking statements, although not all forward-looking statements contain these identifying words.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and our other filings with the Securities and Exchange Commission.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 Our forward-looking statements in this Quarterly Report on Form 10-Q are based on current information and we do not assume any obligation to update any forward-looking statements except as required by the federal securities laws.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“Risk Factors” and elsewhere. As a result, our actual results may differ materially from those anticipated in these forward-looking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three preclinical candidates currently in development. Clinical candidate APVO436 is a CD3xCD123 T-cell engager currently being clinically evaluated for the treatment of acute myelogenous leukemia (AML). Clinical candidate ALG.APV-527 targets 4-1BB (co-stimulatory receptor) and 5T4 (tumor antigen). The compound is designed to reactivate antigen-primed T-cells to specifically kill tumor cells and is currently being evaluated for the treatment of multiple solid tumor types.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Preclinical candidates, APVO603 and APVO711, were also developed using our ADAPTIR™ modular protein technology platform. Our preclinical candidate APVO442 was developed using our ADAPTIR-FLEX™ modular protein technology platform.</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ADAPTIR and ADAPTIR-FLEX platforms are designed to generate monospecific, bispecific, and multi-specific antibody candidates capable of enhancing the human immune system against cancer cells. ADAPTIR and ADAPTIR-FLEX are both modular platforms, which gives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investigational-stage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immunotherapies that are designed to engage immune effector cells and disease targets to produce signaling responses that modulate the immune system to kill tumor cells.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we are skilled at candidate generation, validation, and subsequent preclinical and clinical development using the ADAPTIR platform and the ADAPTIR-FLEX platform to generate bispecific and multi-specific candidates or other candidates to our platform capabilities. We have developed a preclinical candidate based on the ADAPTIR-FLEX platform which is advancing in our pipeline. We are developing our ADAPTIR and ADAPTIR-FLEX molecules using our protein engineering, preclinical development, process development, and clinical development capabilities.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9" w:lineRule="exact"/>
        <w:rPr>
          <w:sz w:val="20"/>
          <w:szCs w:val="20"/>
          <w:color w:val="auto"/>
        </w:rPr>
      </w:pPr>
    </w:p>
    <w:p>
      <w:pPr>
        <w:ind w:left="1020" w:right="1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2024, the Company announced interim data from the ALG.APV-527 Phase 1 dose escalation trial for the treatment of multiple solid tum 5T4.</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for initiation of the Company’s APVO436 Phase 1b/2 dose optimization trial for frontline AML in combination with venetoclax and azacitidine is ongoing.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10, 2024, Aptevo closed a public offering for $4.6 million that included healthcare-focused institutional investors.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relate primarily to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72" w:lineRule="exact"/>
        <w:rPr>
          <w:sz w:val="20"/>
          <w:szCs w:val="20"/>
          <w:color w:val="auto"/>
        </w:rPr>
      </w:pPr>
    </w:p>
    <w:p>
      <w:pPr>
        <w:ind w:left="1800" w:hanging="384"/>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salaries and related expenses, including stock-based compensation and benefits for our employees involved in our drug discovery and development activities;</w:t>
      </w:r>
    </w:p>
    <w:p>
      <w:pPr>
        <w:spacing w:after="0" w:line="53"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related to our clinical and pre-clinical programs;</w:t>
      </w:r>
    </w:p>
    <w:p>
      <w:pPr>
        <w:spacing w:after="0" w:line="117" w:lineRule="exact"/>
        <w:rPr>
          <w:rFonts w:ascii="Times New Roman" w:cs="Times New Roman" w:eastAsia="Times New Roman" w:hAnsi="Times New Roman"/>
          <w:sz w:val="18"/>
          <w:szCs w:val="18"/>
          <w:color w:val="auto"/>
        </w:rPr>
      </w:pPr>
    </w:p>
    <w:p>
      <w:pPr>
        <w:ind w:left="1800" w:hanging="384"/>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 incurred under agreements with third-party contract research organizations (CRO’s) and investigative sites;</w:t>
      </w:r>
    </w:p>
    <w:p>
      <w:pPr>
        <w:spacing w:after="0" w:line="53"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material expense for third-party manufacturing; and</w:t>
      </w:r>
    </w:p>
    <w:p>
      <w:pPr>
        <w:spacing w:after="0" w:line="117"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costs such as rent, utilities and depreciation.</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program for the three months ended March 31, 2024 and 2023 are shown in the following table:</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spacing w:after="0"/>
              <w:rPr>
                <w:sz w:val="16"/>
                <w:szCs w:val="16"/>
                <w:color w:val="auto"/>
              </w:rPr>
            </w:pPr>
          </w:p>
        </w:tc>
        <w:tc>
          <w:tcPr>
            <w:tcW w:w="420" w:type="dxa"/>
            <w:vAlign w:val="bottom"/>
          </w:tcPr>
          <w:p>
            <w:pPr>
              <w:spacing w:after="0"/>
              <w:rPr>
                <w:sz w:val="16"/>
                <w:szCs w:val="16"/>
                <w:color w:val="auto"/>
              </w:rPr>
            </w:pPr>
          </w:p>
        </w:tc>
        <w:tc>
          <w:tcPr>
            <w:tcW w:w="36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APVO436</w:t>
            </w: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ALG.APV-527</w:t>
            </w: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60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$0.4 million, from $4.2 million for the three months ended March 31, 2023 to $3.8 million for the three months ended March 31, 2024. The decrease was primarily due to lower spending on APVO436 clinical trial as we concluded the Phase 1b study and are preparing to initiate Phase 1b/2 study and lower spending on preclinical projects and employee costs. The decrease was partially offset by higher spending on ALG.APV-527 Phase 1 clinical trial costs.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$0.4 million, from $3.6 million for the three months ended March 31, 2023 to $3.2 million for the three months ended March 31, 2024. The decrease is primarily due to lower employee and consulting costs.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from our cash equivalents and interest expense related to debt financing, which was paid off in Q1 2023.</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$0.2 million and other expense, net was $0.1 million for the three months ended March 31, 2024 and 2023, respectively. The change in other income (expense), net is primarily due to the repayment of our MidCap term loan in the first quarter of 2023.</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Gain Related to Sale of Nonfinancial Asset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recorded $9.7 million in other income for the three months ended March 31, 2023, due to the sale of the deferred payments and milestones to XOMA during the quarter (see Note 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did not record income from discontinued operations for the three months ended March 31, 2024. For the three months ended March 31, 2023, we recorded $0.9 million of contingent gain consideration from previous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 for discussion of our accounting policies, significant judgments, and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2024 and 2023</w:t>
      </w:r>
      <w:r>
        <w:rPr>
          <w:rFonts w:ascii="Times New Roman" w:cs="Times New Roman" w:eastAsia="Times New Roman" w:hAnsi="Times New Roman"/>
          <w:sz w:val="18"/>
          <w:szCs w:val="18"/>
          <w:color w:val="231F20"/>
        </w:rPr>
        <w:t>:</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69"/>
        </w:trPr>
        <w:tc>
          <w:tcPr>
            <w:tcW w:w="6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(6,651 )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(1,873 )</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(6,654 )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$6.7 million for the three months ended March 31, 2024 was primarily due to our net loss of $6.8 million for the period and changes in working capital accounts. Net cash provided by operating activities of $4.6 million for the three months ended March 31, 2023 was primarily due to our net income of $2.8 million for the period and changes in working capital accounts.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was $3 thousand. Net cash used in financing activities of $1.9 million for the three months ended March 31, 2023 was primarily due to the $3.5 million of repayments of the MidCap Financial term loan, which included the remaining outstanding principal balance and loan prepayment fees. This was offset by the $1.6 million proceeds received from issuance of common stock pursuant to our Equity Distribution Agreement with Piper Sandler.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IXINITY Milestone Payments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28, 2020, Aptevo entered into an LLC Purchase Agreement with Medexus, pursuant to which we sold all of the issued and outstanding limited liability company interests of Aptevo BioTherapeutics LLC, a wholly owned subsidiary of Aptevo (the "LLC Purchase Agreement").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Aptevo continues to be eligible to receive up to $5.8 million in milestone payments from Medexus upon achievement of certain regulatory and IXINITY net sales threshold. For the three months ended March 31, 2023, Aptevo received $0.5 million in deferred payments from Medexus related to IXINITY sales for the fourth quarter of 2022.</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Common Warrants - August 2023</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August 4, 2023, in connection with the completion of a public offering, we issued Series A Common Warrants to purchase up to an aggregate of 183,281 shares of common stock and Series B Common Warrants to purchase up to an aggregate of 183,281 shares of common stock. The Series A and Series B Common Warrants have an exercise price of $27.28 per share, are exercisable immediately following the date of issuance and will expire on August 4, 2028 and February 4, 2025, respectively. As of March 31, 2024, we have 42,555 Series A and 1,316 Series B Common Warrants outstanding from our August 2023 public offering with an exercise price of $27.28 per share. If the remaining August 2023 warrants are exercised, we will receive up to an additional $1.2 million in gross proceeds.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Common Warrants – November 2023</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9, 2023, we entered into a warrant inducement agreement (the "Inducement Agreement") with certain holders of our Series A and Series B common warrants issued in connection with our August 2023 public offering to exercise for cash 140,726 Series A and 181,965 Series B common warrants at a reduced exercise price of $10.25. We received $3.3 million in gross proceeds from the exercise of these warrants and issued an aggregate of 645,382 new Series A and new Series B warrants. As of March 31, 2024, we have 281,452 Series A and 363,930 Series B Common Warrants outstanding from our November 2023 warrant inducement with an exercise price of $10.25 per share. If the warrants are exercised, we will receive up to an additional $6.6 million in gross proceeds.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Warrants - April 2024</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April 10, 2024, we completed a public offering related to the issuance and sale of 3,400,000 shares of our common stock (or pre-funded warrants in lieu thereof) at a purchase price of $1.35 per share. We received $4.6 million in gross proceeds from the issuance of these shares. Our net proceeds from the offering amounted to $4.0 million after placement agent and other fees. Additionally, we issued common warrants to purchase up to an aggregate of 6,800,000 shares of common stock. The common warrants have an exercise price of $1.35 per share, are exercisable immediately following the date of issuance and will expire in April 2029. If the warrants are exercised, we will receive up to an additional $9.2 million in proceeds.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financed our operations to date primarily through royalty and purchase agreements with various partners, sale of business products and segments, public offerings of our common stock, loan proceeds, milestone payments, research and development funding from strategic partners, revenue generated from our previously owned commercial products, and funds received at the date of our spin-off from Emergent. We had cash and cash equivalents of $10.3 million and an accumulated deficit of $230.3 million as of March 31, 2024.</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2024, net cash used in our operating activities was $6.7 million.</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develop our product candidates.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experience delays in opportunities to partner our product candidates, due to financial and other impacts on potential partners. Additionally, we may experience potential impacts on our future milestones from Medexus due to effects of macroeconomic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impacts, including, but not limited to, bank failure, and the rising and fluctuating inflation, which may impact Medexus’ ability to continue to successfully commercialize the IXINITY businesses.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54" w:lineRule="exact"/>
        <w:rPr>
          <w:sz w:val="20"/>
          <w:szCs w:val="20"/>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when needed or on acceptable terms;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profitability given our historical losses;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completing our clinical trials, and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clearance to commence clinical trials for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including rising and fluctuating inflation, interest rates and supply chain constraints;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ADAPTIR or ADAPTIR-FLEX platforms;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w:t>
      </w:r>
    </w:p>
    <w:p>
      <w:pPr>
        <w:spacing w:after="0" w:line="117"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effectively conduct our clinical and non-clinical trials, and to effectively carry out their contractual duties, comply with regulatory requirements or meet expected deadlines;</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 payments from Medexus with respect to IXINITY; and</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raise substantial additional capital in the next year, whether on terms that are acceptable to us or at all, then we may be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clinical trials or other development activities for one or more of our product candidates; and/or,</w:t>
      </w:r>
    </w:p>
    <w:p>
      <w:pPr>
        <w:spacing w:after="0" w:line="117"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other activities that may be necessary to commercialize our product candidates, if approved.</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macroeconomic factors, we may experience delays in clinical trials and non-clinical work, and opportunities to partner our product candidates, due to financial and other impacts on potential partners.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of the amended lease is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in May 2022.</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APVO436 and APVO603 are the product candidates currently subject to this agreement. Pursuant to our agreement, we are required to make a $2.0 million milestone payment upon dosing the first patient in a Phase 2 clinical trial of APVO436.</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there were no material changes to the information provided under Item 7A, Quantitative and Qualitative Disclosures About Market Risk in our Annual Report on Form 10-K for the year ended December 31, 2023 filed on March 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2024,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March 31, 2024,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profitable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and may be unable to raise capital when needed or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our continued ability to attract, motivate and retain key personnel, and any failure to attract or retain key personnel may negatively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in part, upon our ability to develop, receive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and maintaining collaborations that leverage our capabilities in pursuit of developing and commercializing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and will continue to face substantial competition and our failure to effectively compete may prevent us from achieving significant market penetration for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and fluctuating inflation, interest rates, market volatility, economic uncertainty, bank failure, and supply chain constraints.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further develop our ADAPTIR or ADAPTIR-FLEX platforms.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proprietary rights, our business could be harmed.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against us have been and could be disruptive and costly and may cause uncertainty about the strategic direction of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and may continue to be volatile.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periodic litigation, which could result in losses or unexpected expenditure of time and resources.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income will depend, in part, on the ability of Medexus to successfully further develop, market and commercialize IXINITY, resulting in milestone payments to the Company by Medexus.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experienced significant operating losses in the past and may not be profitable in the future. For the three months ended March 31, 2024, we had net loss of $6.8 million compared to $2.8 million net income for the same period in 2023. The net income for the three months ended March 31, 2023 was due to a one-time $9.7 million gain recognized as a result the sale of deferred payments and milestones to XOMA during the period. As of March 31, 2024, we had an accumulated deficit of $230.3 million. We expect to continue to incur annual net operating losses for the foreseeable future, and will require substantial resources over the next several years as we expand our efforts to discover, develop and commercialize immunotherapeutic candidates. Our future success and ability to attain profitability will depend upon our ability to develop and commercialize our product candidates.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board of directors have concluded that a substantial doubt is deemed to exist concerning our ability to continue as a going concern</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Accounting Standards Update, or ASU 2014-15, requires management to assess our ability to continue as a going concern for one year after the date the financial statements are issued. As further discussed in Note 1, Nature of Business and Significant Accounting Policies to our condensed consolidated financial statements in this Form 10-Q, substantial doubt is deemed to exist about the company’s ability to continue as a going concern through May 2025. Our financial statements do not include any adjustment relating to the recoverability and classification of recorded asset amounts or the amounts and classification of liabilities that might be necessary should we be unable to continue as a going concern. Our ability to continue as a going concern will require us to generate positive cash flow from operations, obtain additional financing, enter into strategic alliances and/or sell assets in addition to our existing cash and cash equivalents and the funding provided by our Purchase Agreement with XOMA, potential future milestone payments from Medexus under our LLC Purchase Agreement and exercise of warrants. The reaction of investors to the inclusion of a going concern statement in this report on Form 10-Q, our current lack of cash resources and our potential inability to continue as a going concern may materially adversely affect our share price and our ability to raise new capital and enter into strategic alliances. If we become unable to continue as a going concern, we may have to liquidate our assets and the values we receive for our assets in liquidation or dissolution could be significantly lower than the values reflected in our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March 31, 2024, we had cash and cash equivalents in the amount of $10.3 million. We will require additional funding to continue our business including to support the ongoing clinical development of APVO436 and ALG.APV-527,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business opportunities. A failure to raise the additional funding or to effectively implement cost reductions would harm our business, results of operations and future prospects. Our future capital requirements will depend on many factors, including:</w:t>
      </w:r>
    </w:p>
    <w:p>
      <w:pPr>
        <w:spacing w:after="0" w:line="8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attract, motivate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receipt of any milestone payments under our agreements with Medexus with respect to the sales of IXINITY;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any future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costs, timing, and other requirements to initiate and complete our Phase 1b/2 clinical trial for APVO436 and Phase 1 clinical trial of ALG.APV-527, as well as future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obtaining, maintaining, enforcing and protecting our intellectual property rights and defending intellectual property-related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the impact of inflation and cost of capital.</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such as macroeconomic conditions, could cause us to consume capital significantly faster than we currently anticipate, and we may need to seek additional funds sooner than planned.</w:t>
      </w:r>
    </w:p>
    <w:p>
      <w:pPr>
        <w:spacing w:after="0" w:line="5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rising and fluctuating interest rates, economic uncertainty and volatility in the capital market, geopolitical tensions, including the ongoing war between Ukraine and Russia and the rising conflict in the Middle East, reoccurrences of COVID-19 or other pandemics, or other future widespread public health epidemics, or other factors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On August 4, 2023, we completed a public offering related to the issuance and sale of 183,281 shares of our common stock (or pre-funded warrant in lieu thereof) at a purchase price of $27.28. We received $5 million in gross proceeds from issuance of these shares. Our net proceeds from the offering amounted to $4.3 million after placement agent and other fees. On November 9, 2023, we entered into a warrant inducement agreement with certain Holders of existing common warrants ("Existing Warrants") issued to Holders on August 4, 2023, to exercise for cash their Existing Warrants to purchase shares of our common stock at a purchase price of $10.25. In consideration of the Holders' agreement to exercise their Existing Warrants, we agreed to issue new common warrants ("New Warrants") to purchase a number of shares of common stock equal to 200% of the number of shares of common stock issued upon exercise of the Existing Warrants. We received $3.3 million in gross proceeds from the exercise of 322,691 common warrants and issued 645,382 New Warrants. Our net proceeds from the offering amounted to $3.0 million after placement agent and other fees. On April 10, 2024, we completed a public offering related to the issuance and sale of 3,400,000 shares of our common stock (or pre-funded warrants in lieu thereof) at a purchase price of $1.35. We received $4.6 million in gross proceeds from issuance of these shares. Our net proceeds from the offering amounted to $4.0 million after placement agent and other fees. Future issuances of common stock may include, but not be limited to, (i) the issuance of the remaining outstanding shares of common stock upon the exercise of warrants issued in connection with our August and November 2023 and April 2024 public offering of common stock and warrants that would result in gross proceeds of $17.0 million, or (ii) the issuance of common stock in a firm commitment offering or private placement. Public or bank debt financing, if available, may involve agreements that include covenants limiting or restricting our ability to take specific actions, such as incurring additional debt, making capital expenditures, pursuing acquisition opportunities, declaring dividends, our ability to acquire, sell or license intellectual property rights and other operating restrictions that could adversely impact our ability to conduct our 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9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shelf registration statement on Form S-3 expired on December 18, 2023. SEC regulations limit the amount of funds we can raise during any 12-month period pursuant to a shelf registration statement on Form S-3. Prior to expiration of our shelf registration statement, on March 29, 2022, we filed an amendment to the prospectus related to the Registration Statement on Form S-3 filed on December 14, 2020 pursuant to General Instruction I.B.6 of Form S-3 (General Instruction I.B.6), which updated the amount of registered shares that we were eligible to sell. So long as the aggregate market value of our common stock held by non-affiliates was less than $75 million, we would not be permitted to sell any registered shares under such Form S-3 with a value of more than one-third of the aggregate market value of our common stock held by non-affiliates in any 12-month period due to the limitations of General Instruction I.B.6 of Form S-3 and the then-current public float of our common stock. If we are required to file a new registration statement on another form, we may incur additional costs and be subject to delays in raising capital due to review by SEC staff.</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and fluctuating inflation, interest rates, market volatility, economic uncertainty, and supply chain constraints.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Various macroeconomic factors have in the past and could adversely affect in the future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has negatively impacted the Company by increasing our labor costs, through higher wages and higher interest rates,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products may be negatively affected. Interest rates, the liquidity of the credit markets and the volatility of the capital markets could also affect the operation of our business and our ability to raise capital on favorable terms, or at all, in order to fund our operations.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Stockholders have in the past and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value for our stockholders. We may choose to initiate, or may become subject to, litigation as a result of a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income will depend, in part, on the ability of Medexus to successfully further develop, market and commercialize IXINITY, resulting in milestone payments to the Company by Medexus.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were earned at the rate of 2% of net revenue through June 2022. As of June 30, 2022, the royalty rate on net revenue of IXINITY increased to 5%.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We accounted for the $9.6 million Closing Payment and the $0.05 million post-closing payment from XOMA as other income in accordance with ASC 610-20 </w:t>
      </w:r>
      <w:r>
        <w:rPr>
          <w:rFonts w:ascii="Times New Roman" w:cs="Times New Roman" w:eastAsia="Times New Roman" w:hAnsi="Times New Roman"/>
          <w:sz w:val="18"/>
          <w:szCs w:val="18"/>
          <w:i w:val="1"/>
          <w:iCs w:val="1"/>
          <w:color w:val="auto"/>
        </w:rPr>
        <w:t>Other Income - Gains and Losses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Derecognition of Nonfinancial Assets </w:t>
      </w:r>
      <w:r>
        <w:rPr>
          <w:rFonts w:ascii="Times New Roman" w:cs="Times New Roman" w:eastAsia="Times New Roman" w:hAnsi="Times New Roman"/>
          <w:sz w:val="18"/>
          <w:szCs w:val="18"/>
          <w:color w:val="auto"/>
        </w:rPr>
        <w:t>in the first quarter of 2023.</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milestone payments from Medexus due to the macroeconomic and geopolitical environment. The failure of Medexus to successfully market and commercialize IXINITY, including because of factors outside of Medexus’ control, could result in lower than expected milestone payments to us and negatively impact our future financial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as a result of a variety of factors, including: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any milestone payments with respect to sales of IXINITY by Medexus;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and clinical activities as well as expenditures we may incur to acquire or develop additional technologies, products and product candidates.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the macroeconomic and geopolitical environment, we may experience delays in opportunities to partner our product candidates, due to financial and other impacts on potential partners. Additionally, we may experience potential impacts on our future milestone payments from Medexus, which may impact Medexus’ ability to continue to successfully commercialize the IXINITY businesses. These and other factors may have a material adverse effect on our business, results of operations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cannot successfully defend ourselves against future claims that our product candidates caused injuries, we may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claims may result in:</w:t>
      </w:r>
    </w:p>
    <w:p>
      <w:pPr>
        <w:spacing w:after="0" w:line="9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an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products that we may develop.</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Operating Officer, Jeffrey G. Lamothe, our Chief Financial Officer, Daphne Taylor, our General Counsel, SoYoung Kwon,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do not currently have enough shares available under our 2018 Stock Incentive Plan to grant awards to senior management and future awards to our employees, which could result in our inability to attract, retain, and motivate our key personnel.</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March 2024 is 3.44%).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79" w:lineRule="exact"/>
        <w:rPr>
          <w:sz w:val="20"/>
          <w:szCs w:val="20"/>
          <w:color w:val="auto"/>
        </w:rPr>
      </w:pPr>
    </w:p>
    <w:p>
      <w:pPr>
        <w:jc w:val="both"/>
        <w:ind w:firstLine="530"/>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$168.2 million and $70.5 million of federal and state net operating loss carryforwards, respectively, available to reduce future taxable income that will begin to expire in 2037 for federal income tax purposes. We completed an IRC Section 382 study through December 31, 2023. The study concluded that we have experienced an ownership change in November of 2020 and December of 2020 and $162.6 of our NOL carry forwards are subject to an annual limitation. It is not expected that the annual limitations will result in the expiration of NOL carryforwards prior to utilization assuming sufficient income.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change to the deductibility of our research and development expenditures enacted under the Tax Cuts and Jobs Act ("TCJA") could increase the amount of taxes to which we are subject and our effective tax rate.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Beginning in 2022, the TCJA eliminates the option to deduct research and development expenditures currently and requires taxpayers to capitalize and amortize these expenditures over five or fifteen years depending on the type of research and development expenditure pursuant to Section 174 of the Code. Such change to the deductibility of our research and development expenditures could increase the amount of taxes to which we are subject and our effective tax rate.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w:t>
      </w:r>
    </w:p>
    <w:p>
      <w:pPr>
        <w:sectPr>
          <w:pgSz w:w="11900" w:h="16838" w:orient="portrait"/>
          <w:cols w:equalWidth="0" w:num="1">
            <w:col w:w="11240"/>
          </w:cols>
          <w:pgMar w:left="320" w:top="877"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geopolitical tension, such as a deterioration in the bilateral relationship between the US and China, the rising conflict in the Middle East, or Russia’s invasion of Ukraine,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 Severe global economic and societal disruptions and uncertainties, such as reoccurrences of COVID-19 or other pandemics, or other future widespread public health epidemics may cause disruptions that could severely impact our business, such as delays or difficulties to the financing environment and raising capital due to economic uncertainty or volatility.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3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completed our Phase 1b dose expansion clinical trial with APVO436 in 2023 and plan to initiate a dose optimization Phase 1b/2 study in the first half of 2024 to assess safety and efficacy of APVO436 and to determine an optimal dose in front line patients. Additionally, we initiated a first-in-human Phase 1 clinical study of ALG.APV-527 in the first quarter of 2023 and we are currently enrolling new patients.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our APVO436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 In addition, although the FDA issued a “may proceed” notification which allowed us and Alligator to initiate our Phase 1 clinical trial of ALG.APV-527, and the interim data from the dose escalation phase are positive, we cannot guarantee that this trial or future trials of ALG.APV-527 will show the desired safety and efficacy.</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laws, regulations, or the regulatory review process during the development period rendering our data insufficient to obtain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submitted INDs and received approvals to proceed into clinical trials for multiple product candidates, including ALG.APV-527 and APVO436,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acute myelogenous leukemia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preliminary results of any of our clinical trial sites;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8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abandon our research efforts for our other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preclinical trials required to obtain regulatory approval for our product candidates. We depend on third parties, such as independent clinical investigators, research sites, contract research organizations, or CROs, and other third-party service providers to conduct the clinical and preclinical trials of our product candidates, and we expect to continue to do so. For example, Dr. Dirk Huebner, Chief Medical Officer, is providing clinical trial and medical affairs oversight duties as an independent consultant. We rely heavily on Dr. Huebner and these other third parties for successful execution and oversight of our clinical and non-clinical trials, but we do not exercise day to day control over their activities.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third-party manufacturers do not successfully carry out their contractual duties, meet expected deadlines or manufacture and/or store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any 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spacing w:after="0" w:line="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8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designation contained an untrue statement of material fact or omitted material information, or if the FDA finds that the product candidate was not eligible for designation at the time of the submission of the request.</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the product candidates we develop qualify as breakthrough therapies, the FDA may later decide that the drugs no longer meet the conditions for qualification and rescind the designation.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w:t>
      </w:r>
    </w:p>
    <w:p>
      <w:pPr>
        <w:spacing w:after="0" w:line="3" w:lineRule="exact"/>
        <w:rPr>
          <w:sz w:val="20"/>
          <w:szCs w:val="20"/>
          <w:color w:val="auto"/>
        </w:rPr>
      </w:pPr>
    </w:p>
    <w:p>
      <w:pPr>
        <w:jc w:val="both"/>
        <w:ind w:firstLine="8"/>
        <w:spacing w:after="0" w:line="251"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product will be developed more quickly or receive a faster FDA review process or ultimate FDA approval. Moreover, the FDA may revoke a designation if the FDA determines that a designated platform technology no longer meets the criteria for such designation.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conduct clinical trials for our product candidates outside the United States, and the FDA or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 in the development or approval of our product candidates in those jurisdictions.</w:t>
      </w:r>
    </w:p>
    <w:p>
      <w:pPr>
        <w:spacing w:after="0" w:line="9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APVO436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or ADAPTIR-FLEX platforms.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immuno-oncology candidates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most significant competitors in the oncology market include: AbbVie Inc., Affimed, ALX Oncology Holdings Inc., Amgen Inc., Arcellx, AstraZeneca, AvenCell Therapeutics, Inc., BioNTech, Bio-Path, Bristol Myers Squibb, Cellectis, Faron Pharma, F-star Therapeutics, Genentech Inc. (a subsidiary of F. Hoffmann-La Roche Ltd.), Genmab A/S, Gilead Sciences, Inc., GlaxoSmithKline plc, ImmunoGen, Inc., Johnson &amp; Johnson, Macrogenics, Inc., Menarini Group, Molecular Partners, Novartis, Pieris Pharmaceuticals, Inc., Regeneron Pharma, Sanofi-Aventis US LLC, Shattuck Labs, Syros Pharmaceuticals, Inc., Servier Laboratories,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healthcare reform measures may have a material adverse effect on our business and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84" w:lineRule="exact"/>
        <w:rPr>
          <w:sz w:val="20"/>
          <w:szCs w:val="20"/>
          <w:color w:val="auto"/>
        </w:rPr>
      </w:pPr>
    </w:p>
    <w:p>
      <w:pPr>
        <w:jc w:val="both"/>
        <w:ind w:left="102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resumed on July 1,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both"/>
        <w:ind w:left="10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Legislative and regulatory agendas, as they relate to the healthcare and pharmaceutical industries and the economy as a whole, of the Biden administration and the U.S. Congress currently remain uncertain. One example of President Biden’s priorities came via an executive order that he issued on July 9, 2021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commercial sales. In addition, we may need to address a number of technological challenges in order to complete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development of product candidates may take longer than anticipated or not be successful at all.</w:t>
      </w:r>
    </w:p>
    <w:p>
      <w:pPr>
        <w:spacing w:after="0" w:line="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75"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 and product labels;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similar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040" w:hanging="508"/>
        <w:spacing w:after="0" w:line="25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79" w:lineRule="exact"/>
        <w:rPr>
          <w:rFonts w:ascii="Times New Roman" w:cs="Times New Roman" w:eastAsia="Times New Roman" w:hAnsi="Times New Roman"/>
          <w:sz w:val="18"/>
          <w:szCs w:val="18"/>
          <w:color w:val="auto"/>
        </w:rPr>
      </w:pPr>
    </w:p>
    <w:p>
      <w:pPr>
        <w:jc w:val="both"/>
        <w:ind w:left="1040" w:hanging="508"/>
        <w:spacing w:after="0" w:line="258"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left="1040" w:hanging="508"/>
        <w:spacing w:after="0" w:line="255"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040" w:hanging="508"/>
        <w:spacing w:after="0" w:line="255"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 breach of our information technology systems or those of our key third-party vendors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those that we have rights through licenses from third parties, will adequately protect our intellectual property. Our success in protecting our intellectual property depends significantly on our ability to:</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USPTO, or the Opposition Divisions of the European Patent Office (EPO). Potential proceedings before the PTAB include inter parties review proceedings, post-grant review proceedings and interference proceedings. Depending on our level of success at the PTAB and Opposition Divisions of the EPO, these proceedings could adversely impact our intellectual property rights with respect to our products and technology.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products regulated as biologics may face competition from biosimilars approved through an abbreviated regulatory pathway.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a similar abbreviated pathway for the approval of biosimilar products in the EU. Reference products in the EU benefit from an eight-year data exclusivity period during which the data included in the dossier for the reference product may not be referenced for the purposes of an abbreviated biosimilar application. Following the expiration of the data exclusivity period, there is an additional two-year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an application pending that covers the APTEVO THERAPEUTICS trademark and received a notice of allowance in September 2022 from the USPTO for the APTEVO BIOTHERAPEUTICS and APTEVO RESEARCH AND DEVELOPMENT trademarks. We refer to these trademarks as our house marks. If a third-party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Collaborations and Other Transactions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have been collaboratively developing ALG.APV-527, a first-in-class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terminate our relationship.</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macroeconomic factors, we may experience delays in opportunities to develop our product candidates, due to financial and other impacts on potential partners.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 attention from other business operations. Any transactions we engage in could result in our financial results differing materially from market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may continue to be volatile.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Between August 1, 2016 and March 31, 2024, the reported closing price of our common stock has fluctuated between $4.01 and $3,659.04 per share (as adjusted to reflect our 1-for-44 reverse stock split of our outstanding common stock that was effective on March 5, 2024).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climate, including the war in Ukraine and the rising conflict in the Middle East, and macroeconomic conditions, including rising and fluctuating inflation and interest rates and reduced consumer confidence. The market price of our common stock may fluctuate significantly due to a number of factors, some of which may be beyond our control or unrelated to our operations, including, among others: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investor perceptions or negative announcements by our competitors, suppliers, or partners regarding their own performance;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success of competitive products or technologies;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expenses, and results of clinical and preclinical trials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 concern as to the safety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termination or delay of a development program;</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recruitment or departure of key personnel;</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estimated or actual sales of IXINITY by Medexus;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variations in our cash flows or results of operations;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industry and macroeconomic conditions, including domestic and global financial, economic, and geopolitical instability;</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continue as a going concern; and</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other factors described in this “Risk Factors” section.</w:t>
      </w:r>
    </w:p>
    <w:p>
      <w:pPr>
        <w:spacing w:after="0" w:line="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controls, we may not be able to accurately report our financial results and our business could be harmed.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LLC (Nasdaq). Nasdaq has minimum requirements that a company must meet in order to remain listed on Nasdaq, including corporate governance standards and a requirement that we maintain a minimum closing bid price of $1.00 per share and a minimum stockholders' equity of at least $2.5 million, among other requirements.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September 13, 2023, we received a letter from the staff (the “Staff”) of The Nasdaq Stock Market notifying us that, for the last 30 consecutive business days, the bid price of our common stock had closed below $1.00 per share, the minimum closing bid price required by the continued listing requirements of Nasdaq Listing Rule 5550(a)(2) (the "Bid Price Requirement"). On March 5, 2024, we filed a Certificate of Amendment to our Amended and Restated Certificate of Incorporation with the Secretary of State of the State of Delaware to effect a 1-for-44 reverse stock split of our outstanding common stock (the “Reverse Stock Split”). The Reverse Stock Split became effective on March 5, 2024 at 5:01 p.m. Eastern Time, and our common stock began trading on the Nasdaq Capital Market, on a split-adjusted basis, at market open on March 6, 2024. On March 20, 2024, we received notification from Nasdaq that for ten consecutive business days, the closing bid price of our common stock was at least $1.00 per share, and accordingly, we regained compliance with the Bid Price Requirement, and that the matter is now closed.</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However, we cannot guarantee continued satisfaction of the Nasdaq listing requirements and other rules in the future.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or securities convertible into equity for acquisitions, capital market transactions or otherwise, including, but not limited to, equity issuances under our Rights Plan with Broadridge Corporate Issuer Solutions, Inc., upon the exercise of warrants issued in connection with our August 2023 public offerings and November 2023 Warrant Inducement Agreement,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we currently have a short-term stockholder Rights Agreement in effect. On November 2, 2023, we entered into Amendment No. 3 to the Rights Agreement and extended the expiration of such agreement to November 4, 2024.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your ability to bring actions against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periodic litigation, which could result in losses or unexpected expenditure of time and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Any such sales or perception that such sales may occur could decrease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quarter ended March 31, 2024, none of our directors or executive officers adopted, terminated or materially modified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20" w:type="dxa"/>
            <w:vAlign w:val="bottom"/>
            <w:gridSpan w:val="5"/>
          </w:tcPr>
          <w:p>
            <w:pPr>
              <w:ind w:left="3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0"/>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20" w:type="dxa"/>
            <w:vAlign w:val="bottom"/>
            <w:gridSpan w:val="5"/>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2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Certificate of Amendment of Amended and Restated Certificate of Incorporation of Aptevo Therapeutics, Inc. (incorporated by reference to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Exhibit 3.1 to the Company’s Current Report on Form 8-K filed on March 5, 2024).</w:t>
              </w:r>
            </w:hyperlink>
          </w:p>
        </w:tc>
        <w:tc>
          <w:tcPr>
            <w:tcW w:w="20" w:type="dxa"/>
            <w:vAlign w:val="bottom"/>
            <w:tcBorders>
              <w:bottom w:val="single" w:sz="8" w:color="0000EE"/>
            </w:tcBorders>
          </w:tcPr>
          <w:p>
            <w:pPr>
              <w:spacing w:after="0"/>
              <w:rPr>
                <w:sz w:val="17"/>
                <w:szCs w:val="17"/>
                <w:color w:val="auto"/>
              </w:rPr>
            </w:pPr>
          </w:p>
        </w:tc>
        <w:tc>
          <w:tcPr>
            <w:tcW w:w="4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 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 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4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1912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93" w:lineRule="exact"/>
        <w:rPr>
          <w:sz w:val="20"/>
          <w:szCs w:val="20"/>
          <w:color w:val="auto"/>
        </w:rPr>
      </w:pPr>
    </w:p>
    <w:p>
      <w:pPr>
        <w:ind w:left="20"/>
        <w:spacing w:after="0"/>
        <w:tabs>
          <w:tab w:leader="none" w:pos="6200" w:val="left"/>
          <w:tab w:leader="none" w:pos="81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3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97" w:lineRule="exact"/>
        <w:rPr>
          <w:sz w:val="20"/>
          <w:szCs w:val="20"/>
          <w:color w:val="auto"/>
        </w:rPr>
      </w:pPr>
    </w:p>
    <w:p>
      <w:pPr>
        <w:ind w:left="20"/>
        <w:spacing w:after="0"/>
        <w:tabs>
          <w:tab w:leader="none" w:pos="6200" w:val="left"/>
          <w:tab w:leader="none" w:pos="82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3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Daphne Taylor,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79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Therapeutics Inc. on Form 10-Q for the period ending March 31,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6720" w:val="left"/>
          <w:tab w:leader="none" w:pos="842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574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23"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74"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Inc. on Form 10-Q for the period ending March 31,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6720" w:val="left"/>
          <w:tab w:leader="none" w:pos="84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574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23"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74"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3"/>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lvl w:ilvl="1">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76" Type="http://schemas.openxmlformats.org/officeDocument/2006/relationships/hyperlink" Target="https://www.sec.gov/ix?doc=/Archives/edgar/data/0001671584/000095017024026223/apvo-202403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2024-05-08T07:40:34Z</dcterms:created>
  <dcterms:modified xsi:type="dcterms:W3CDTF">2024-05-08T07:40:34Z</dcterms:modified>
</cp:coreProperties>
</file>