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4"/>
                <w:szCs w:val="24"/>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0"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Pr>
          <w:p>
            <w:pPr>
              <w:ind w:left="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684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20" w:type="dxa"/>
            <w:vAlign w:val="bottom"/>
          </w:tcPr>
          <w:p>
            <w:pPr>
              <w:ind w:left="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8740" w:type="dxa"/>
            <w:vAlign w:val="bottom"/>
            <w:gridSpan w:val="2"/>
          </w:tcPr>
          <w:p>
            <w:pPr>
              <w:ind w:left="52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2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740" w:type="dxa"/>
            <w:vAlign w:val="bottom"/>
            <w:gridSpan w:val="2"/>
          </w:tcPr>
          <w:p>
            <w:pPr>
              <w:ind w:left="520"/>
              <w:spacing w:after="0"/>
              <w:rPr>
                <w:sz w:val="20"/>
                <w:szCs w:val="20"/>
                <w:color w:val="auto"/>
              </w:rPr>
            </w:pPr>
            <w:r>
              <w:rPr>
                <w:rFonts w:ascii="Arial" w:cs="Arial" w:eastAsia="Arial" w:hAnsi="Arial"/>
                <w:sz w:val="18"/>
                <w:szCs w:val="18"/>
                <w:color w:val="auto"/>
              </w:rPr>
              <w:t>As of November 1, 2016, 20,248,824 shares of the registrant’s common stock were outstanding.</w:t>
            </w: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1900" w:type="dxa"/>
            <w:vAlign w:val="bottom"/>
            <w:tcBorders>
              <w:bottom w:val="single" w:sz="8" w:color="auto"/>
            </w:tcBorders>
          </w:tcPr>
          <w:p>
            <w:pPr>
              <w:spacing w:after="0"/>
              <w:rPr>
                <w:sz w:val="11"/>
                <w:szCs w:val="11"/>
                <w:color w:val="auto"/>
              </w:rPr>
            </w:pPr>
          </w:p>
        </w:tc>
        <w:tc>
          <w:tcPr>
            <w:tcW w:w="68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19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460" w:type="dxa"/>
            <w:vAlign w:val="bottom"/>
            <w:gridSpan w:val="17"/>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1800" w:type="dxa"/>
            <w:vAlign w:val="bottom"/>
            <w:tcBorders>
              <w:top w:val="single" w:sz="8" w:color="0000EE"/>
            </w:tcBorders>
            <w:gridSpan w:val="5"/>
          </w:tcPr>
          <w:p>
            <w:pPr>
              <w:spacing w:after="0"/>
              <w:rPr>
                <w:sz w:val="18"/>
                <w:szCs w:val="18"/>
                <w:color w:val="auto"/>
              </w:rPr>
            </w:pPr>
          </w:p>
        </w:tc>
        <w:tc>
          <w:tcPr>
            <w:tcW w:w="354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Equity</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120" w:type="dxa"/>
            <w:vAlign w:val="bottom"/>
            <w:tcBorders>
              <w:top w:val="single" w:sz="8" w:color="0000EE"/>
            </w:tcBorders>
          </w:tcPr>
          <w:p>
            <w:pPr>
              <w:spacing w:after="0"/>
              <w:rPr>
                <w:sz w:val="18"/>
                <w:szCs w:val="18"/>
                <w:color w:val="auto"/>
              </w:rPr>
            </w:pPr>
          </w:p>
        </w:tc>
        <w:tc>
          <w:tcPr>
            <w:tcW w:w="4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Controls and Procedures</w:t>
              </w:r>
            </w:hyperlink>
          </w:p>
        </w:tc>
        <w:tc>
          <w:tcPr>
            <w:tcW w:w="766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74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Unregistered Sales of Equity Securities and Use of Proceeds</w:t>
              </w:r>
            </w:hyperlink>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4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Defaults Upon Senior Securities</w:t>
              </w:r>
            </w:hyperlink>
          </w:p>
        </w:tc>
        <w:tc>
          <w:tcPr>
            <w:tcW w:w="70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Mine Safety Disclosures</w:t>
              </w:r>
            </w:hyperlink>
          </w:p>
        </w:tc>
        <w:tc>
          <w:tcPr>
            <w:tcW w:w="768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9"/>
        </w:trPr>
        <w:tc>
          <w:tcPr>
            <w:tcW w:w="11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Exhibits</w:t>
            </w:r>
          </w:p>
        </w:tc>
        <w:tc>
          <w:tcPr>
            <w:tcW w:w="8140" w:type="dxa"/>
            <w:vAlign w:val="bottom"/>
            <w:gridSpan w:val="14"/>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spacing w:after="0" w:line="190"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Exhibit Index</w:t>
              </w:r>
            </w:hyperlink>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8,951</w:t>
            </w:r>
          </w:p>
        </w:tc>
        <w:tc>
          <w:tcPr>
            <w:tcW w:w="30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Contingent consideration,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Provisions for chargebacks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or outstanding</w:t>
            </w:r>
          </w:p>
        </w:tc>
        <w:tc>
          <w:tcPr>
            <w:tcW w:w="14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20,246,355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zero shares issued and outstanding at September 30, 2016 and December 31, 2015,</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Contribution receivable from former parent</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Former parent investment in subsidiary</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(65,746)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63,750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9,405</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6,441</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27,512</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Contracts, grants and collaborations</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27,665</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(71,254)</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(13,188)</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(97,081)</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Unrealized loss on available-for-sale investments</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(4.82)</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net loss per share - basic and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20,235,987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20,229,849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20,231,910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20,229,849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(97,469)</w:t>
            </w: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chargebacks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(30,197)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(49,802)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(51,735)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Proceeds from long-term debt, net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Payment from former parent upon spin-off, net of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transfer from former parent, prior to spin-off</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Contingent consideration payments</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88,189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Contribution receivable from former parent</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Former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Contribution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38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Accumulated</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from Former</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2380" w:type="dxa"/>
            <w:vAlign w:val="bottom"/>
          </w:tcPr>
          <w:p>
            <w:pPr>
              <w:spacing w:after="0"/>
              <w:rPr>
                <w:sz w:val="13"/>
                <w:szCs w:val="13"/>
                <w:color w:val="auto"/>
              </w:rPr>
            </w:pPr>
          </w:p>
        </w:tc>
        <w:tc>
          <w:tcPr>
            <w:tcW w:w="90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Subsidiary</w:t>
            </w:r>
          </w:p>
        </w:tc>
        <w:tc>
          <w:tcPr>
            <w:tcW w:w="100" w:type="dxa"/>
            <w:vAlign w:val="bottom"/>
          </w:tcPr>
          <w:p>
            <w:pPr>
              <w:spacing w:after="0"/>
              <w:rPr>
                <w:sz w:val="13"/>
                <w:szCs w:val="13"/>
                <w:color w:val="auto"/>
              </w:rPr>
            </w:pPr>
          </w:p>
        </w:tc>
        <w:tc>
          <w:tcPr>
            <w:tcW w:w="82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Parent</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Balance at December 31, 2015</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(231,988)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Capitalization upon spinoff</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20,229,849</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66,374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46,394</w:t>
            </w:r>
          </w:p>
        </w:tc>
        <w:tc>
          <w:tcPr>
            <w:tcW w:w="100" w:type="dxa"/>
            <w:vAlign w:val="bottom"/>
          </w:tcPr>
          <w:p>
            <w:pPr>
              <w:spacing w:after="0"/>
              <w:rPr>
                <w:sz w:val="19"/>
                <w:szCs w:val="19"/>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Net transfers from former</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parent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(288,883)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231,988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24,155</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w w:val="94"/>
              </w:rPr>
              <w:t>Unrealized losses on available-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for-sale investments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Common stock issued upon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vesting of restricted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units</w:t>
            </w:r>
          </w:p>
        </w:tc>
        <w:tc>
          <w:tcPr>
            <w:tcW w:w="900" w:type="dxa"/>
            <w:vAlign w:val="bottom"/>
          </w:tcPr>
          <w:p>
            <w:pPr>
              <w:jc w:val="right"/>
              <w:spacing w:after="0"/>
              <w:rPr>
                <w:sz w:val="20"/>
                <w:szCs w:val="20"/>
                <w:color w:val="auto"/>
              </w:rPr>
            </w:pPr>
            <w:r>
              <w:rPr>
                <w:rFonts w:ascii="Arial" w:cs="Arial" w:eastAsia="Arial" w:hAnsi="Arial"/>
                <w:sz w:val="18"/>
                <w:szCs w:val="18"/>
                <w:color w:val="auto"/>
              </w:rPr>
              <w:t>9,831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19"/>
                <w:szCs w:val="19"/>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(31,723)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(65,746)</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(97,469)</w:t>
            </w:r>
          </w:p>
        </w:tc>
      </w:tr>
      <w:tr>
        <w:trPr>
          <w:trHeight w:val="223"/>
        </w:trPr>
        <w:tc>
          <w:tcPr>
            <w:tcW w:w="2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Balance at September 30, 2016</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20,246,355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(65,746</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Changes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Aptevo Therapeutics Inc. (Aptevo or the Company) is a biotechnology company focused on novel oncology and hematology therapeutics to meaningfully improve patients’ lives. On August 1, 2016 the Company became an independent publicly traded company through a pro-rata distribution of Aptevo’s common stock to Emergent BioSolutions Inc. (Emergent) stockholders. Each Emergent stockholder of record as of the close of business on August 1, 2016 received one share of Aptevo common stock for every two shares of Emergent common stock held on the record date. Aptevo’s common stock began “regular way” trading on the NASDAQ global stock market under the ticker symbol “APVO” on August 1, 2016.</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spin-off, on August 1, 2016, Aptevo and Emergent entered into a separation and distribution agreement as well as various other related agreements (collectively the Agreements) that govern the separation and the relationships between the parties going forward, including a transition services agreement, a manufacturing services agreement, an employee matters agreement, and a tax matters agreement. Prior to the separation, Aptevo was dependent upon Emergent for all of its working capital and financing requirements.</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At the closing of the spin-off of Aptevo from Emergent, Emergent provided Aptevo cash in the amount of $45.0 million, along with a commitment in the form of a promissory note to provide another $20.0 million within six to twelve months after the separation. In addition, on August 4, 2016, we entered into a $35.0 million Credit and Security Agreement, or the Credit Agreement, by and among us and certain our subsidiaries as borrowers, MidCap Financial Trust, as agent, and the lenders from time to time party thereto. The Credit Agreement provides us with up to $35.0 million of available borrowing capacity, which will be available (subject to certain conditions) to us in two tranches of $20.0 million and $15.0 million, respectively, through August 31, 2017. See Note 6 — Debt.</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accompanying unaudited condensed financial statements have been prepared in accordance with U.S. generally accepted accounting principles (GAAP).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Prior to August 1, 2016, the consolidated financial statements were prepared on a “carve-out” basis for the purpose of presenting Aptevo’s financial position, results of operations, and cash flows, and were derived from Emergent’s consolidated financial statements and accounting records. Aptevo did not operate as a standalone entity in the past and accordingly the selected financial data presented herein is not necessarily indicative of Aptevo’s future performance and does not reflect what Aptevo’s performance would have been had Aptevo operated as an independent publicly-traded company prior to August 1, 2016. The consolidated financial statements reflect Aptevo’s financial position, results of operations, and cash flows as a separately operated business in conformity with U.S. GAAP post the August 1, 2016 spin-off.</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Prior to August 1, 2016, the consolidated financial statements included an allocation of certain assets and liabilities that have historically been held at the Emergent corporate level but which were specifically identifiable or allocable to Aptevo. All Aptevo intracompany transactions and accounts have been eliminated. All intercompany transactions between Aptevo and Emergent are considered to be effectively settled in the consolidated financial statements at the time the transaction is recorded. The total net effect of the settlement of these intercompany transactions is reflected in the consolidated statement of cash flows as a financing activity and in the consolidated balance sheet as a net investment from Emergent. As of August 1, 2016, in connection with the separation and distribution, Emergent’s investment in the Company’s business was redesignated as stockholder’s equity and allocated between common stock and additional paid-in capital based on the number of shares issued at the distribution date.</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Prior to August 1, 2016, Aptevo’s consolidated financial statements included an allocation of expenses related to certain Emergent corporate functions, including senior management, legal, human resources, finance, information technology, and quality assurance. These expenses were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5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Prior to August 1, 2016, the income tax amounts in these consolidated financial statements were calculated based on a separate return methodology and presented as if Aptevo’s operations were a standalone taxpayer in each of its tax jurisdictions.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Aptevo recognizes revenue if four basic criteria have been met: (1) there is persuasive evidence of an arrangement, (2) delivery has occurred or services have been rendered, (3) the fee is fixed or determinable, and (4) collectability is reasonably assured. Where the revenue recognition criteria are not met, we defer the recognition of revenue by recording deferred revenue until such time as all criteria are met.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Chargebacks, Rebates, and other Discounts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Aptevo markets and sells its products through commercial wholesalers (direct customers) who purchase the products at a price referred to as the wholesale acquisition cost (WAC). Additionally, Aptevo may enter into separate agreements with indirect customers to acquire its products for a contracted price that is less than the product’s WAC. The indirect customers, such as group-purchasing organizations, physician practice-management groups and hospitals, continue to purchase Aptevo’s products from the wholesalers, but at their respective contractual prices. Per its wholesaler agreements, Aptevo guarantees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therefore historical experience may not be indicative of current and/or future results.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All revenues from product sales are also recorded net of applicable allowances for sales and government rebates, special promotional programs, and discounts. These allowances are estimated based on historical payment experience, historical relationship to revenues, estimated customer inventory levels, contract terms, and actual discounts offered. In arriving at these estimates, Aptevo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Revenue generating collaborative research and development agreements may contain one or more provisions including licensing, research services and milestone deliverables. Aptevo analyzes its multiple element revenue 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the performance of the undelivered item(s) is considered probable and substantially in the control of Aptevo. Items that cannot be divided into separate units are consolidated with other units of accounting, as appropriate. Consideration to be received is allocated among the separate units based on each unit’s relative selling price and is then recognized when the appropriate revenue recognition criteria are met. Aptevo deems services to be rendered if no continuing obligation exists on the part of Aptevo.</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research and development activities cannot be accounted for as separate units of accounting is deferred and recognized as revenue either on a straight-line basis over Aptevo’s continued involvement in the research and development process or based on the proportional performance of Aptevo’s expected future obligations under the contract.</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Revenues from the achievement of research and development milestones, if deemed substantive, are recognized as revenue when the milestones are achieved and the milestone payments are due and collectible. 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payment appears reasonable in relation to the effort expended. If not deemed substantive, Aptevo recognizes such milestone as revenue on a percent of completion basis over the remaining expected term of continued involvement in the research and development process. Payments received in advance of revenue recognized are recorded as deferred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Investments are classified as available-for-sale and are carried at fair value. Unrealized gains and losses, if any, are reported as a separate component of shareholders’ equity. Amortization, accretion, interest and dividends, realized gains and losses and declines in value judged to be other-than-temporary are included in other income (expense). The cost of securities sold is based on the specific-identification method. Investments in securities with maturities of less than one year, or those for which management intends to use the investments to fund current operations, are included in current assets. We evaluate whether an investment is other-than-temporarily impaired based on the specific facts and circumstances. Factors that are considered in determining whether an other-than-temporary decline in value has occurred include: the market value of the security in relation to its cost basis; the financial condition of the investee; and the intent and ability to retain the investment for a sufficient period of time to allow for recovery in the market value of the investment.</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measures and records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three-tier fair value hierarchy, which prioritizes the inputs used in measuring fair value include: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for identical assets or liabilities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2—Inputs other than quoted prices in active markets that are either directly or indirectly observable; and</w:t>
      </w:r>
    </w:p>
    <w:p>
      <w:pPr>
        <w:spacing w:after="0" w:line="117"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Level 3—Unobservable inputs in which little or no market data exists, which are therefore developed by the Company’s management using estimates and assumptions that reflect those that a market participant would use.</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carrying amounts of the Company’s short-term financial instruments, which include cash and cash equivalents, accounts receivable and accounts payable, approximate their fair value due to their short maturities.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When appropriate, Aptevo records an allowance for doubtful accounts based upon its assessment of collectability. Aptevo performs ongoing credit evaluations of its customers and generally does not require collateral. Aptevo recorded an allowance for doubtful accounts of $3.5 million in the fourth quarter of 2015 and $0.0 for the nine month periods ended September 30, 2016.</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accounts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Inventories, including purchased inventories, are stated at the lower of cost or market with cost being determined using a standard cost method, which approximates weighted-average cost. Average cost consists primarily of material, labor and manufacturing overhead expenses (including allocation of fixed production-overhead costs) and includes the services and products of third-party suppliers. Aptevo analyzes its inventory levels quarterly and writes down, in the applicable period, inventory that has become obsolete, inventory that has a cost basis in excess of its expected net realizable value and inventory in excess of expected customer demand. Aptevo also writes off, in the applicable period, the costs related to expired inventory.</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defer costs related to debt issuance and amortize these cost to interest expense over the term of the debt, using the effective interest method. Debt issuance costs are presented in the balance sheet as a reduction of the carrying amount of the debt liability.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ectPr>
          <w:pgSz w:w="11900" w:h="16838" w:orient="portrait"/>
          <w:cols w:equalWidth="0" w:num="1">
            <w:col w:w="11420"/>
          </w:cols>
          <w:pgMar w:left="240" w:top="661" w:right="239" w:bottom="1440" w:gutter="0" w:footer="0" w:header="0"/>
        </w:sect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Building improvements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Furniture and equipment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10-39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 years or product life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the remaining lease term</w:t>
      </w:r>
    </w:p>
    <w:p>
      <w:pPr>
        <w:spacing w:after="0" w:line="200" w:lineRule="exact"/>
        <w:rPr>
          <w:sz w:val="20"/>
          <w:szCs w:val="20"/>
          <w:color w:val="auto"/>
        </w:rPr>
      </w:pPr>
    </w:p>
    <w:p>
      <w:pPr>
        <w:sectPr>
          <w:pgSz w:w="11900" w:h="16838" w:orient="portrait"/>
          <w:cols w:equalWidth="0" w:num="2">
            <w:col w:w="5000" w:space="720"/>
            <w:col w:w="5700"/>
          </w:cols>
          <w:pgMar w:left="240" w:top="661" w:right="239" w:bottom="1440" w:gutter="0" w:footer="0" w:header="0"/>
          <w:type w:val="continuous"/>
        </w:sectPr>
      </w:pPr>
    </w:p>
    <w:p>
      <w:pPr>
        <w:spacing w:after="0" w:line="74"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Mergers and Acquisitions</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a business combination, the acquisition method of accounting requires that the assets acquired and liabilities assumed be recorded as of the date of the merger or acquisition at their respective fair values with limited exceptions. Assets acquired and liabilities assumed in a business combination that arise from contingencies are recognized at fair value if fair value can reasonably be estimated. Fair value is defined as the exchange price that would be received for an asset or paid to transfer a liability in the principal or most advantageous market for the asset or liability in an orderly transaction between market participants on the measurement date. Accordingly, Aptevo may be required to value assets at fair value measures that do not reflect Aptevo’s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Aptevo’s consolidated financial statements after the date of the merger or acquisition</w:t>
      </w:r>
    </w:p>
    <w:p>
      <w:pPr>
        <w:spacing w:after="0" w:line="17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fair values of intangible assets are determined utilizing information available near the merger or acquisition date based on expectations and assumptions that are deemed reasonable by management. Given the considerable judgment involved in determining fair values, Aptevo typically obtains assistance from third-party valuation specialists for significant items. The judgments made in determining estimated fair values assigned to assets acquired and liabilities assumed in a business combination, as well as asset lives, can materially affect Aptevo’s results of operations.</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fair values of identifiable intangible assets related to currently marketed products and product rights are primarily determined by using an "income approach" through which fair value is estimated based on each asset’s discounted projected net cash flows. Aptevo's estimates of net cash flows consider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Aptevo’s competitors, and the life of each asset’s underlying patent, if any. The net cash flows are then probability-adjusted where appropriate to consider the uncertainties associated with the underlying assumptions, as well as the risk profile of the net cash flows utilized in the valuation. The probability-adjusted future net cash flows of each product are then discounted to present value utilizing an appropriate discount rate.</w:t>
      </w:r>
    </w:p>
    <w:p>
      <w:pPr>
        <w:spacing w:after="0" w:line="19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fair values of identifiable intangible assets related to in-process research and development (“IPR&amp;D”) are determined using an income approach, through which fair value is estimated based on each asset’s probability-adjusted future net cash flows, which reflect the different stages of development of each product and the associated probability of successful completion. The net cash flows are then discounted to present value using an appropriate discount rate. Amounts allocated to acquired IPR&amp;D are capitalized and accounted for as indefinite-lived intangible assets. Upon successful completion of each project, Aptevo will make a separate determination as to the then useful life of the asset and begin amortization.</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In-Process Research and Development and Long-lived Assets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Aptevo assesses IPR&amp;D assets for impairment on an annual basis or more frequently if indicators of impairment are present. Aptevo’s annual assessment includes a comparison of the fair value of IPR&amp;D assets to existing carrying value, and recognizes an impairment when the carrying value is greater than the determined fair value. Aptevo believes that the assumptions used in valuing the intangible and IPR&amp;D assets are reasonable and are based upon its best estimate of likely outcomes of sales and clinical development. The underlying assumptions and estimates used to value these assets are subject to change in the future, and actual results may differ significantly from the assumptions and estimates. Aptevo has selected October 1 as its annual impairment test date for indefinite-lived intangible assets.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Aptevo assesses the recoverability of its long-lived assets or asset groups for which an indicator of impairment exists by determining whether the carrying value of such assets can be recovered through undiscounted future operating cash flows. If Aptevo concludes that the carrying value will not be recovered, Aptevo measures the amount of such impairment by comparing the fair value to the carrying value of the assets or asset groups. See Note 7 — Impairment of Intangible Assets, In Process Research and Development and Goodwill.</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Aptevo assesses the carrying value of goodwill for impairment on an annual basis or whenever events or changes in circumstances indicate the carrying value of goodwill may not be recoverable. Aptevo utilizes either: (1) a two-step impairment test, which is a quantitative analysis, or (2) a step zero test, which is a qualitative analysis.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firstLine="518"/>
        <w:spacing w:after="0" w:line="259" w:lineRule="auto"/>
        <w:rPr>
          <w:sz w:val="20"/>
          <w:szCs w:val="20"/>
          <w:color w:val="auto"/>
        </w:rPr>
      </w:pPr>
      <w:r>
        <w:rPr>
          <w:rFonts w:ascii="Arial" w:cs="Arial" w:eastAsia="Arial" w:hAnsi="Arial"/>
          <w:sz w:val="18"/>
          <w:szCs w:val="18"/>
          <w:color w:val="auto"/>
        </w:rPr>
        <w:t>If Aptevo is required to do a two-step test, it would first compare the fair value of its reporting unit to the carrying value of the reporting unit. If the carrying value of the reporting unit exceeds its fair value, then the second step of the impairment test is performed in order to determine the implied fair value of the reporting unit’s goodwill. If the carrying value of the reporting unit’s goodwill exceeds its implied fair value, an impairment loss is recognized. Aptevo calculates the fair value of the reporting unit utilizing the income approach.</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generally base our measurement of fair value of reporting units on a blended analysis of the present value of future discounted cash flows and market valuation approach. The discounted cash flows model indicates the fair value of the reporting units based on the present value of the cash flows that we expect the reporting units to generate in the future. Our significant estimates in the discounted cash flows model include: our weighted average cost of capital; long-term rate of growth and profitability of our business; and working capital effects. The market valuation approach indicates the fair value of the business based on a comparison of the Company to comparable publicly traded firms in similar lines of business. Our significant estimates in the market approach model include identifying similar companies with comparable business factors such as size, growth, profitability, risk and return on investment and assessing comparable revenue and operating income multiples in estimating the fair value of the reporting units.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Aptevo is not required to do a quantitative analysis, it will evaluate goodwill using the qualitative assessment method, which permits companies to qualitatively assess whether it is more-likely-than-not that the fair value of a reporting unit is less than its carrying amount. Aptevo considers developments in its operations, the industry in which it operates and overall macroeconomic factors that could have affected the fair value of the reporting unit since the date of the most recent quantitative analysis of the reporting unit’s fair value.</w:t>
      </w:r>
    </w:p>
    <w:p>
      <w:pPr>
        <w:spacing w:after="0" w:line="18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determination of the fair value of a reporting unit is judgmental in nature and involves the use of significant estimates and assumptions. The estimates and assumptions used in calculating fair value include identifying future cash flows, which requires that Aptevo make a number of critical legal, economic, market and business assumptions that reflect best estimates as of the testing date. Aptevo’s assumptions and estimates may differ significantly from actual results, or circumstances could change that would cause Aptevo to conclude that an impairment now exists or that it previously understated the extent of impairment. See Note 7 — Impairment of Intangible Assets, In Process Research and Development and Goodwill.</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Aptevo records contingent consideration associated with sales-based royalties at fair value. The fair value model used to calculate this obligation is based on the income approach (a discounted cash flow model) that has been risk adjusted based on the probability of achievement of net sales and achievement of the milestones. The inputs Aptevo uses for determining the fair value of the contingent consideration associated with sales based royalties are Level 3 fair value measurements. Aptevo re-evaluates the fair value on a quarterly basis. Changes in the fair value can result from adjustments to the discount rates and updates in the assumed timing of or achievement of net sales. Any future increase in the fair value of the contingent consideration associated with sales based royalties are based on an increased likelihood that the underlying net sales will be achieved.</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associated payment or payments which will therefore become due and payable for sales based royalties will result in a charge to cost of product sales in the period in which the increase is determined. Similarly, any future decrease in the fair value of contingent consideration associated with sales based royalties will result in a reduction in cost of product sales.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 substantial portion of Aptevo’s pre-clinical studies and all of its clinical studies have been performed by third-party contract research organizations (CRO).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The Company’s estimates are highly dependent upon the timeliness and accuracy of the data provided by its CRO’s regarding the status of each program and total program spending and adjustments are made when deemed necessary.</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has determined that it operates in a single segment and has one reporting unit: the discovery, development, commercialization and sale of novel oncology and hematology therapeutics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guidance on principal versus agent considerations, identifying performance obligations, assessing collectability, presentation of sales taxes and other similar taxes collected from customers, non-cash consideration, contract modifications and completed contracts at transition.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Aptevo is are currently evaluating the requirements of these standards and have not yet determined the impact on its condensed consolidated financial statements.</w:t>
      </w:r>
    </w:p>
    <w:p>
      <w:pPr>
        <w:spacing w:after="0" w:line="18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Aptevo is currently evaluating the requirements of ASU 2016-02 and have not yet determined the impact on its condensed consolidated financial statements.</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Aptevo is currently evaluating the requirements of ASU 2016-09 and have not yet determined the impact on its condensed consolidated financial statements.</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which clarifies the classification and presentation of eight specific cash flow issues in the statement of cash flows. This standard is effective beginning January 1, 2018, with early adoption permitted. The new standard requires a retrospective transition. We are currently evaluating the impact of the new standard on our consolidated financial statements.</w:t>
      </w:r>
    </w:p>
    <w:p>
      <w:pPr>
        <w:spacing w:after="0" w:line="3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MorphoSys Collaboration Agreement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Aptevo entered into a collaboration agreement with MorphoSys AG (MorphoSys Agreement)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Aptevo’s proprietary ADAPTIR™ platform technology.</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accordance with the initial terms of the MorphoSys Agreement, Aptevo received a nonrefundable $20.0 million upfront payment and could receive up to $163.0 million in additional contingent payments, comprised of up to $80.0 million and up to $83.0 million, respectively, due upon the achievement of specified development and regulatory milestones. MorphoSys and Aptevo jointly agreed to fund further development of MOR209/ES414, with Aptevo responsible for 36% of the total development costs and MorphoSys responsible for the remainder, with Aptevo’s funding requirement capped at $186.0 million. Aptevo’s development effort includes the performance of non-clinical, clinical, manufacturing and regulatory activities. Aptevo retains commercialization rights in the U.S. and Canada, with a tiered royalty obligation to MorphoSys, ranging from mid-single digit up to 20% of sales. MorphoSys has worldwide commercialization rights excluding the U.S. and Canada, with a low single digit royalty obligation to Aptevo.</w:t>
      </w:r>
    </w:p>
    <w:p>
      <w:pPr>
        <w:spacing w:after="0" w:line="17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December 2015, after a joint review of data from the ongoing Phase 1 dose escalation study of MOR209/ES414 in prostate cancer patients, Aptevo and MorphoSys decided to adjust the dosing regimen and administration of MOR209/ES414. Patients receiving weekly doses of MOR209/ES414 developed antibodies against the drug; this is called anti-drug antibodies, or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no safety issues related to the development of ADA were observed.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518"/>
        <w:spacing w:after="0" w:line="272" w:lineRule="auto"/>
        <w:rPr>
          <w:sz w:val="20"/>
          <w:szCs w:val="20"/>
          <w:color w:val="auto"/>
        </w:rPr>
      </w:pPr>
      <w:r>
        <w:rPr>
          <w:rFonts w:ascii="Arial" w:cs="Arial" w:eastAsia="Arial" w:hAnsi="Arial"/>
          <w:sz w:val="17"/>
          <w:szCs w:val="17"/>
          <w:color w:val="auto"/>
        </w:rPr>
        <w:t>The cause of these antibodies is unclear but could be due to the weekly administration of the drug. Hence, the protocol was amended to a continuous intravenous infusion as a way to administer higher levels of drug and prevent the development of ADA. Aptevo plans to continue the current clinical trial under an amended protocol with recruitment expected to start in the second half of 2016. As a result of the required dosing regimen change and the impact to the overall development timeline and technical risk, our co-development agreement with MorphoSys was restructured. In December 2015, Aptevo and MorphoSys amended the collaboration agreement to: (1) decrease the additional contingent payments due to Aptevo upon the achievement of specified development and regulatory milestones of up to $32.5 million and up to $41.5 million, respectively, (2) change the total funding requirement cap for Aptevo to up to approximately $250.0 million and (3) change the jointly funded development cost allocation to the following:</w:t>
      </w:r>
    </w:p>
    <w:p>
      <w:pPr>
        <w:spacing w:after="0" w:line="7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2016: Aptevo is responsible for 75%; MorphoSys responsible for 25%</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2017-2018: Aptevo is responsible for 49%; MorphoSys responsible for 51%</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2019 and beyond: Aptevo is responsible for 36%; MorphoSys responsible for 64%</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w:t>
      </w:r>
    </w:p>
    <w:p>
      <w:pPr>
        <w:spacing w:after="0" w:line="181" w:lineRule="exact"/>
        <w:rPr>
          <w:sz w:val="20"/>
          <w:szCs w:val="20"/>
          <w:color w:val="auto"/>
        </w:rPr>
      </w:pPr>
    </w:p>
    <w:p>
      <w:pPr>
        <w:jc w:val="both"/>
        <w:ind w:firstLine="523"/>
        <w:spacing w:after="0" w:line="285" w:lineRule="auto"/>
        <w:rPr>
          <w:sz w:val="20"/>
          <w:szCs w:val="20"/>
          <w:color w:val="auto"/>
        </w:rPr>
      </w:pPr>
      <w:r>
        <w:rPr>
          <w:rFonts w:ascii="Arial" w:cs="Arial" w:eastAsia="Arial" w:hAnsi="Arial"/>
          <w:sz w:val="16"/>
          <w:szCs w:val="16"/>
          <w:color w:val="auto"/>
        </w:rPr>
        <w:t>Aptevo evaluated the MorphoSys Agreement and determined that it was a revenue arrangement with multiple deliverables or performance obligations. Aptevo determined there were two units of accounting under the MorphoSys Agreement: (1) the delivered license to further develop and commercialize MOR209/ES414, and (2) undelivered items related to development services. Aptevo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In 2014, Aptevo allocated the $20.0 million upfront payment to the two units of accounting using the relative selling price method. Aptevo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Aptevo determined the estimated selling price of the development services unit of accounting based on the estimated number of full-time equivalent personnel at the contractual rate as defined in the MorphoSys Agreement, whose rates and terms approximate those of other Emergent or Aptevo service related contracts and those observed generally through other collaboration negotiations. The allocation resulted in $15.3 million of the $20.0 million upfront payment being allocated to the license and $4.7 million being allocated to the development services. Aptevo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$0.0 million and $0.1 million, respectively, recognized in the nine months ended September 30, 2016 and 2015. The current estimated service period for the undelivered development services under the MorphoSys Agreement is through 2023.</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Aptevo determined that contingent payments for the achievement of the development and regulatory milestones are substantive milestones and will be accounted for as revenue in the period in which the milestones are achieved. Aptevo received a $5.0 million milestone payment from MorphoSys reflecting the initiation of a Phase I clinical study to evaluate the safety, tolerability, and clinical activity of MOR209/ES414 in patients with metastatic castration-resistant prostate cancer. Aptevo recognized this substantive milestone achievement payment as research and development revenue during the six months ended June 30, 2015.</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MorphoSys Agreement provides for the sharing of development and clinical costs related to MOR209/ES414. In the event Aptevo’s share of the total cost incurred for a given quarter exceeds its pro rata limit, Aptevo records a receivable from MorphoSys for the excess and reduces research and development expense by this amount. For the three and nine months ended September 30, 2016 Aptevo recorded a reduction to research and development expense of $0.0 million and $0.1 million, respectively. For the three and nine months ended September 30, 2015 Aptevo recorded a reduction to research and development expense of $1.0 million and $3.7 million, respectively.</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of September 30, 2016, the MorphoSys Agreement related accounts receivable balance was $0.1 million and the related total deferred revenue balance was $3.7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for identical assets or liabilities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2—Inputs other than quoted prices in active markets that are either directly or indirectly observable; and</w:t>
      </w:r>
    </w:p>
    <w:p>
      <w:pPr>
        <w:spacing w:after="0" w:line="117"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Level 3—Unobservable inputs in which little or no market data exists, which are therefore developed by the Company’s management using estimates and assumptions that reflect those that a market participant would use.</w:t>
      </w:r>
    </w:p>
    <w:p>
      <w:pPr>
        <w:spacing w:after="0" w:line="170"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The Company held no financial assets measured at fair value as of December 31, 2015. The Company’s financial assets measured at fair value consisted of the following as of September 30, 2016:</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49,785</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 and six-month period ended June 30, 2016.</w:t>
      </w:r>
    </w:p>
    <w:p>
      <w:pPr>
        <w:spacing w:after="0" w:line="187"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The following table is a reconciliation of the beginning and ending balance of the liabilities (contingent consideration) measured at fair value using significant unobservable inputs (Level 3) during the nine months ended September 30, 2016. The royalty agreement associated with HepaGam expired on June 30, 2016, and no future royalty payments are expected on sales after that date. The remaining liability is due to accrued but unpaid royalties.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ind w:left="2300"/>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26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CFF0FC"/>
            </w:tcBorders>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Expense included in earnings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2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ind w:left="2300"/>
              <w:spacing w:after="0"/>
              <w:rPr>
                <w:sz w:val="20"/>
                <w:szCs w:val="20"/>
                <w:color w:val="auto"/>
              </w:rPr>
            </w:pPr>
            <w:r>
              <w:rPr>
                <w:rFonts w:ascii="Arial" w:cs="Arial" w:eastAsia="Arial" w:hAnsi="Arial"/>
                <w:sz w:val="18"/>
                <w:szCs w:val="18"/>
                <w:color w:val="auto"/>
              </w:rPr>
              <w:t>Balance at September 30, 2016</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60" w:type="dxa"/>
            <w:vAlign w:val="bottom"/>
            <w:vMerge w:val="restart"/>
          </w:tcPr>
          <w:p>
            <w:pPr>
              <w:jc w:val="right"/>
              <w:ind w:right="18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color w:val="auto"/>
        </w:rPr>
        <w:t>Note 4. Investments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Investments are classified as available-for-sale securities and are carried at fair value with unrealized temporary holding gains and losses excluded from net income or loss and reported in other comprehensive income or loss and also as a net amount in accumulated other comprehensive income or loss until realized. Available-for-sale securities are written down to fair value through income whenever it is necessary to reflect other than temporary impairments. The Company determined that the unrealized losses on its marketable securities as of September 30, 2016 were temporary in nature, and the Company currently does not intend to sell these securities before recovery of their amortized cost basis. All short-term investments are limited to a final maturity of less than one year from the reporting date.</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Gross Unrealized</w:t>
            </w:r>
          </w:p>
        </w:tc>
        <w:tc>
          <w:tcPr>
            <w:tcW w:w="1380" w:type="dxa"/>
            <w:vAlign w:val="bottom"/>
            <w:gridSpan w:val="6"/>
          </w:tcPr>
          <w:p>
            <w:pPr>
              <w:ind w:left="100"/>
              <w:spacing w:after="0" w:line="133"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Holding Gains</w:t>
            </w:r>
          </w:p>
        </w:tc>
        <w:tc>
          <w:tcPr>
            <w:tcW w:w="100" w:type="dxa"/>
            <w:vAlign w:val="bottom"/>
          </w:tcPr>
          <w:p>
            <w:pPr>
              <w:spacing w:after="0"/>
              <w:rPr>
                <w:sz w:val="14"/>
                <w:szCs w:val="14"/>
                <w:color w:val="auto"/>
              </w:rPr>
            </w:pPr>
          </w:p>
        </w:tc>
        <w:tc>
          <w:tcPr>
            <w:tcW w:w="1280" w:type="dxa"/>
            <w:vAlign w:val="bottom"/>
            <w:gridSpan w:val="5"/>
          </w:tcPr>
          <w:p>
            <w:pPr>
              <w:ind w:left="60"/>
              <w:spacing w:after="0"/>
              <w:rPr>
                <w:sz w:val="20"/>
                <w:szCs w:val="20"/>
                <w:color w:val="auto"/>
              </w:rPr>
            </w:pPr>
            <w:r>
              <w:rPr>
                <w:rFonts w:ascii="Arial" w:cs="Arial" w:eastAsia="Arial" w:hAnsi="Arial"/>
                <w:sz w:val="14"/>
                <w:szCs w:val="14"/>
                <w:b w:val="1"/>
                <w:bCs w:val="1"/>
                <w:color w:val="auto"/>
              </w:rPr>
              <w:t>Holding 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Money market fund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5,210</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37,871</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ind w:right="4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3"/>
          </w:tcPr>
          <w:p>
            <w:pPr>
              <w:ind w:left="6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16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4,644</w:t>
            </w:r>
          </w:p>
        </w:tc>
        <w:tc>
          <w:tcPr>
            <w:tcW w:w="200" w:type="dxa"/>
            <w:vAlign w:val="bottom"/>
            <w:tcBorders>
              <w:top w:val="single" w:sz="8" w:color="CFF0FC"/>
            </w:tcBorders>
            <w:gridSpan w:val="3"/>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160" w:type="dxa"/>
            <w:vAlign w:val="bottom"/>
            <w:gridSpan w:val="2"/>
          </w:tcPr>
          <w:p>
            <w:pPr>
              <w:ind w:left="1140"/>
              <w:spacing w:after="0"/>
              <w:rPr>
                <w:sz w:val="20"/>
                <w:szCs w:val="20"/>
                <w:color w:val="auto"/>
              </w:rPr>
            </w:pPr>
            <w:r>
              <w:rPr>
                <w:rFonts w:ascii="Arial" w:cs="Arial" w:eastAsia="Arial" w:hAnsi="Arial"/>
                <w:sz w:val="18"/>
                <w:szCs w:val="18"/>
                <w:color w:val="auto"/>
              </w:rPr>
              <w:t>Total inventories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11,574</w:t>
            </w:r>
          </w:p>
        </w:tc>
        <w:tc>
          <w:tcPr>
            <w:tcW w:w="200" w:type="dxa"/>
            <w:vAlign w:val="bottom"/>
            <w:gridSpan w:val="3"/>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20,322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CMC ICOS Biologics, Inc., (CMC), is the exclusive manufacturer of bulk drug substance for the IXINITY product. During 2015, Aptevo ordered nine manufacturing lots of bulk drug substance from CMC. CMC has successfully manufactured and released only one of the nine lots of bulk drug substance ordered by Aptevo. On October 4, 2016 we provided a Notice of Interruption in Manufacturing (Notice) to the United States Food and Drug Administration (FDA) notifying the FDA of a potential interruption in the supply of IXINITY® coagulation factor IX (recombinant). The supply interruption relates to an ongoing challenge with the manufacture of bulk drug substance for IXINITY that meets release specifications for the final drug product. As part of the Notice, Aptevo submitted a proposal to the FDA seeking approval for a proposed mitigation plan aimed at ensuring the continued supply of IXINITY to patients. FDA has denied our proposal and therefore we anticipate that there will be a supply interruption of the 1500IU assay in December and the remaining dosage forms of IXINITY in January 2017. Such a supply shortage of IXINITY will adversely affect its sales, and could adversely affect its market position and commercial viability.</w:t>
      </w:r>
    </w:p>
    <w:p>
      <w:pPr>
        <w:spacing w:after="0" w:line="26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Due to the ongoing challenges with the manufacture of our IXINITY product that meets release specifications for the final drug product, in the third quarter of 2016, we wrote off approximately $2.9 million in unsaleable IXINITY inventory that was in the process of being manufactured. This cost is included in cost of product sales.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August 4, 2016, we entered into a $35.0 million Credit and Security Agreement (the Credit Agreement), by and among Aptevo and certain subsidiaries of Aptevo as borrowers, MidCap Financial Trust, as agent, and the lenders from time to time party thereto. The Credit Agreement provides us with up to $35.0 million of available borrowing capacity, available (subject to certain conditions) in two tranches of $20.0 million and $15.0 million, respectively, through August 31, 2017. The loan repayment will include interest (no principal) through August 2018. Commencing in August 2018, the payments will include principal and interest and will be repaid in full on February 1, 2021 (54 months). Amounts drawn under the Credit Agreement bear interest at a rate of LIBOR plus 7.60% per annum. The first tranche of $20.0 million was funded on the closing date of the Credit Agreement with the second tranche of $15.0 million will be available (subject to certain conditions) following the date Aptevo and its subsidiaries: (1) achieve net commercial product revenue of $40.0 million on a trailing twelve-month basis, and (2) receive an additional $20.0 million in cash from Emergent. Emergent’s promise to pay this $20.0 million in cash is evidenced by a non-negotiable, unsecured promissory note issued to Aptevo from Emergent.</w:t>
      </w:r>
    </w:p>
    <w:p>
      <w:pPr>
        <w:spacing w:after="0" w:line="18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in each case applicable to us and our subsidiaries. The negative covenants include restrictions on, among other things, indebtedness, liens, dividends and other distributions, repayment of subordinated indebtedness, mergers, dispositions, investments (including licensing), acquisitions, transactions with affiliates and modification of organizational documents or certain other agreements. The Credit Agreement contains financial covenants that require us and our subsidiaries to maintain increasing minimum net commercial product revenue for each twelve-month period ending on the last day of each calendar quarter, commencing with the twelve-month period ending September 30, 2016. The Credit Agreement also includes provision related to events of default and occurrence of material adverse effect. The occurrence of an event of default could result in the acceleration of the Credit Agreement. There was no event of default under the Credit Agreement as of September 30, 2016.</w:t>
      </w:r>
    </w:p>
    <w:p>
      <w:pPr>
        <w:spacing w:after="0" w:line="19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Credit Agreement also includes customary events of default, including, among other things, failure to pay principal or interest due under the Credit Agreement, default of covenants, a cross-default on our or our subsidiary’s material indebtedness, breach of material contracts by us or our subsidiaries, or commencement of liquidation, reorganization or similar relief. This and further obligations under the Credit Agreement are secured by all of our assets other than: (1) certain voting shares of excluded subsidiaries, (2) any lease, license or other contract where the grant of a security interest would constitute a default, be prohibited by applicable law, or will require certain third-party consents, and (3) intellectual property (except to the extent necessary to have a lien on such intellectual property in order to have a lien on cash and other proceeds arising out of or derived from such intellectual property).</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related financing documents contain: (1) a customary agency fee, (2) an exit fee of up to 5.75% of the aggregate principal amount under the Credit Agreement for repayment or prepayment other than scheduled amortization payments and the final payment of principal and (3) a prepayment fee of up to 4% of the amount prepaid for the first year, decreasing over time, for any amounts prepaid prior to the maturity date, whether voluntary or by reason of the occurrence of an event of default or acceleration of the loan, other than certain mandatory prepayments.</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obligations of Aptevo and the other borrowers under the Credit Agreement are secured by all of their assets other than (1) certain voting shares of excluded subsidiaries of Aptevo, (2) any lease, license or other contract where the grant of a security interest would constitute a default, be prohibited by applicable law, or will require certain third-party consents and (3) intellectual property of Aptevo (except to the extent necessary to have a lien on such intellectual property in order to have a lien on cash and other proceeds arising out of or derived from such intellectual property).</w:t>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Impairment of Intangible Assets, In-Process Research and Development and Goodwill</w:t>
      </w:r>
    </w:p>
    <w:p>
      <w:pPr>
        <w:spacing w:after="0" w:line="12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During the period between the spin off date and September 30, 2016, we experienced a significant decline in our stock price. Based on this, we concluded that a sufficient indicator existed to require us to perform an interim assessment of goodwill and indefinite-lived intangible assets as of September 30, 2016. We performed an interim first step of our impairment assessment and determined there was a potential impairment of goodwill. Therefore, we performed the second step of the assessment in which we compared the implied fair value of goodwill to the book value of that goodwill. The implied fair value of goodwill is determined in the same manner as the amount of goodwill recognized in a business combination. That is, the estimated fair value of the business is allocated to all of the assets and liabilities as if the business had been acquired in a business combination and the estimated fair value of the business was the purchase price paid. If the carrying amount goodwill exceeds the implied fair value, an impairment loss is recognized in an amount equal to that excess.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both"/>
        <w:ind w:firstLine="518"/>
        <w:spacing w:after="0" w:line="289" w:lineRule="auto"/>
        <w:rPr>
          <w:sz w:val="20"/>
          <w:szCs w:val="20"/>
          <w:color w:val="auto"/>
        </w:rPr>
      </w:pPr>
      <w:r>
        <w:rPr>
          <w:rFonts w:ascii="Arial" w:cs="Arial" w:eastAsia="Arial" w:hAnsi="Arial"/>
          <w:sz w:val="16"/>
          <w:szCs w:val="16"/>
          <w:color w:val="auto"/>
        </w:rPr>
        <w:t>We measured the fair value of both our indefinite-lived and definite lived intangible assets using accepted valuation techniques. The significant estimates used included our weighted average cost of capital, long-term rate of growth and profitability of our business, and working capital effects. Our assumptions are based on actual historical performance, expected results after commercial launch of our otlertuzumab product, and implied risk premiums based on market prices of our equity and debt as of the assessment date. To validate the reasonableness of the fair values, we reconciled the aggregate fair values of the business determined in step one to the enterprise market capitalization. Enterprise market capitalization includes, among other factors, the market capitalization of our stock and an acquisition premium based on historical data from acquisitions within the same or similar industries. In performing the reconciliation, we used the market value of our stock price, the stock price on the valuation date and considered such other quantitative and qualitative factors we considered relevant. This assessment resulted in the recognition in the third quarter of 2016 of a loss on impairment of in process research and development costs related to our otlertuzumab candidate of approximately $41.8 million and $13.9 million of goodwill.</w:t>
      </w:r>
    </w:p>
    <w:p>
      <w:pPr>
        <w:spacing w:after="0" w:line="16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evidenced by a significant decline in our stock price, we determined that the adverse change in the business climate discussed above was an indicator requiring the testing of our long-lived assets for recoverability and performed this test as of September 30, 2016, prior to completing the tests above. We tested the long-lived assets for recoverability based on a comparison of the respective aggregate values of their undiscounted cash flows to the respective carrying values. The results of the evaluation indicated that the carrying values of the related assets were recoverable.</w:t>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Net loss per share is calculated by dividing the net loss of the Company by the number of weighted shares outstanding on September 30, 2016, and the number of shares issued during the spin-off for prior periods. Prior to the spin-off, Aptevo did not operate as a separate entity and as a result did not have any common stock outstanding other than 1,000 shares held by Emergent. The calculation of basic and diluted net loss per share assumes that the 20,229,849 ordinary shares issued to Aptevo stockholders in connection with the spin-off were outstanding from the beginning of the periods presented. Diluted earnings per share is calculated using the weighted average number of common shares outstanding plus dilutive common stock equivalents outstanding during the period. Common stock equivalents are excluded for the three and nine month periods ended September 30, 2016 and 2015, since the effect is anti-dilutive due to the Company’s net losses. Common stock equivalents include stock options and unvested RSUs.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1380" w:type="dxa"/>
            <w:vAlign w:val="bottom"/>
            <w:tcBorders>
              <w:top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Unvested RSUs</w:t>
            </w:r>
          </w:p>
        </w:tc>
        <w:tc>
          <w:tcPr>
            <w:tcW w:w="138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2015, no options or RSU’s were outstanding.</w:t>
      </w: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Capitalization Upon Spin-off</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1, 2016, in connection with the spin-off of the Company from Emergent, we issued 20.2 million shares to Emergent shareholders and recorded a contribution from Emergent of $46.4 million, which included a one-time payment of $45.0 million, and a working capital reimbursement for outstanding payments of $1.4 million, which we expect to receive by December 31, 2016. In addition, we recorded a promissory note to receive $20.0 million within six to twelve months, as well as recording a net transfer from Emergent of $24.2 million, which represents cash and non-cash activity between Emergent and the Company prior to the spin-off.</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Converted Equity Awards Incentive Plan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 had no stock-based compensation plans prior to spin off from Emergent; however certain Aptevo employees participated in Emergent’s stock-based compensation plans (Emergent Plans), which provided for the grants of stock options and restricted stock units (RSUs). The expense associated with Aptevo employees who participated in the Emergent Plans was allocated to the Company in the accompanying Combined Condensed Statements of Operations for the associated periods prior to the spin off.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both"/>
        <w:ind w:firstLine="518"/>
        <w:spacing w:after="0" w:line="255" w:lineRule="auto"/>
        <w:rPr>
          <w:sz w:val="20"/>
          <w:szCs w:val="20"/>
          <w:color w:val="auto"/>
        </w:rPr>
      </w:pPr>
      <w:r>
        <w:rPr>
          <w:rFonts w:ascii="Arial" w:cs="Arial" w:eastAsia="Arial" w:hAnsi="Arial"/>
          <w:sz w:val="18"/>
          <w:szCs w:val="18"/>
          <w:color w:val="auto"/>
        </w:rPr>
        <w:t>In connection with the spin off and the employee matters agreement, the Company adopted the Converted Equity Awards Incentive Plan (the Converted Plan) and outstanding equity awards of Emergent held by Aptevo employees (the Converted Awards) were converted into or replaced with equity awards of Aptevo (the Conversion Awards) under the Converted Plan and were adjusted to maintain the economic value before and after the distribution date using the relative fair market value of the Emergent and Aptevo common stock based on the closing prices as of August 1, 2016. There was no significant incremental stock-based compensation expense recorded as a result of the equity award conversion. A total of 1.3 million shares of Aptevo common stock have been authorized for issuance under the Converted Plan.</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incentive stock options.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Stock options under the 2016 SIP generally vest pro rata over a three-year period and terminate 7 to 10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stock market on the date of grant, while options issued as Conversion Awards were priced according to the Converted Plan.</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RSUs issued under the 2016 SIP or as part of the Converted Plan provide for the issuance of a share of the Company’s common stock at no cost to the holder. RSUs granted to employees under the 2016 SIP generally provide for time-based vesting over an eighteen-month period, although certain employees may be awarded RSUs with different time-based vesting criteria. Prior to vesting, RSUs granted under the Stock Plan do not have dividend equivalent rights, do not have voting rights and the shares underlying the RSUs are not considered issued or outstanding.</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options are exercised or RSU’s are converted, it is the Company’s policy to issue new shares.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restricted stock units granted to employees and non-employees and has been reported in our Condensed Consolidated Statements of Operation and Comprehensive Loss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33"/>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9"/>
              <w:spacing w:after="0" w:line="13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Nine</w:t>
            </w: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9"/>
              <w:spacing w:after="0" w:line="133" w:lineRule="exact"/>
              <w:rPr>
                <w:sz w:val="20"/>
                <w:szCs w:val="20"/>
                <w:color w:val="auto"/>
              </w:rPr>
            </w:pPr>
            <w:r>
              <w:rPr>
                <w:rFonts w:ascii="Arial" w:cs="Arial" w:eastAsia="Arial" w:hAnsi="Arial"/>
                <w:sz w:val="14"/>
                <w:szCs w:val="14"/>
                <w:b w:val="1"/>
                <w:bCs w:val="1"/>
                <w:color w:val="auto"/>
              </w:rPr>
              <w:t>Three</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requisite service period, which is generally the vesting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rPr>
              <w:t>September 30, 2016</w:t>
            </w:r>
          </w:p>
        </w:tc>
      </w:tr>
      <w:tr>
        <w:trPr>
          <w:trHeight w:val="156"/>
        </w:trPr>
        <w:tc>
          <w:tcPr>
            <w:tcW w:w="5520" w:type="dxa"/>
            <w:vAlign w:val="bottom"/>
          </w:tcPr>
          <w:p>
            <w:pPr>
              <w:spacing w:after="0"/>
              <w:rPr>
                <w:sz w:val="13"/>
                <w:szCs w:val="13"/>
                <w:color w:val="auto"/>
              </w:rPr>
            </w:pPr>
          </w:p>
        </w:tc>
        <w:tc>
          <w:tcPr>
            <w:tcW w:w="1280" w:type="dxa"/>
            <w:vAlign w:val="bottom"/>
            <w:tcBorders>
              <w:top w:val="single" w:sz="8" w:color="auto"/>
            </w:tcBorders>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5"/>
              </w:rPr>
              <w:t>Three Months</w:t>
            </w: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Nine Months</w:t>
            </w:r>
          </w:p>
        </w:tc>
        <w:tc>
          <w:tcPr>
            <w:tcW w:w="80" w:type="dxa"/>
            <w:vAlign w:val="bottom"/>
          </w:tcPr>
          <w:p>
            <w:pPr>
              <w:spacing w:after="0"/>
              <w:rPr>
                <w:sz w:val="13"/>
                <w:szCs w:val="13"/>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3 years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applied an estimated forfeiture rate for the three and nine month periods of 10%.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nine months ended September 30,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Aptevo Options at December 31, 2015</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Aggregate impact of conversion related to spin-off</w:t>
            </w:r>
          </w:p>
        </w:tc>
        <w:tc>
          <w:tcPr>
            <w:tcW w:w="1060" w:type="dxa"/>
            <w:vAlign w:val="bottom"/>
          </w:tcPr>
          <w:p>
            <w:pPr>
              <w:jc w:val="right"/>
              <w:spacing w:after="0"/>
              <w:rPr>
                <w:sz w:val="20"/>
                <w:szCs w:val="20"/>
                <w:color w:val="auto"/>
              </w:rPr>
            </w:pPr>
            <w:r>
              <w:rPr>
                <w:rFonts w:ascii="Arial" w:cs="Arial" w:eastAsia="Arial" w:hAnsi="Arial"/>
                <w:sz w:val="18"/>
                <w:szCs w:val="18"/>
                <w:color w:val="auto"/>
              </w:rPr>
              <w:t>1,661,563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(6,675)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2016</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2,042,863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2016</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September 30, 2016, we had $0.9 million of unrecognized compensation expense related to options expected to vest over a weighted average period of 2.14 years. The weighted average remaining contractual life of exercisable options is 6.4 years.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the third quarter of 2016 and the exercise price, multiplied by the number of in the money options) that would have been received by the option holders had all the option holders exercised their options on September 30, 2016. The amount of aggregate intrinsic value will change based on the price of Aptevo’s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restricted stock activity for the nine months ended September 30,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Value per Unit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Aptevo RSU's at December 31, 2015</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Aggregate impact of conversion related to spin-off</w:t>
            </w:r>
          </w:p>
        </w:tc>
        <w:tc>
          <w:tcPr>
            <w:tcW w:w="1060" w:type="dxa"/>
            <w:vAlign w:val="bottom"/>
          </w:tcPr>
          <w:p>
            <w:pPr>
              <w:jc w:val="right"/>
              <w:spacing w:after="0"/>
              <w:rPr>
                <w:sz w:val="20"/>
                <w:szCs w:val="20"/>
                <w:color w:val="auto"/>
              </w:rPr>
            </w:pPr>
            <w:r>
              <w:rPr>
                <w:rFonts w:ascii="Arial" w:cs="Arial" w:eastAsia="Arial" w:hAnsi="Arial"/>
                <w:sz w:val="18"/>
                <w:szCs w:val="18"/>
                <w:color w:val="auto"/>
              </w:rPr>
              <w:t>1,122,179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Converted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(15,051)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2016</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3,222,900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8,250,624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Expected to Vest</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7,395,139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2016, we had $6.7 million of unrecognized compensation expense related to RSU’s expected to vest over a period of 1.5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life of exercisable RSU’s is 3.5 years.</w:t>
      </w:r>
    </w:p>
    <w:p>
      <w:pPr>
        <w:spacing w:after="0" w:line="21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NASDAQ Global Market.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the Spin-Off,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r>
        <w:rPr>
          <w:rFonts w:ascii="Arial" w:cs="Arial" w:eastAsia="Arial" w:hAnsi="Arial"/>
          <w:sz w:val="16"/>
          <w:szCs w:val="16"/>
          <w:i w:val="1"/>
          <w:iCs w:val="1"/>
          <w:color w:val="auto"/>
        </w:rPr>
        <w: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On August 6, 2015, Emergent BioSolutions Inc., or Emergent, announced a plan to separate into two independent publicly-traded companies, one a biotechnology company focused on novel oncology (cancer) and hematology (blood disease) therapeutics to meaningfully improve patients’ lives and the other a global specialty life sciences company focused on providing specialty products for civilian and military populations that address intentional and naturally emerging public health threats. To accomplish this separation, Emergent created a new company, Aptevo Therapeutics Inc., or Aptevo, to be the parent company for the development-based pharmaceuticals business focused on novel oncology and hematology therapeutics. Aptevo was incorporated in Delaware in February 2016 as a wholly-owned subsidiary of Emergent. To effect the separation, Emergent made a pro rata distribution of Aptevo’s common stock to Emergent’s stockholders on August 1, 2016.</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separation, Aptevo received certain assets from Emergent’s biosciences division, including commercial products and development programs, as well as the ADAPTIR™ platform technology. Certain historical operations that were included by Emergent in its biosciences segment have been reallocated to Emergent’s continuing operations, and as a result the financial statements and discussion and analysis contained herein differ from Emergent’s historically reportable biosciences segment.</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Aptevo’s historical consolidated financial statements have been prepared on a standalone basis and are derived from Emergent’s consolidated financial statements and accounting records. The consolidated financial statements reflect Aptevo’s financial position, results of operations, and cash flows as its business was operated as part of Emergent prior to the separation, in conformity with U.S. generally accepted accounting principles (GAAP).</w:t>
      </w:r>
    </w:p>
    <w:p>
      <w:pPr>
        <w:spacing w:after="0" w:line="14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consolidated financial statements include the allocation of certain assets and liabilities that have historically been held at the Emergent corporate level but which are specifically identifiable or allocable to Aptevo. Cash and cash equivalents held by Emergent were not allocated to Aptevo unless the cash was held by an entity that was transferred to Aptevo in the distribution. All Aptevo intracompany transactions and accounts have been eliminated. All intercompany transactions between Aptevo and Emergent are considered to be effectively settled in the consolidated financial statements at the time the transaction was recorded. The total net effect of the settlement of these intercompany transactions is reflected in the consolidated statement of cash flows as a financing activity and in the consolidated balance sheet as net investment from former parent.</w:t>
      </w:r>
    </w:p>
    <w:p>
      <w:pPr>
        <w:spacing w:after="0" w:line="17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historical financial statements do not necessarily include all of the expenses that would have been incurred had Aptevo been a separate, standalone entity and may not necessarily reflect Aptevo’s results of operations, financial position and cash flows had Aptevo been a standalone company during the periods presented. Aptevo’s consolidated financial statements include an allocation of expenses related to certain Emergent corporate functions, including senior management, legal, human resources, finance, information technology, and quality assurance. These expenses have been allocated to Aptevo based on direct usage or benefit where identifiable, with the remainder allocated on a pro rata basis of expenses, headcount, square footage, or other measures. Aptevo considers the expense allocation methodology and results to be reasonable for all periods presented. However, the allocations may not be indicative of the actual expense that would have been incurred had Aptevo operated as an independent, publicly-traded company for the periods presented.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color w:val="auto"/>
        </w:rPr>
        <w:t>Program Highlights</w:t>
      </w:r>
    </w:p>
    <w:p>
      <w:pPr>
        <w:spacing w:after="0" w:line="12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Aptevo’s investigational stage products MOR209/ES414, ES210, and otlertuzumab are built on our novel ADAPTIR™ (modular protein technology) platform, which is designed to expand on the utility and effectiveness of therapeutic antibodies. The technology can produce monospecific and multispecific, for example, bispecific therapeutic molecules, which may have structural advantages over monoclonal antibodies (identical antibodies from clones or copies of a unique parent cell that bind to the same target in the same way). The mechanisms of action for MOR209/ES414, ES210, and otlertuzumab include redirected T-cell cytotoxicity, or RTCC, and targeted cytokine delivery. The structural differences of ADAPTIR molecules over monoclonal antibodies allow for the development of other ADAPTIR immunotherapeutics that engage disease targets in a unique manner and produce a unique signaling response. We are skilled at product candidate generation, validation and subsequent clinical development using the ADAPTIR platform. We believe we have the ability to progress ADAPTIR molecules from concept to marketed product by way of our protein engineering, pre-clinical development and process development capabilities and cGMP manufacturing oversight. We also believe we have the ability to launch market and commercialize these product candidates upon approval.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Aptevo’s marketed products are:</w:t>
      </w:r>
    </w:p>
    <w:p>
      <w:pPr>
        <w:spacing w:after="0" w:line="117"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WinRho® SDF Rho(D) Immune Globulin Intravenous (Human), for treatment of autoimmune platelet disorder, also called immune thrombocytopenic purpura, or ITP, and, separately, for the treatment of hemolytic disease of the newborn, or HDN;</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HepaGamB® Hepatitis B Immune Globulin Intravenous (Human), for prevention of hepatitis-B recurrence following liver transplantation in HBsAg-positive liver transplant patients, and for treatment following exposure to hepatitis-B;</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VARIZIG® Varicella Zoster Immune Globulin (Human), for treatment following exposure to varicella zoster virus, which causes chickenpox, in high-risk individuals;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Aptevo’s investigational stage product candidates include:</w:t>
      </w:r>
    </w:p>
    <w:p>
      <w:pPr>
        <w:spacing w:after="0" w:line="117" w:lineRule="exact"/>
        <w:rPr>
          <w:sz w:val="20"/>
          <w:szCs w:val="20"/>
          <w:color w:val="auto"/>
        </w:rPr>
      </w:pPr>
    </w:p>
    <w:p>
      <w:pPr>
        <w:jc w:val="both"/>
        <w:ind w:left="1040" w:hanging="519"/>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It is being developed under our collaboration with MorphoSys AG for metastatic castration-resistant prostate cancer, which is advanced prostate cancer that has spread to other organs and no longer responds to hormone blocking therapies;</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5E3 mAb, a monoclonal antibody therapeutic that is currently in pre-clinical development for Alzheimer’s disease;</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bispecific immunotherapeutic ADAPTIR protein that targets ROR1 (receptor tyrosine kinase- like orphan receptor 1, a protein expressed on solid tumors, leukemia’s, and lymphomas), which are currently in pre-clinical development for a variety of hematologic malignancies and solid tumors;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protein therapeutic product candidates primarily targeting immunooncology.</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MorphoSys AG</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2014, Aptevo entered into a collaboration agreement, or MorphoSys Agreement, with MorphoSys AG for the joint worldwide development and commercialization of MOR209/ES414, a targeted immunotherapeutic protein, which activates host T-cell immunity specifically against cancer cells expressing prostate specific membrane antigen, an antigen commonly overexpressed on prostate cancer cells. MOR209/ES414 was constructed using Aptevo’s proprietary ADAPTIR platform technology.</w:t>
      </w:r>
    </w:p>
    <w:p>
      <w:pPr>
        <w:spacing w:after="0" w:line="18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accordance with the initial terms of the MorphoSys Agreement, Aptevo received a nonrefundable $20.0 million upfront payment and could have received up to $163.0 million in additional contingent payments, comprised of up to $80.0 million and up to $83.0 million, respectively, due upon the achievement of specified development and regulatory milestones. MorphoSys and Aptevo agreed to jointly fund further development of MOR209/ES414, with Aptevo responsible for 36% of the total development costs and MorphoSys responsible for the remainder, with Aptevo’s funding requirement capped at $186.0 million. Aptevo’s development effort includes the performance of non-clinical, clinical, manufacturing and regulatory activities. Aptevo retains commercialization rights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the U.S. and Canada, with a tiered royalty obligation to MorphoSys, ranging from mid-single digit up to 20% of sales. MorphoSys has worldwide commercialization rights excluding the U.S. and Canada, with a low single digit royalty obligation to Aptevo.</w:t>
      </w:r>
    </w:p>
    <w:p>
      <w:pPr>
        <w:spacing w:after="0" w:line="170"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December 2015, after a joint review of data from the ongoing Phase 1 dose escalation study of MOR209/ES414 in prostate cancer patients, Aptevo and MorphoSys decided to adjust the dosing regimen and administration of MOR209/ES414. Patients receiving weekly doses of MOR209/ES414 developed antibodies against the drug; this is called anti-drug antibodies, or ADA. The cause of these antibodies is unclear but could be due to the weekly administration of the drug. Hence, the protocol has been amended to continuous intravenous infusion as a way to administer higher levels of drug and prevent the development of ADA. We are continuing with the current clinical trial under an amended protocol. Recruitment began in October 2016.</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the required dosing regimen change and the impact to the overall development timeline and technical risk, our co-development agreement with MorphoSys was restructured. In December 2015, Aptevo and MorphoSys amended the collaboration agreement to (1) decrease the additional contingent payments due Aptevo upon the achievement of specified development and regulatory milestones of up to $32.5 million and up to $41.5 million, respectively, (2) change the total funding requirement cap for Aptevo to up to approximately $250.0 million and (3) change the jointly funded development cost allocation. In addition,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w:t>
      </w:r>
    </w:p>
    <w:p>
      <w:pPr>
        <w:spacing w:after="0" w:line="18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Aptevo evaluated the MorphoSys Agreement and determined that it was a revenue arrangement with multiple deliverables or performance obligations. Aptevo determined there were two units of accounting under the MorphoSys Agreement: (1) the delivered license to further develop and commercialize MOR209/ES414 and (2) undelivered items related to development services. Aptevo determined that the license had standalone value as the drug candidate has been (1) developed and is currently Phase 1 clinical trial ready, (2) MorphoSys possesses the knowledge, technology, skills, experience and infrastructure necessary to complete all further development of the drug through commercialization, and (3) MorphoSys has the right to further sublicense the product. Aptevo allocated the $20.0 million upfront payment to the two units of accounting using the relative selling price method. Aptevo determined the estimated selling price for the license using the income approach and an appropriate discount rate.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Aptevo determined the estimated selling price of the development services unit of accounting based on the estimated number of full-time equivalent personnel at the contractual rate as defined in the MorphoSys Agreement, whose rates and terms approximate those of other Emergent or Aptevo service related contracts and those observed generally through other collaboration negotiations. The allocation resulted in $15.3 million of the $20.0 million upfront payment being allocated to the license and $4.7 million being allocated to the development services. Aptevo determined the license fee unit of accounting was delivered and completed on the date the MorphoSys Agreement was executed and thus recognized $15.3 million of license revenue in August 2014. Revenue related to the development services is recognized as the services are performed with $0.7 million and $0.2 million, respectively, recognized in the years ended December 31, 2015 and 2014. The current estimated service period for the undelivered development services under the MorphoSys Agreement is through 2023.</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Aptevo determined that contingent payments for the achievement of the development and regulatory milestones are substantive milestones and will be accounted for as revenue in the period in which the milestones are achieved. Aptevo received a $5.0 million milestone payment from MorphoSys reflecting the initiation of a Phase I clinical study to evaluate the safety, tolerability, and clinical activity of MOR209/ES414 in patients with metastatic castration-resistant prostate cancer. Aptevo recognized this substantive milestone achievement payment as collaborations revenue during the year ended December 31, 2015.</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the acquisition of Cangene Corporation, or Cangene, in February 2014, Aptevo acquired the IXINITY product candidate, an IPR&amp;D intangible asset. As part of the purchase price allocation, Aptevo’s management determined that the estimated acquisition date fair value related to the IXINITY IPR&amp;D asset was $8.3 million. The estimated fair value was determined using the income approach, which discounts probability-adjusted future net cash flows to present value. The projected cash flows used in determining the fair value of IXINITY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7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Amounts allocated to acquired IPR&amp;D are capitalized and accounted for as indefinite-lived intangible assets. Upon successful completion of each project, Aptevo made a separate determination as to the then useful life of the asset and begin amortization.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right="20"/>
        <w:spacing w:after="0" w:line="254" w:lineRule="auto"/>
        <w:rPr>
          <w:sz w:val="20"/>
          <w:szCs w:val="20"/>
          <w:color w:val="auto"/>
        </w:rPr>
      </w:pPr>
      <w:r>
        <w:rPr>
          <w:rFonts w:ascii="Arial" w:cs="Arial" w:eastAsia="Arial" w:hAnsi="Arial"/>
          <w:sz w:val="18"/>
          <w:szCs w:val="18"/>
          <w:color w:val="auto"/>
        </w:rPr>
        <w:t>April 2015, the Food and Drug Administration, or FDA, approved IXINITY for the treatment of Hemophilia B in adults and children. As a result, the $8.3 million IXINITY IPR&amp;D asset was reclassified as a definite-live intangible asset and is being amortized over 10 years. Since April 2015, we have incurred approximately $9 million in research and development expense related to IXINITY, primarily for clinical trial activities (approximately $4 million) and development and qualification activities (approximately $5 million). The clinical trial activities are associated with: (1) obtaining licensure of IXINITY for pediatric use (children under the age of 12); and (2) continued treatment of clinical subjects as part of a post-licensure extension clinical study required by the FDA. The development and qualification expenses are primarily associated with: (1) ongoing non-clinical process development studies related to the optimization of the manufacturing of drug substance (2); continuation of pre-licensure stability study commitments; (3) developing fill/finish capabilities at Emergent’s Baltimore, MD fill/finish contract manufacturing facility.</w:t>
      </w:r>
    </w:p>
    <w:p>
      <w:pPr>
        <w:spacing w:after="0" w:line="192"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CMC ICOS Biologics, Inc., or CMC, is the exclusive manufacturer of bulk drug substance for our IXINITY product. During 2015, we ordered nine manufacturing lots of bulk drug substance from CMC and only one of those lots was successfully manufactured and released in 2015. We continue to work with CMC toward the successful release of product. Additionally, Patheon UK Limited, through an affiliate, is currently the sole source fill-finish service manufacturer for our IXINITY product.</w:t>
      </w:r>
    </w:p>
    <w:p>
      <w:pPr>
        <w:spacing w:after="0" w:line="187"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color w:val="auto"/>
        </w:rPr>
        <w:t>On October 4, 2016 we provided a Notice of Interruption in Manufacturing (Notice) to the United States Food and Drug Administration (FDA) notifying FDA of a potential interruption in the supply of IXINITY® coagulation factor IX (recombinant.) The supply interruption relates to an ongoing challenge with the manufacture of bulk drug substance for IXINITY that meets release specifications for final drug product. As part of the Notice, Aptevo submitted a proposal to FDA seeking approval for a proposed mitigation plan aimed at ensuring the continued supply of IXINITY to patients. FDA has denied our proposal and therefore we anticipate that there will be a supply interruption of the 1500IU assay in December and the remaining dosage forms of IXINITY in January 2017. Such a supply shortage of IXINITY will adversely affect its sales, and could adversely affect its market position and commercial viability.</w:t>
      </w:r>
    </w:p>
    <w:p>
      <w:pPr>
        <w:spacing w:after="0" w:line="189"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Due to the ongoing challenges with the manufacture of our IXINITY product that meets release specifications for the final drug product, in the third quarter of 2016, we wrote off approximately $2.9 million in unsaleable IXINITY inventory that was in process of being manufactured. This cost is included in cost of product sales.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Revenues consist primarily of product sales of our marketed products and collaboration revenues from our collaborative partners, generally in the form of upfront or milestone payments.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by product are shown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gridSpan w:val="2"/>
            <w:vMerge w:val="continue"/>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WinRho</w:t>
            </w:r>
          </w:p>
        </w:tc>
        <w:tc>
          <w:tcPr>
            <w:tcW w:w="2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w:t>
            </w: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ind w:left="240"/>
              <w:spacing w:after="0"/>
              <w:rPr>
                <w:sz w:val="20"/>
                <w:szCs w:val="20"/>
                <w:color w:val="auto"/>
              </w:rPr>
            </w:pPr>
            <w:r>
              <w:rPr>
                <w:rFonts w:ascii="Arial" w:cs="Arial" w:eastAsia="Arial" w:hAnsi="Arial"/>
                <w:sz w:val="18"/>
                <w:szCs w:val="18"/>
                <w:color w:val="auto"/>
              </w:rPr>
              <w:t>IXINITY</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HepaGam</w:t>
            </w:r>
          </w:p>
        </w:tc>
        <w:tc>
          <w:tcPr>
            <w:tcW w:w="2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tcPr>
          <w:p>
            <w:pPr>
              <w:ind w:left="240"/>
              <w:spacing w:after="0"/>
              <w:rPr>
                <w:sz w:val="20"/>
                <w:szCs w:val="20"/>
                <w:color w:val="auto"/>
              </w:rPr>
            </w:pPr>
            <w:r>
              <w:rPr>
                <w:rFonts w:ascii="Arial" w:cs="Arial" w:eastAsia="Arial" w:hAnsi="Arial"/>
                <w:sz w:val="18"/>
                <w:szCs w:val="18"/>
                <w:color w:val="auto"/>
              </w:rPr>
              <w:t>VARIZIG</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80" w:type="dxa"/>
            <w:vAlign w:val="bottom"/>
            <w:vMerge w:val="restart"/>
          </w:tcPr>
          <w:p>
            <w:pPr>
              <w:jc w:val="right"/>
              <w:ind w:right="5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4" w:name="page25"/>
    <w:bookmarkEnd w:id="24"/>
    <w:p>
      <w:pPr>
        <w:jc w:val="both"/>
        <w:ind w:firstLine="518"/>
        <w:spacing w:after="0" w:line="257" w:lineRule="auto"/>
        <w:rPr>
          <w:sz w:val="20"/>
          <w:szCs w:val="20"/>
          <w:color w:val="auto"/>
        </w:rPr>
      </w:pPr>
      <w:r>
        <w:rPr>
          <w:rFonts w:ascii="Arial" w:cs="Arial" w:eastAsia="Arial" w:hAnsi="Arial"/>
          <w:sz w:val="18"/>
          <w:szCs w:val="18"/>
          <w:color w:val="auto"/>
        </w:rPr>
        <w:t>Product sales revenue increased by $3.0 million, or 46% to $9.4 million for the three months ended September 30, 2016 from $6.4 million for the three months ended September 30, 2015. This increase was primarily related to revenue associated with IXINITY which included $2.6 million for the three months ended September 30, 2016. Although IXINITY was approved by the FDA in the second quarter of 2015, we did not have meaningful product sales of IXINITY during the three months ended September 30, 2015 as we built out our sales team and began marketing. In addition, the change was impacted by an increase in unit sales of our VARIZIG product.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by product are shown in the following table: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WinRho</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HepaGam</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VARIZIG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27,512</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Product sales revenue increased by $7.8 million, or 38%, to $27.5 million for the nine months ended September 30, 2016 from $19.7 million for the nine months ended September 30, 2015. This increase was primarily related to revenue associated with IXINITY which included $6.8 million for the nine months ended September 30, 2016 following IXINITY’s FDA approval in the second quarter of 2015 and an increase in unit sales of our VARIZIG product.</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Collaborations revenue decreased by $5.5 million, or 97%, to $0.1 million for the nine months ended September 30, 2016 from $5.6 million for the nine months ended September 30, 2015. The decrease in collaboration revenue was primarily due recognition of a $5.0 million development milestone achievement and payment for the nine months ended September 30, 2015.</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primary expense that we incur to deliver our marketed products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Cost of product sales increased by $2.7 million, or 75%, to $6.2 million for the three months ended September 30, 2016 from $3.5 million for the three months ended September 30, 2015 and increased by $4.5 million, or 39%, to $16.2 million for the nine months ended September 30, 2016 from $11.7 million for the nine months ended September 30, 2015. Due to the ongoing challenges with the manufacture of our IXINITY product that meets release specifications for the final drug product, in the third quarter of 2016, we wrote off approximately $2.9 million in unsaleable IXINITY inventory that was in process of being manufactured. This cost is included in cost of product sales. In the nine months ended September 30, 2016, we wrote off a total of $4.1 million in unsaleable inventory which includes the $2.9 million written off in the third quarter of 2016 and $1.2 million on the second quarter of 2016. The remaining increase in cost of product sales for the nine-month period was primarily due to costs related to increased IXINITY product sales.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expense research and development costs as incurred. These expenses consist primary of personnel-related costs, fees to professional service providers for, among other things, analytical testing, independent monitoring or other administration of our clinical trials and obtaining and evaluating data from our clinical trials and non-clinical studies, costs of contract manufacturing services for clinical trial material, and costs of materials used in clinical trials and research and development.</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candidates on a large-scale basis for later stage clinical trials. These research and development costs may be partially offset by cost-sharing arrangements with collaborative partners, such as our collaboration with MorphoSys AG.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research and development expenses by program for the three months ended September 30, 2016 and 2015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 xml:space="preserve">ADAPTIR related programs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ROR-1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Other/5E3/ES210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MOR209/ES414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otlertuzumab</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5"/>
          <w:szCs w:val="15"/>
          <w:color w:val="auto"/>
        </w:rPr>
      </w:pPr>
      <w:r>
        <w:rPr>
          <w:rFonts w:ascii="Arial" w:cs="Arial" w:eastAsia="Arial" w:hAnsi="Arial"/>
          <w:sz w:val="18"/>
          <w:szCs w:val="18"/>
          <w:color w:val="auto"/>
        </w:rPr>
        <w:t>ADAPTIR related programs also includes other non-disclosed candidates</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Research and development expenses decreased by $0.6 million, or 8%, to $7.1 million for the three months ended September 30, 2016 from $7.7 million for the three months ended September 30, 2015. The increase in expense for our MOR209/ES414 product candidate was primarily due to the timing of manufacturing activities. The decrease in expense for our IXINITY product candidate (which was approved by the FDA in April 2015) was primarily due to decreased manufacturing process development activities in 2016 and the timing of clinical trial activities. The increase in ROR-1 was primarily due to lead construct selection and characterization studies. The decrease in expense for our otlertuzumab product candidate was primarily related to the timing of clinical trial activities. The increase in expense for ADAPTIR related programs was primarily due to an increase in characterization studies and non-clinical activities. The expenses for our other activities were primarily related to centralized research and development activities not otherwise attributable to specific product candidates or programs.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principal research and development expenses by program for the nine months ended September 30, 2016 and 2015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 xml:space="preserve">ADAPTIR related programs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5,886</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ROR-1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IXINITY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MOR209/ES414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otlertuzumab</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Other/5E3/ES210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ADAPTIR related programs also includes other non-disclosed candidates</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Research and development expenses decreased by $4.5 million, or 16%, to $22.9 million for the nine months ended September 30, 2016 from $27.3 million for the nine months ended September 30, 2015. The increase in expense for our MOR209/ES414 product candidate was primarily due to the timing of manufacturing activities along with decreased reimbursement from MorphoSys for development activities under our collaboration agreement. The decrease in expense for our IXINITY product candidate (which was approved by the FDA in April 2015) was primarily due to a decrease in manufacturing process development activities in 2016 and the timing of clinical trial activities.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increase in ROR-1 was primarily due to a increase in lead construct selection and characterization studies. The decrease in expense for our otlertuzumab product candidate was primarily related to the timing of clinical trial activities. The increase in expense for ADAPTIR related programs was primarily due to an increase in characterization studies and non-clinical activities. The expenses for our other activities were primarily related to centralized research and development activities not otherwise attributable to specific product candidates or programs.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three months ended September 30, selling, general and administrative expenses increased by $3.2 million, or 37%, to $11.7 million for 2016 from $8.5 million for 2015. This increase was primarily due to the costs associated with IXINITY selling and marketing in the current year, as well as increased costs associated with our spin-off activities in 2016.</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nine months ended September 30, selling, general and administrative expenses increased by $1.1 million, or 4%, to $30.0 million for 2016 from $28.9 million for 2015. This increase was primarily due to higher costs associated with IXINITY sales and marketing in 2016 versus lower prelaunch costs in 2015. In addition, there were increased costs associated with our spin-off activities in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Goodwill and Intangible Asset</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September 30, 2016, we recorded impairments of approximately $55.7 million of long-term assets, which consisted of $41.8 million of intangible assets and $13.9 million of goodwill. Impaired intangible assets consisted of certain of our indefinite-lived in process research and development. For additional information about our impairments, see Note 7— Impairment of Intangible Assets, In-Process Research and Development and Goodwill in the notes to consolidated financial statements.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income (expense), net, consists primarily of interest on debt financing. This increase in 2016 compared to 2015 due to the interest on the loan entered into with Midcap Financial Trust in the third quarter of 2016.</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8"/>
          <w:szCs w:val="18"/>
          <w:color w:val="auto"/>
        </w:rPr>
        <w:t>Benefit from income taxes decreased by $0.4 million, to $0.0 million for the three months ended September 30, 2016 from $0.4 million for the three months September 30, 2015. The decrease in the benefit was primarily due to the timing of Canadian scientific research and experimental development tax credits.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Benefit from income taxes decreased by $1.4 million, or 100%, to $0.0 million for the nine months ended September 30, 2016 from $1.4 million for the nine months September 30, 2015. The decrease in the benefit was primarily due to the timing of Canadian scientific research and experimental development tax credits.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2016.</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2016, we had cash, cash equivalents and marketable securities in the amount of $61.1 million.</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At the closing of the spin-off of Aptevo from Emergent, Emergent provided Aptevo cash in the amount of $45.0 million, along with a commitment in the form of a promissory note to provide another $20.0 million by August 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518"/>
        <w:spacing w:after="0" w:line="270" w:lineRule="auto"/>
        <w:rPr>
          <w:sz w:val="20"/>
          <w:szCs w:val="20"/>
          <w:color w:val="auto"/>
        </w:rPr>
      </w:pPr>
      <w:r>
        <w:rPr>
          <w:rFonts w:ascii="Arial" w:cs="Arial" w:eastAsia="Arial" w:hAnsi="Arial"/>
          <w:sz w:val="17"/>
          <w:szCs w:val="17"/>
          <w:color w:val="auto"/>
        </w:rPr>
        <w:t>In addition, on August 4, 2016, we entered into a $35.0 million Credit and Security Agreement, or the Credit Agreement, by and among us and certain our subsidiaries as borrowers, MidCap Financial Trust, as agent, and the lenders from time to time party thereto. The Credit Agreement provides us with up to $35.0 million of available borrowing capacity, which will be available (subject to certain conditions) to us in two tranches of $20.0 million and $15.0 million, respectively, through August 31, 2017 and which, once drawn, will amortize on a monthly basis commencing in August 2018 and will mature on February 1, 2021. Amounts drawn under the Credit Agreement bear interest at a rate of LIBOR plus 7.60% per annum. The first tranche of $20.0 million was made available to us on the closing date of the Credit Agreement and the second tranche of $15.0 million will be available (subject to certain conditions) following the date we and our subsidiaries: (1) achieve net commercial product revenue of $40.0 million on a trailing twelve-month basis, and (2) receive an additional $20.0 million in cash from Emergent. Emergent’s promise to pay such $20.0 million in cash is evidenced by a non-negotiable, unsecured promissory note issued to us from Emergent.</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our cash, cash equivalents and marketable securities along with the proceeds from our Credit Agreement, will support Aptevo’s operations for at least 12 months, based on current operating plans and financial forecasts. Prior to the spin-off, the development-based biosciences business of Emergent was funded entirely by Emergent.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the separation from Emergent and costs associated with performance under agreements entered into with Emergent in connection with such separation; and</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replicating or outsourcing from other providers’ certain facilities, systems, operational and administrative infrastructure, including information technology infrastructure and personnel, to which we will no longer have access after our separation from Emergent.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nine months ended September 30, </w:t>
      </w:r>
      <w:r>
        <w:rPr>
          <w:rFonts w:ascii="Arial" w:cs="Arial" w:eastAsia="Arial" w:hAnsi="Arial"/>
          <w:sz w:val="18"/>
          <w:szCs w:val="18"/>
          <w:color w:val="231F20"/>
        </w:rPr>
        <w:t>2016 and 2015.</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(30,197)</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(41,076)</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(51,735)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Net cash used in operating activities of $30.2 million for the nine months ended September 30, 2016 was primarily due to our net loss of $97.5 million, offset by the noncash impairment of goodwill and intangible assets of $55.7 million and the write-down of nonsaleable IXINITY inventory of $4.1 million. Net cash used in operating activities of $41.1 million for the nine months ended September 30, 2015 was primarily due to our net loss of $41.4 million.</w:t>
      </w:r>
    </w:p>
    <w:p>
      <w:pPr>
        <w:spacing w:after="0" w:line="14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Net cash used in investing activities for the periods presented was primarily due to the purchase of investment of $51.7 million in the third quarter of 2016 and the purchases of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ind w:firstLine="518"/>
        <w:spacing w:after="0" w:line="264" w:lineRule="auto"/>
        <w:rPr>
          <w:sz w:val="20"/>
          <w:szCs w:val="20"/>
          <w:color w:val="auto"/>
        </w:rPr>
      </w:pPr>
      <w:r>
        <w:rPr>
          <w:rFonts w:ascii="Arial" w:cs="Arial" w:eastAsia="Arial" w:hAnsi="Arial"/>
          <w:sz w:val="18"/>
          <w:szCs w:val="18"/>
          <w:color w:val="auto"/>
        </w:rPr>
        <w:t>Net cash provided by financing activities for the periods presented includes the net proceeds received from entering into the credit facility in August of 2016, cash received from the former parent company upon the spin off and the net investment from the former parent company to support the operations of Aptevo.</w:t>
      </w:r>
    </w:p>
    <w:p>
      <w:pPr>
        <w:spacing w:after="0" w:line="37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material changes during the nine months ended September 30, 2016 regarding the Company market risk.</w:t>
      </w: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Based on the evaluation of our disclosure controls and procedures (as defined in Rules 13a-15(e) and 15d-15(e)) under the Securities Exchange Act of 1934, or the Exchange Act) required by Rules 13a-15(b) or 15d-15(b) under the Exchange Act, our Chief Executive Officer and our Chief Financial Officer have concluded that as of the end of the period covered by this report, our disclosure controls and procedures were effective at a reasonable assurance level.</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2016,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 party claims. At this time, the Company is not party to any active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quarterly report on Form 10-Q in evaluating Aptevo and Aptevo’s common stock. Any of the following risks could materially and adversely affect Aptevo’s results of operations, financial condition or financial prospects. The risk factors generally have been separated into three groups: risks related to Aptevo’s business, risks related to the separation and risks related to Aptevo’s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historical consolidated financial data was carved out from the financial information of Emergent and shows that had we been a standalone company, we would have had a history of losses, and we may be unable to achieve or sustain profitability going forward.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nine months ended September 30, 2016, we incurred a net loss of $97.5 million and had an accumulated deficit of $65.7. For that same period, net cash used in our operating activities was $30.2 million. If we cannot achieve or sustain profitability or generate positive cash from operating activities, our business operations may be adversely impacted and the trading value of our common stock may decline.</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require significant additional funding and may be unable to raise capital when needed or on acceptable terms, which would harm our ability to grow our business, results of operations and financial condition.</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In accordance with the separation agreement, Emergent has committed to provide us with a total of approximately $65.0 million in cash funding. Emergent provided us with a cash contribution of $45.0 million on August 1, 2016 to be used to fund our operations. Within 12 months following the distribution, it is expected that Emergent will transfer to us an additional $20.0 million in cash pursuant to a non-negotiable, unsecured promissory note. Emergent’s ability to satisfy its obligations under the promissory note will be subject to, among other things, Emergent’s capital availability and cash flow following the distribution. As a result, there can be no assurance that we will receive all or any portion of the $20.0 million contemplated by the promissory note. In addition to the anticipated cash transfers from Emergent in connection with the separation, in the future we will require significant additional funding to grow our business including to develop additional products, support commercial marketing activities or otherwise provide additional financial flexibility. To enhance long-term financial flexibility, Aptevo entered into a credit facility for up to $35.0 million, $20.0 million of which was received on August 4, 2016.</w:t>
      </w:r>
    </w:p>
    <w:p>
      <w:pPr>
        <w:spacing w:after="0" w:line="19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September 30, 2016, we had cash, cash equivalents and marketable securities in the amount of $61.1 million. Our future capital requirements will depend on many factors, including, among others:</w:t>
      </w:r>
    </w:p>
    <w:p>
      <w:pPr>
        <w:spacing w:after="0" w:line="62"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obligations under our current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associated with the separation from Emergent and costs associated with performance under agreements with Emergent; and</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replicating or outsourcing from other providers’ certain facilities, systems, operational and administrative infrastructure, including information technology infrastructure, and personnel, to which we no longer have access after our separation from Emergent.</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bank loans, public or private equity or debt offerings or collaboration and licensing arrangements.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may experience dilution. If we raise funds through collaboration and licensing arrangements with third parties, it may be necessary to relinquish valuable rights to our technologies or product candidates or grant licenses on terms that may not be favorable to us.</w:t>
      </w:r>
    </w:p>
    <w:p>
      <w:pPr>
        <w:spacing w:after="0" w:line="193"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Furthermore, to preserve the tax-free treatment to Emergent and its stockholders of the distribution, together with certain related transactions, we are restricted, under the tax matters agreement we entered into with Emergent, from taking any action that prevents the separation from being tax-free for U.S. federal income tax purposes, including restrictions on equity capital market transactions, as discussed in greater detail in the risk factor below entitled</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the continued success of our commercial product portfolio, consisting of WinRho SDF, HepaGam B, VARIZIG and IXINITY.</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commercial portfolio consists of four revenue-generating products, consisting of WinRho SDF, HepaGam B, VARIZIG and IXINITY. We expect revenues from our product sales to continue to account for a significant portion of our revenue. The commercial success of our marketed products depends upon:</w:t>
      </w:r>
    </w:p>
    <w:p>
      <w:pPr>
        <w:spacing w:after="0" w:line="73" w:lineRule="exact"/>
        <w:rPr>
          <w:sz w:val="20"/>
          <w:szCs w:val="20"/>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acceptance by regulators, physicians, patients and other key decision-makers of our products as safe, therapeutic and cost-effective options;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further develop our products and obtain marketing approval for their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Emergent and our other third-party manufacturing partners to provide us with sufficient saleable quantities of our marketed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safety and efficacy of our marketed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what extent and in what amount government and third-party payors cover or reimburse for the costs of our marketed products; and</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our products, including in countries outside the United States.</w:t>
      </w:r>
    </w:p>
    <w:p>
      <w:pPr>
        <w:spacing w:after="0" w:line="17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failure to maintain or increase revenue from sales of our products could have a material adverse effect on our business, financial condition, results of operations and growth prospects. We may choose to increase the price of our products, and these price adjustments may negatively affect our sales volumes. In addition, our product sales may fluctuate significantly from quarter to quarter, depending on the number of patients receiving treatment, the availability of supply to meet the demand for the product, the dosing requirements of treated patients and other factors. If sales of our commercial products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The failure by us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further develop our ADAPTIR platform to expand our pipeline of product candidates.</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redirected T-cell cytotoxicity, or RTCC, candidates for early development, potentially with other collaborative partners. We expect to continue to develop the platform to address unmet medical needs through directed cytokine delivery via bispecifics in areas including oncology, and multispecific molecules in oncology, autoimmune disease and other therapeutic areas. Our goal is to leverage this technology to seek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The development and commercialization of new biotechnology products is highly competitive and subject to rapid technological advances. We may face future competition with respect to our products,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U.S. Food and Drug Administration, or the FDA, or equivalent foreign regulatory bodies more rapidly than we may obtain approval for our products. Our competitors may devote greater resources to market or sell their products, adapt more quickly to new technologies, scientific advances or patient preferences and needs, initiate or withstand substantial price competition more successfully than we can, or more effectively negotiate third-party licensing and collaborative arrangements. Many of our competitors are substantially larger than we are and have substantially greater research and development capabilities and experience, and greater manufacturing, marketing and financial resources, than we do. Smaller or earlier stage companies may also prove to be significant competitors, particularly through collaborative arrangements with large, established companies.</w:t>
      </w:r>
    </w:p>
    <w:p>
      <w:pPr>
        <w:spacing w:after="0" w:line="16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believe that our most significant competitors in the hematology/oncology, inflammation and transplantation markets include: AbbVie Inc., Affirmed N.V., Amgen Inc., Baxter International Inc., Bayer AG, Biogen Idec Inc., Boehringer Ingelheim GmbH, CSL Behring, a subsidiary of CSL Limited, Genentech Inc. (a subsidiary of F. Hoffmann-La Roche Ltd.), Gilead Sciences, Inc., GlaxoSmithKline plc, Grifols USA LLC, Johnson &amp; Johnson, Macrogenics, Inc., Novartis International AG, Pfizer Inc., Takeda Pharmaceuticals U.S.A., Inc., Xencor, Inc. and Zymeworks Biopharmaceuticals, Inc. We compete, in the case of our approved and marketed products, and expect to compete, in the cases of our products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9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Any reduction in demand for our products as a result of a competing product could adversely affect our results of operations and lead to loss of market share for our products. These competitive pressures could adversely affect our business and operating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our products. If our specialty sales force and sales organization are not appropriately-sized to adequately promote any current or potential future products, the commercial potential of our current products and any future products may be diminished. We compete with a significant number of pharmaceutical and life sciences companies with extensive sales, marketing and promotional experience in the hematology/oncology markets, and our failure to compete effectively in this area could negatively affect our sales of our commercial products.</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before we do or in developing products that may render our products obsolete or noncompetitive.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Competition for WinRho SDF, HepaGam B, VARIZIG and IXINITY, or our Biologic Products, may be affected by follow-on biologics, or biosimilars, in the United States and other jurisdictions. Biologics are medical products made from a variety of natural sources (human, animal or microorganism) intended to prevent, diagnose or treat diseases and medical conditions.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the U.S., biosimilars are biologics that are highly similar to licensed reference biological products, notwithstanding minor differences in clinically inactive components, and for which there are no clinically meaningful differences between the biosimilar and the reference product in terms of safety, purity and potency. Regulatory and legislative activity in the United States and other countries may make it easier for our competitors to manufacture and sell biosimilars of our Biologic Products, which might affect our results of operations or commercial viability of our Biologic Products. Under the Biologics Price Competition and Innovation Act of 2010, the FDA cannot approve an application for a biosimilar until the 12-year exclusivity period for the reference product has expired. Thus, if a competitor were to seek regulatory approval for a biosimilar product citing IXINITY as the reference product, such approval could not be granted until April 2027.</w:t>
      </w:r>
    </w:p>
    <w:p>
      <w:pPr>
        <w:spacing w:after="0" w:line="18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Regulators in the European Union review biosimilar products using a similar regulatory process, although the European Medicines Agency, or EMA, has expressly excluded blood or plasma-derived products from the biosimilar process for a period of time. WinRho SDF, HepaGam B, VARIZIG and IXINITY have not received marketing authorization by the EMA. HepaGam B, VARIZIG and IXINITY are not sold in Europe. WinRho SDF is sold in Portugal, with insignificant revenues to date, but the approval is a country-specific approval. Even if WinRho SDF, HepaGam B or VARIZIG receive EMA marketing authorization, it will not be possible for a follow-on product to seek approval using the EMA biosimilar process due to the exclusion of blood or plasma-derived products from the process.</w:t>
      </w:r>
    </w:p>
    <w:p>
      <w:pPr>
        <w:spacing w:after="0" w:line="19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Similarly, if a competitor were to seek regulatory approval for a biosimilar product citing HepaGam B or VARIZIG as the reference product, such approval could not be granted until January 2018 and December 2024, respectively. A biosimilar application citing WinRho SDF as the reference product could be approved at any time. If a biosimilar version of one of our Biologic Products were approved, it could have a material adverse effect on the sales and gross profits of the affected Biologic Product and could adversely affect our business and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products will depend upon the degree of market acceptance by physicians, patients, healthcare payors and others in the medical community.</w:t>
      </w:r>
    </w:p>
    <w:p>
      <w:pPr>
        <w:spacing w:after="0" w:line="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success of our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relative cost and relative efficacy of alternative and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continuously supply the market without interruption;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sufficiency of coverage or reimbursement by third parties.</w:t>
      </w:r>
    </w:p>
    <w:p>
      <w:pPr>
        <w:spacing w:after="0" w:line="225"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If our products and product candidates do not gain or maintain market acceptance, or do not become widely accepted, by physicians, patients, third-party payors and other members of the medical community, our business, financial condition and operating results could be materially and adversely affected.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payor reimbursement policies could result in a decline in our potential sales and a reduction in our expected revenue from our products.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revenues and profitability of biotechnology companies like ours may be affected by the continuing efforts of government payors, including Medicare and Medicaid, and other third-party payors to contain or reduce the costs of health care through various means. For example, in certain foreign markets, the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results of operations. The trend toward managed health care in the United States, as well as the implementation of the Patient Protection and Affordable Care Act (as amended by the Health Care and Education Reconciliation Act), collectively referred to as the Affordable Care Act, and the concurrent growth of organizations such as managed care organizations, accountable care organizations and integrated delivery networks, may result in increased pricing pressures for pharmaceutical products, including any products that may be offered by us in the future. Cost-cutting measures that health care providers are instituting, and the implementation of health care reform, could adversely affect our ability to sell any drug products that are successfully developed by us. We cannot predict what effects, if any, this legislation might have on our company and our products as this legislation continues to be further implemented over the next few years, nor can we predict whether additional legislative or regulatory proposals may be adopted.</w:t>
      </w:r>
    </w:p>
    <w:p>
      <w:pPr>
        <w:spacing w:after="0" w:line="16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our marketed products or any future drug product we may market, these products may be too costly for general use, and physicians may prescribe them less frequently. Our ability to successfully commercialize our products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our products that are reimbursed by such entities. Various provisions of the Affordable Care Act increased the levels of rebates and discounts that we have to provide in connection with sales of such products that are paid for, or reimbursed by, certain state and federal government agencies and programs. It is possible that future legislation in the United States and other jurisdictions could be enacted, which could potentially impact the reimbursement rates for our products and also could further impact the levels of discounts and rebates we are required to pay to state and federal government entities.</w:t>
      </w:r>
    </w:p>
    <w:p>
      <w:pPr>
        <w:spacing w:after="0" w:line="19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Certain government pricing programs, including Medicare Part B, the Medicaid rebate program, the 340B/PHS drug pricing program and Federal Supply Schedule, affect the revenues that we derive from WinRho SDF, HepaGam B, VARIZIG and IXINITY. Any future legislation or regulatory actions altering these programs or imposing new ones could have an adverse impact on our business. There have been, and we expect there will continue to be, a number of legislative and regulatory actions and proposals to control and reduce health care costs. These measures may, among other things: negatively impact the level of reimbursement for pharmaceutical products; require higher levels of cost-sharing by beneficiaries; change the discounts required to be provided to government payors and/or providers; extend government discounts to additional government programs and/or providers; or reduce the level of reimbursement for health care services and other non-drug items. Any such measures could indirectly affect demand for pharmaceutical products because they can cause payors and providers to apply heightened scrutiny and/or austerity actions to their entire operations, including pharmacy budgets.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revenues also depend on the availability outside the United States of adequate pricing and reimbursement from third-party payors for our current and future drug products, if any.</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Outside the United States, certain countries, including a number of EU Member States, set prices and reimbursement for pharmaceutical products, or medicinal products as they are commonly referred to in the European Union,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sales by us or our collaborative partners,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convince hospitals and managed care organizations to include our products on their approved formulary lists, our revenues may not meet expectations and our business, results of operations and financial condition may be adversely affected.</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our products on favorable terms or are significantly delayed in doing so, we may have difficulty achieving market acceptance of our products and our business, results of operations and financial condition could be materially adversely affected.</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with respect to the purchase of our products, our sales, results of operations and financial condition could be adversely affected.</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ability to sell our products, including WinRho SDF, HepaGam B and IXINITY, to hospitals in the United States depends in part on our relationships with group purchasing organizations, or GPOs. Many existing and potential customers for our products become members of GPOs. GPOs negotiate pricing arrangements and contracts, sometimes on an exclusive basis, with medical supply manufacturers and distributors. These negotiated prices are then made available to a GPO’s affiliated hospitals and other members. If we are not one of the providers selected by a GPO, affiliated hospitals and other members may be less likely to purchase our products,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markets. If third parties do not successfully carry out their contractual duties in maximizing the commercial potential of our products, or if there is a delay or interruption in the distribution of our products, it could negatively impact our revenues from product sales.</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loss of any of our sole source manufacturers, or delays or problems in the manufacture of our products or product candidates, could result in product shortages, leading to lost revenue, and otherwise materially and adversely affect our business, financial condition, results of operations and growth prospects.</w:t>
      </w:r>
    </w:p>
    <w:p>
      <w:pPr>
        <w:spacing w:after="0" w:line="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manufacturing capabilities following the separation and do not plan to develop such capacity in the foreseeable future. We depend on a limited number of sole source third-party manufacturers, including Emergent, for each of our products and product candidates. Accordingly, our ability to develop and deliver products in a timely and competitive manner depend on our third-party manufacturers being able to continue to meet our ongoing commercial and clinical trial needs and perform their contractual obligations. We have a limited ability to control the manufacturing process or costs related to the manufacture of our products. Increases in the prices we pay our manufacturers, interruptions in the supply of raw materials or our products themselves or lapses in quality could adversely impact our margins, profitability, cash flows and prospects. We rely on our third-party manufacturers to maintain the facilities at which they manufacture our products or product candidates in compliance with all FDA and other applicable regulatory requirements. If these manufacturers fail to maintain compliance with FDA or other applicable regulatory requirements, they could be ordered to cease manufacturing, which could have a material adverse effect on our revenues and operating results.</w:t>
      </w:r>
    </w:p>
    <w:p>
      <w:pPr>
        <w:spacing w:after="0" w:line="1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Emergent or our other manufacturers do not continue to supply us with our products or product candidates in a timely fashion and in compliance with applicable quality and regulatory requirements, or otherwise fail or refuse to comply with their obligations to us under our manufacturing arrangements, we may not have adequate remedies for any breach of contract, and their failure to supply us could result in a shortage of our products or product candidates, which could lead to lost revenue and otherwise adversely affect our business, financial condition, results of operations and growth prospects. In addition, if any of our manufacturers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 Because of contractual restraints and the lead-time necessary to obtain FDA approval of a new manufacturer, replacement of any of these manufacturers may be expensive and time consuming and may cause interruptions in our supply of these products to our customers, and we may be unable to obtain alternative manufacturing or supply on commercially reasonable terms on a timely basis or at all.</w:t>
      </w:r>
    </w:p>
    <w:p>
      <w:pPr>
        <w:spacing w:after="0" w:line="17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For example, CMC ICOS Biologics, Inc., or CMC, is the exclusive manufacturer of bulk drug substance for our IXINITY product. During 2015, we ordered nine manufacturing lots of bulk drug substance from CMC and only one of those lots was successfully manufactured and released in 2015. We continue to work with CMC to resolve the manufacturing issues, although to date in 2016 no lots of bulk drug substance have been successfully manufactured and released. On October 4, 2016 we provided a Notice of Interruption in Manufacturing (</w:t>
      </w:r>
      <w:r>
        <w:rPr>
          <w:rFonts w:ascii="Arial" w:cs="Arial" w:eastAsia="Arial" w:hAnsi="Arial"/>
          <w:sz w:val="18"/>
          <w:szCs w:val="18"/>
          <w:color w:val="1F497D"/>
        </w:rPr>
        <w:t>“</w:t>
      </w:r>
      <w:r>
        <w:rPr>
          <w:rFonts w:ascii="Arial" w:cs="Arial" w:eastAsia="Arial" w:hAnsi="Arial"/>
          <w:sz w:val="18"/>
          <w:szCs w:val="18"/>
          <w:color w:val="auto"/>
        </w:rPr>
        <w:t>Notice</w:t>
      </w:r>
      <w:r>
        <w:rPr>
          <w:rFonts w:ascii="Arial" w:cs="Arial" w:eastAsia="Arial" w:hAnsi="Arial"/>
          <w:sz w:val="18"/>
          <w:szCs w:val="18"/>
          <w:color w:val="1F497D"/>
        </w:rPr>
        <w:t>”</w:t>
      </w:r>
      <w:r>
        <w:rPr>
          <w:rFonts w:ascii="Arial" w:cs="Arial" w:eastAsia="Arial" w:hAnsi="Arial"/>
          <w:sz w:val="18"/>
          <w:szCs w:val="18"/>
          <w:color w:val="auto"/>
        </w:rPr>
        <w:t>) to the United States Food and Drug Administration (FDA) notifying FDA of a potential interruption in the supply of IXINITY® coagulation factor IX (recombinant.) The supply interruption relates to an ongoing challenge with the manufacture of bulk drug substance for IXINITY that meets release specifications for final drug product. As part of the Notice, Aptevo submitted a proposal to FDA seeking approval for a proposed mitigation plan aimed at ensuring the continued supply of IXINITY to patients. FDA has denied our proposal and therefore we anticipate that there will be a supply interruption of the 1500IU assay in December and the remaining dosage forms of IXINITY in January 2017. Such a supply shortage of IXINITY will adversely affect its sales and could adversely affect its market position and commercial viability.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b w:val="1"/>
          <w:bCs w:val="1"/>
          <w:i w:val="1"/>
          <w:iCs w:val="1"/>
          <w:color w:val="auto"/>
        </w:rPr>
        <w:t>Emergent owns the manufacturing know-how necessary for the manufacture of WinRho SDF, HepaGam B and VARIZIG. If our rights to use this manufacturing know-how are terminated, we will not be able to manufacture these products, which would lead to lost revenue and otherwise materially and adversely affect our business, financial condition, results of operations and growth prospects.</w:t>
      </w:r>
    </w:p>
    <w:p>
      <w:pPr>
        <w:spacing w:after="0" w:line="73"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Emergent owns its human hyperimmune platform manufacturing know-how, which is necessary for the manufacture of WinRho SDF, HepaGam B and VARIZIG. We have entered into a manufacturing services agreement with Emergent with respect to the manufacturing of these products. We also entered into a product license agreement with Emergent pursuant to which Emergent has granted us an exclusive royalty-free, worldwide license, under certain licensed intellectual property rights, to research, develop, make, have made, use, sell, offer to sell and import WinRho SDF, HepaGam B, and VARIZIG. Under the product license agreement, we are only permitted to exercise rights with respect to Emergent’s human hyperimmune platform manufacturing know-how through a third-party contract manufacturer, under limited conditions, including a requirement that the manufacturer is bound to protect the manufacturing know-how, and is either approved by Emergent (in Emergent’s sole and absolute discretion) or, there has been a manufacturing failure under the manufacturing services agreement.</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Emergent has the right to terminate the product license agreement upon breach by us of any of its terms, including our confidentiality obligations and other obligations, if such breach is not cured within a specified period of time or is incurable. If the product license agreement is terminated, we will no longer be able to research, develop, make, have made, use, sell, offer to sell and import WinRho SDF, HepaGam B and VARIZIG, which would lead to lost revenue and otherwise materially and adversely affect our business, financial condition, results of operations and growth prospects.</w:t>
      </w:r>
    </w:p>
    <w:p>
      <w:pPr>
        <w:spacing w:after="0" w:line="2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Manufacturing biologic products, especially in large quantities, is complex and time consuming. Delays or problems in the manufacture of our products or product candidates could materially and adversely affect our business, financial condition, results of operations and growth prospects.</w:t>
      </w:r>
    </w:p>
    <w:p>
      <w:pPr>
        <w:spacing w:after="0" w:line="1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WinRho SDF, HepaGam B, VARIZIG and IXINITY and all of our current product candidates are biologics. The products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In addition,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w:t>
      </w:r>
    </w:p>
    <w:p>
      <w:pPr>
        <w:spacing w:after="0" w:line="5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MOR209/ES414, ES210, otlertuzumab, 5E3 and a product candidate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 for each candidate that will:</w:t>
      </w:r>
    </w:p>
    <w:p>
      <w:pPr>
        <w:spacing w:after="0" w:line="7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 approved by the FDA and/or other regulatory authorities in the countries where such candidates are to be manufactured or sold;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sufficient quantities of such candidate to meet our clinical trial needs and ultimate market demand;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such amounts at a cost that will allow us to potentially make an adequate profit.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518"/>
        <w:spacing w:after="0" w:line="297" w:lineRule="auto"/>
        <w:rPr>
          <w:sz w:val="20"/>
          <w:szCs w:val="20"/>
          <w:color w:val="auto"/>
        </w:rPr>
      </w:pPr>
      <w:r>
        <w:rPr>
          <w:rFonts w:ascii="Arial" w:cs="Arial" w:eastAsia="Arial" w:hAnsi="Arial"/>
          <w:sz w:val="16"/>
          <w:szCs w:val="16"/>
          <w:color w:val="auto"/>
        </w:rPr>
        <w:t>We and our third-party manufacturers may not be able to meet these manufacturing process requirements for any of our current product candidates, including MOR209/ES414, ES210, otlertuzumab, 5E3 and a product candidate targeting ROR1,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Emergent or other third parties on whom we rely to manufacture and support the development and commercialization of our products do not fulfill their obligations or we are unable to establish or maintain such arrangements, the development and commercialization of our products may be terminated or delayed, and the costs of development and commercialization may increase.</w:t>
      </w:r>
    </w:p>
    <w:p>
      <w:pPr>
        <w:spacing w:after="0" w:line="73"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products and market and sell our products outside of the United States. We do not have the expertise or the resources to conduct all of these activities for all products and product candidates on our own and, as a result, are particularly dependent on third parties in many areas.</w:t>
      </w:r>
    </w:p>
    <w:p>
      <w:pPr>
        <w:spacing w:after="0" w:line="1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may not be able to maintain our existing arrangements with respect to the commercialization or manufacture of our products or establish and maintain arrangements to develop, manufacture and commercialize our products in development on terms that are acceptable to us. Any current or future arrangements for development and commercialization may not be successful. If we are not able to establish or maintain agreements relating to our products or our products in development, our results of operations would be materially and adversely affected.</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Third parties may not perform their contractual obligations as expected. The amount and timing of resources that third parties devote to developing, manufacturing and commercializing our products are not within our control. Our collaborative partners may develop, manufacture or commercialize, either independently or with others, products and services that are similar to or competitive with the products that are the subject of the collaboration with us. Furthermore, our interests may differ from those of third parties that manufacture or commercialize our products. Our collaborative partners may reevaluate their priorities from time to time, including following mergers and consolidations, and change the focus of their development, manufacturing or commercialization efforts. Disagreements that may arise with these third parties could delay or lead to the termination of the development or commercialization of our product candidates, or result in litigation or arbitration, which would be time consuming and expensive.</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any third-party that manufactures or supports the development or commercialization of our products breaches or terminates its agreement with us, or fails to commit sufficient resources to our collaboration or conduct its activities in a timely manner, or fails to comply with regulatory requirements, such breach, termination or failure could:</w:t>
      </w:r>
    </w:p>
    <w:p>
      <w:pPr>
        <w:spacing w:after="0" w:line="73" w:lineRule="exact"/>
        <w:rPr>
          <w:sz w:val="20"/>
          <w:szCs w:val="20"/>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otherwise adversely impact the manufacturing, development or commercialization of our products, our products in development or any additional products or product candidates that we may develop;</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seek a new collaborator or undertake unforeseen additional responsibilities or devote unforeseen additional resources to the manufacturing, development or commercialization of our products;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the termination of the development or commercialization of our products.</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our business infrastructure and operations, our ability to generate future product revenue will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ability to support the sales and marketing of our products in the United States and globally will depend on our ability to properly scale our internal organization and infrastructure to accommodate the development and, upon approval, commercialization of our products and products in development. To manage our existing and planned future growth and the increasing breadth and complexity of our activities, we need to properly invest in personnel, infrastructure, information management systems and other operational resources. Developing our business infrastructure and operations may be more difficult, more expensive or take longer than we anticipate. We may also need to revise our strategy for developing the proper infrastructure and operations periodically.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firstLine="518"/>
        <w:spacing w:after="0" w:line="277" w:lineRule="auto"/>
        <w:rPr>
          <w:sz w:val="20"/>
          <w:szCs w:val="20"/>
          <w:color w:val="auto"/>
        </w:rPr>
      </w:pPr>
      <w:r>
        <w:rPr>
          <w:rFonts w:ascii="Arial" w:cs="Arial" w:eastAsia="Arial" w:hAnsi="Arial"/>
          <w:sz w:val="18"/>
          <w:szCs w:val="18"/>
          <w:color w:val="auto"/>
        </w:rPr>
        <w:t>Future development of our business infrastructure and operations could strain our operational, human and financial resources. In order to manage the development of our business infrastructure and global operations, we must:</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improve operating, administrative, and information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accurately predict future personnel and resource needs to meet contract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track the progress of ongoing projects;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qualified management, sales, professional, scientific and technical operating personnel.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we do not take these actions and are not able to manage our business, then our operations may be less successful than anticipated.</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 and may not be successful in our efforts to expand internationally.</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currently have limited operations outside of the United States and Canada. However, we have manufacturing, collaboration, clinical trial and other relationships outside the United States, and our products are marketed internationally through collaborations. We may seek to grow our international operations significantly over the next several years. Our future results of operations will depend in part on our ability to grow and ultimately maintain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w:t>
      </w:r>
    </w:p>
    <w:p>
      <w:pPr>
        <w:spacing w:after="0" w:line="85"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fact that we have limited experience operating our business internationally;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adverse events related to our products or product candidates that occur in foreign markets that we have not experienced in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determinations that adversely impact pricing or reimbursement policies;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procedures using our products in foreign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complex and changing foreign legal, tax, accounting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cross border restrictions on the movement of cash funds and repatriation of earnings;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and other difficulties in providing long-range customer support and service;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restrictions and restrictions on direct investment by foreign entities;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 foreign currency fluctuations, which could result in increased or unpredictable operating expenses and reduced revenues;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geopolitical events, such as war and terrorism; and</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foreign or U.S. laws, rules and regulations, including data privacy requirements, labor relations laws, tax laws, anti-competition regulations, anti-bribery/anti-corruption laws, including but not limited to the FCPA and the Bribery Act in the UK, which could subject us to investigation or prosecution under such foreign or U.S. laws.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foreign operations could also be adversely affected by export license requirements, the imposition of governmental controls, political and economic instability, trade restrictions, and changes in tariffs and difficulties in staffing and managing foreign operations. These and other risks associated with our international operations may materially adversely affect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our product candidates and, if we are not successful, our business and operating results may suffer.</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FDA, the European Commission, the EMA, the competent authorities of the EU Member States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the European Commission, the EMA and the competent authorities of the EU Member States,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III safety and efficacy trials conducted in patients with the disease or condition being targeted.</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 Moreover, recent events, including complications experienced by patients taking FDA-approved drugs, have raised questions about the safety of marketed drugs and may result in new legislation by the U.S. Congress or foreign legislatures and increased caution by the FDA and comparable foreign regulatory authorities in reviewing applications for marketing approval.</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a pipeline of clinical and pre-clinical stage product candidates, including:</w:t>
      </w:r>
    </w:p>
    <w:p>
      <w:pPr>
        <w:spacing w:after="0" w:line="117" w:lineRule="exact"/>
        <w:rPr>
          <w:sz w:val="20"/>
          <w:szCs w:val="20"/>
          <w:color w:val="auto"/>
        </w:rPr>
      </w:pPr>
    </w:p>
    <w:p>
      <w:pPr>
        <w:jc w:val="both"/>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MOR209/ES414, a bispecific immunotherapeutic ADAPTIR protein, currently in Phase 1, targeting prostate specific membrane antigen, or PSMA, an enzyme that is expressed on the surface of prostate cancer cells. It is being developed under our collaboration with MorphoSys AG for metastatic castration-resistant prostate cancer, which is advanced prostate cancer that has spread to other organs and no longer responds to hormone blocking therapies;</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ES210, a bispecific ADAPTIR protein therapeutic that is currently in pre-clinical development for inflammatory bowel disease and other autoimmune and inflammatory diseases;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otlertuzumab, a monospecific ADAPTIR protein therapeutic that is currently in Phase 2 clinical development for chronic lymphocytic leukemia, or CLL;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5E3 mAb, a monoclonal antibody therapeutic that is currently in pre-clinical development for Alzheimer’s disease;</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bispecific immunotherapeutic ADAPTIR protein that targets ROR1 (receptor tyrosine kinase-like orphan receptor 1, a protein expressed on solid tumors, leukemias and lymphomas), which are currently in pre-clinical development for a variety of hematologic malignancies and solid tumors;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protein therapeutic product candidates primarily targeting immuno-oncology.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Delays in obtaining or failure to obtain regulatory approvals may:</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 or prevent the successful commercialization of any of the products or product candidates in the jurisdiction for which approval is sought;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diminish our competitive advantage;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 or decrease our receipt of revenue.</w:t>
      </w:r>
    </w:p>
    <w:p>
      <w:pPr>
        <w:spacing w:after="0" w:line="2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Certain of our products in development have experienced regulatory and/or clinical setbacks in the past. For example,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antibodies against the drug; this is called anti-drug antibodies, or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We have continued the current clinical trial under an amended protocol. Recruitment started during the second half of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US $74.0 million. As a result of the required change in dosing regimen for MOR209/ES414,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The requirement for further adjustments to the dosing regimen or other parts of the program could delay our development timeline or delay or prevent our ability to receive regulatory approval for MOR209/ES414.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ind w:firstLine="51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any of our products.</w:t>
      </w:r>
    </w:p>
    <w:p>
      <w:pPr>
        <w:spacing w:after="0" w:line="1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and indications for which a product is deemed to be safe and effective by the FDA. For example, the FDA-approved label for IXINITY is not approved for use in patients younger than 12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studies and approved by the regulatory authorities, our ability to promote the products is limited to those indications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criminal prosecution, any of which could harm our business.</w:t>
      </w:r>
    </w:p>
    <w:p>
      <w:pPr>
        <w:spacing w:after="0" w:line="18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another regulatory or enforcement authority determines that our communications regarding our marketed products are not in compliance with the relevant regulatory requirements and that we have improperly promoted off-label uses, we may be subject to significant liability, including civil and administrative remedies as well as criminal sanctions.</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after regulatory approval is received, if we, or third parties on whom we rely to manufacture or distribute our products or product candidates, fail to comply with regulatory requirements, or if we experience unanticipated problems with our approved products, they could be subject to restrictions, penalties or withdrawal from the market.</w:t>
      </w:r>
    </w:p>
    <w:p>
      <w:pPr>
        <w:spacing w:after="0" w:line="7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ind w:firstLine="518"/>
        <w:spacing w:after="0" w:line="291" w:lineRule="auto"/>
        <w:rPr>
          <w:sz w:val="20"/>
          <w:szCs w:val="20"/>
          <w:color w:val="auto"/>
        </w:rPr>
      </w:pPr>
      <w:r>
        <w:rPr>
          <w:rFonts w:ascii="Arial" w:cs="Arial" w:eastAsia="Arial" w:hAnsi="Arial"/>
          <w:sz w:val="16"/>
          <w:szCs w:val="16"/>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“black box warnings” in their approved package inserts, such as WinRho SDF.</w:t>
      </w:r>
    </w:p>
    <w:p>
      <w:pPr>
        <w:spacing w:after="0" w:line="16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Failure by Emergent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and state healthcare laws and regulations pertaining to fraud and abuse and patients’ rights are and will be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the purchase, prescribing or recommendation of an item or service reimbursable under federally funded healthcare programs, such as the Medicare and Medicaid programs;</w:t>
      </w:r>
    </w:p>
    <w:p>
      <w:pPr>
        <w:spacing w:after="0" w:line="78"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federal civil and criminal false claims and false statement laws and civil monetary penalty laws, which prohibit, among other things, individuals or entities from knowingly presenting, or causing to be presented, claims for payment from Medicare, Medicaid or other payors that are false or fraudulent or making any materially false statement in connection with the delivery or payment for healthcare benefits, items or services;</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or HIPAA, which creates federal criminal and civil statutes that prohibit executing a scheme to defraud any healthcare benefit program; and Health Information Technology for Economic and Clinical Health, or HITECH, and its implementing regulations, which imposes certain requirements relating to the privacy, security and transmission of individually identifiable health information;</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physician self-referral laws, such as the Stark law, which prohibit a physician from making a referral to a provider of certain health services with which the physician or the physician’s family member has a financial interest, and prohibit submission of a claim for reimbursement pursuant to a prohibited referral;</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Physician Payment Sunshine Act, which imposes disclosure requirements on pharmaceutical manufacturers of payments made to physicians, healthcare providers and institutions; and</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jc w:val="both"/>
        <w:ind w:firstLine="518"/>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Affordable Care Act, among other things, amends the intent requirement of the federal anti-kickback and criminal health care fraud statutes, so that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Federal false claims laws prohibit any person from knowingly presenting, or causing to be presented, a false claim for payment to the federal government or knowingly making, or causing to be made, a false statement to get a false claim paid.</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Further, there has been a recent trend in the increase of federal and state laws and regulations regarding financial arrangements with physicians. The Affordable Care Act imposes new requirements to report certain financial arrangements with physicians and others, including reporting any “transfer of value” made or distributed to prescribers and other healthcare providers and reporting any ownership or investment interests held by physicians and their immediate family members during each calendar year, subject to federal implementation and enforcement policies.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certain states mandate that we comply with a state code of conduct, adopt a company code of conduct under state criteria, disclose marketing payments made to physicians,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8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If our past or present operations, or those of our distributors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Affordable Care Act and Centers for Medicare &amp; Medicaid Services’, or CMS’s,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WinRho SDF, HepaGam B, VARIZIG and IXINITY. Future statutory or regulatory changes or CMS binding guidance could affect the ASP calculations for our products and the resulting Medicare payment rate, and could negatively impact our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to retroactive rebate liability and the potential for 340B program refunds, if we are found to have made a misrepresentation in the reporting of ASP, we are subject to civil monetary penalties in an amount of up to $10,000 for each such price misrepresentation and for each day in which such price misrepresentation was applied. If we are found to have knowingly submitted false AMP or “best price” information to the government, we may be liable for civil monetary penalties in the amount of $100,000 per item of false information. Any refusal of a request for information or knowing provision of false information in connection with an AMP survey verification also would subject us to $100,000 in civil monetary penalties. In addition, our failure to submit monthly/quarterly AMP or “best price” information on a timely basis could result in a civil monetary penalty of $10,000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83"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wholesaler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$100,000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obtain or maintain regulatory approval in international jurisdictions could prevent us from marketing our products abroad and could limit the growth of our business.</w:t>
      </w:r>
    </w:p>
    <w:p>
      <w:pPr>
        <w:spacing w:after="0" w:line="6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currently sell and intend to continue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collaborative partners may not be able to obtain foreign regulatory approvals on a timely basis, if at all, and therefore we may be unable to commercialize our products internationally. The failure to obtain these approvals could harm our 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As we expand our commercialization activities outside of the United States, we are subject to an increased risk of inadvertently conducting activities in a manner that violates the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federal budget sequestration process may have a significant impact on our business.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August 2,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mandatory reductions in federal spending by as much as $1.1 trillion from 2013 through 2021, referred to as sequestration. The Bipartisan Budget Act of 2013 and subsequent legislation provide billions in sequester relief, but also extends the 2% reduction in Medicare payments, discussed below through fiscal year 2025. Sequestration-related spending reductions may have a significant adverse impact on our business.</w:t>
      </w:r>
    </w:p>
    <w:p>
      <w:pPr>
        <w:spacing w:after="0" w:line="19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Sequestration spending reductions may adversely affect the FDA. While user fees can be used in the review of certain regulatory filings, including NDAs, it is possible that sequestration spending reductions will result in additional backlogs in the approval process that could adversely affect the timing of FDA review of our regulatory filings for our products and product candidates. Sequestration also includes a 2% reduction in Medicare payments, which could also have a significant negative impact on our business. These reductions impact payments to hospitals, physicians, and Medicare managed care and prescription drug plans, under Medicare Parts A, B and D, and the Medicare Advantage program. The significant magnitude of the sequestration payment reductions places additional financial pressures on Medicare providers, including hospitals with high inpatient Medicare volume, which could force these providers to take new measures to address the shortfall in previously-expected reimbursements. It is possible that these measures could result in heightened scrutiny and/or reduced purchasing of branded pharmaceuticals and any future drug product we may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EU Data Protection Directive and national laws differently, which adds to the complexity of processing personal data in the European Union, and guidance on implementation and compliance practices are often updated or otherwise revised. Our failure to comply with these laws could lead to government enforcement actions and significant penalties against us, and adversely impact our operating results. The revised EU Data Protection Directive adopted in April 2016 may also increase our responsibility and liability in relation to personal data that we process, and we may be required to put in place additional mechanisms ensuring compliance with the new EU data protection rules.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Public concern regarding the safety of drug products could result in the inclusion of unfavorable information in our labeling, or require us to undertake other activities that may entail additional costs.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light of widely publicized events concerning the safety risk of certain drug approved products, the FDA, members of Congress, the Government Accountability Office, medical professionals and the general public have raised concerns about potential drug safety issues. These events have resulted in the withdrawal of drug products and revisions to drug labeling that further limit use of the drug products and the establishment of risk management programs that may, for example, restrict distribution of drug products after approval. The Food and Drug Administration Amendments Act of 2007, or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the new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product candidates, the indications for which this product candidate was approved may be limited or there may be specific warnings or limitations on dosing, and our efforts to commercialize our product candidates may be otherwise adversely impacted.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6"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We have invested significant effort and financial resources in the development of our therapeutics and product candidates. In addition to our product sales, our ability to generate revenue is dependent on a number of factors, including the success of our development programs, the interest of commercial entities and non-governmental organizations and others in funding the development of certain of our product candidates, the ability to attract and establish external development partnerships and the commercial viability of our developed product candidates. The commercial success of our product candidates will depend on many factors, including accomplishing the following in an economical manner:</w:t>
      </w:r>
    </w:p>
    <w:p>
      <w:pPr>
        <w:spacing w:after="0" w:line="64"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and formulation that meets FDA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commercial manufacturing and product supply arrangements;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acceptance of the product by potential government customers, physicians, patients, healthcare payors and others in the medical community.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51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a clinical trial do not necessarily predict final results. An unexpected result in one or more of our clinical trials can occur at any stage of testing.</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or clinical trials. These issues and events, which could delay or prevent our ability to receive regulatory approval for a product candidate, include, among others:</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or the inability of Emergent and our other third-party manufacturers to manufacture sufficient quantities of materials for use in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example, in December 2015, after a joint review of data from the Phase 1 dose escalation study of MOR209/ES414 in prostate cancer patients, Aptevo and MorphoSys concluded that the dosing regimen and administration required adjustment.</w:t>
      </w:r>
    </w:p>
    <w:p>
      <w:pPr>
        <w:spacing w:after="0" w:line="17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a result of the required dosing regimen change and the impact to the overall development timeline and technical risk, the co-development agreement with MorphoSys was restructured. As a result of the required change in dosing regimen for MOR209/ES414, the lead RTCC candidate, the termination provisions under the MorphoSys collaboration agreement were similarly amended in MorphoSys’ favor. Specifically, MorphoSys, at its sole discretion, has a one-time, no notice termination right exercisable at either the end of 2016 or after review of clinical data from the first six patients enrolled and dosed in the current, re-started Phase 1 trial. Patients receiving weekly doses of MOR209/ES414 developed ADA. ADA developed in most patients including those receiving the maximum tolerated dose of drug which could be given safely on a weekly basis. These antibodies bind to the drug and reduce the concentration of active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 Further adverse or inconclusive clinical results could require additional adjustments to the dosing regimen or other parts of the program and could delay or prevent our ability to receive regulatory approval for MOR209/ES414.</w:t>
      </w:r>
    </w:p>
    <w:p>
      <w:pPr>
        <w:spacing w:after="0" w:line="18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product candidates that experience success in pre-clinical testing and early-stage clinical trials will not necessarily experience the same success in late-stage clinical trials, which are required for marketing approval. The FDA and other countries’ regulatory authorities will allow us to begin clinical trials under an IND, or similar document in other countries only if we demonstrate in our submission that the potential product candidate will not expose humans to unreasonable risks and that the compound has pharmacological activity that justifies clinical development. It takes significant time and expense to generate the requisite data to support an IND or similar document. In many cases, companies spend the time and resources only to discover that the data are not sufficient to support an IND or similar document and therefore are unable to enter human clinical trials.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jc w:val="both"/>
        <w:ind w:firstLine="518"/>
        <w:spacing w:after="0" w:line="270" w:lineRule="auto"/>
        <w:rPr>
          <w:sz w:val="20"/>
          <w:szCs w:val="20"/>
          <w:color w:val="auto"/>
        </w:rPr>
      </w:pPr>
      <w:r>
        <w:rPr>
          <w:rFonts w:ascii="Arial" w:cs="Arial" w:eastAsia="Arial" w:hAnsi="Arial"/>
          <w:sz w:val="17"/>
          <w:szCs w:val="17"/>
          <w:color w:val="auto"/>
        </w:rPr>
        <w:t>Even if we are successful in advancing a product candidate into the clinical development stage, before obtaining regulatory and marketing approvals, we must demonstrate through extensive human clinical trials that the product candidate is safe and effective for its intended use. Human clinical trials must be carried out under protocols that are acceptable to regulatory authorities and to the independent committees responsible for the ethical review of clinical studies. There may be delays in preparing protocols or receiving approval for them that may delay the start or completion of the clinical trials. In addition, clinical practices vary globally, and there is a lack of harmonization among the guidance provided by various regulatory bodies of different regions and countries with respect to the data that is required to receive marketing approval, which makes designing global trials increasingly complex. In addition, any deficiency in the design, implementation or oversight of our development programs could cause us to incur significant additional costs, experience significant delays, prevent us from obtaining marketing approval for any product candidate or abandon development of certain product candidates, any of which could harm our business and cause our stock price to decline.</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FDA may designate a product as a fast track drug if it is intended for the treatment of a serious or life-threatening 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 Receipt of Fast Track designation may not result in a faster development process, review or approval compared to drugs considered for approval under conventional FDA procedures, and Fast Track designation may be withdrawn by the FDA at any time. In addition, Fast Track designation does not guarantee the ability to take advantage of the expedited review procedures and does not increase the likelihood of receiving any regulatory approvals.</w:t>
      </w:r>
    </w:p>
    <w:p>
      <w:pPr>
        <w:spacing w:after="0" w:line="297"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example, as noted above, MOR209/ES414 is currently being tested in its first clinical trial in humans. Twelve patients have received the drug. One of the significant serious adverse events associated with the drug is infusion reactions. Infusion reactions are often associated with the infusion of a protein and are expected with this drug that activates T-cells. The events that have been reported with infusion of the drug include: fever, fatigue, hypertension, bronchospasm, chills and rigors. The severity of these reactions varied by patient and were managed medically and resolved. In addition we recently discovered that patients receiving weekly doses of our product candidate MOR209/ES414 developed ADA during use. This ADA, which was not associated with safety issues, developed in most patients including those receiving the maximum tolerated dose of drug which could be given safely on a weekly basis. Undesirable side effects, such as this,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1"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certain cases, government entities conduct studies of our product candidates, and we may seek to rely on these studies in applying for marketing approval for certain of our product candidates. These government entities have no obligation or commitment to us to conduct or complete any of these studies or clinical trials and may choose to discontinue these development efforts at any time.</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b w:val="1"/>
          <w:bCs w:val="1"/>
          <w:i w:val="1"/>
          <w:iCs w:val="1"/>
          <w:color w:val="auto"/>
        </w:rPr>
        <w:t>If our competitors are able to obtain orphan drug exclusivity for a product that is competitive with one or more of our product candidates and we cannot show that our product candidate is clinically superior, we may not be able to have competing products approved by the applicable regulatory authority for a significant period of time.</w:t>
      </w:r>
    </w:p>
    <w:p>
      <w:pPr>
        <w:spacing w:after="0" w:line="7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Regulatory authorities in some jurisdictions, including Europe and the United States, may designate drugs that target relatively small patient populations as orphan drugs. A disease or condition is considered orphan if it affects fewer than 200,000 people in the United States.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received an orphan drug designation from the FDA for VARIZIG for treatment following exposure to varicella (chickenpox) in high-risk patient groups, including children with compromised immune systems, newborns and pregnant women. We have also received orphan drug designation for otlertuzumab and we may seek such status with additional product candidates.</w:t>
      </w:r>
    </w:p>
    <w:p>
      <w:pPr>
        <w:spacing w:after="0" w:line="18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marketing exclusivity. VARIZIG has orphan drug exclusivity in the United States through December 2019. Our product candidate otlertuzumab was granted orphan drug designation by the FDA in November 2011 and received orphan medicinal product designation from the European Commission in December 2012 for the treatment of chronic lymphocytic leukemia. The exclusivity applies only to the indication for which each drug has been designated and approved. The applicable exclusivity period is seven years in the United States, but this period may be interrupted if a sponsor of a competitive product that is otherwise the same drug for the same use can show that its drug is clinically superior to our orphan drug candidate. The European exclusivity period is ten years, but may be reduced to six years if a drug no longer meets the criteria for orphan drug designation, including where it is shown that the drug is sufficiently profitable so that market exclusivity is no longer justified.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grant of an orphan designation is not a guarantee that a product will be approved by the FDA.</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orphan drug exclusivity for our drug products, which do not have patent protection, our competitors may then sell the same drug to treat the same condition.</w:t>
      </w:r>
    </w:p>
    <w:p>
      <w:pPr>
        <w:spacing w:after="0" w:line="6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do not have patent protection for WinRho SDF, HepaGam B or VARIZIG. Because not all of our drugs have patent protection, orphan drug designation is particularly important for our products that are eligible for orphan drug designation. As previously noted, VARIZIG has orphan drug exclusivity in the United States for treatment following exposure to varicella (chickenpox) in high-risk patient groups through December 2019. We plan to rely on this exclusivity period under the orphan drug designation for VARIZIG to maintain a competitive position. Our product candidate otlertuzumab was granted orphan drug designation by the FDA in November 2011 and received orphan medicinal product designation from the European Commission in December 2012 for the treatment of chronic lymphocytic leukemia. Orphan designation in Europe qualifies a drug for certain development and commercial incentives, including protocol assistance, access to centralized authorization procedures, reduced fees for regulatory activities, and 10 years of market exclusivity after approval.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U.S. and foreign patents, including defending those patents against adverse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firstLine="518"/>
        <w:spacing w:after="0" w:line="272"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patent litigation, we may be a party to adversarial proceedings before the Patent Trial and Appeal Board of the US Patent and Trademark Office, or the PTAB. Potential proceedings before the PTAB include inter partes review proceedings, post-grant review proceedings and interference proceedings. Depending on our level of success at the PTAB, these proceedings could adversely impact our intellectual property rights with respect to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outcomes of patent opposition proceedings currently pending in Europe relating to IXINITY are unsuccessful, we may need to identify an additional fill/finish manufacturer, which could result in significant production delays and additional costs associated with moving our fill/finish manufacturing activities and identifying another fill/finish manufacturer.</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currently involved in five opposition proceedings in Europe relating to factor IX proteins such as IXINITY. Baxter International Inc. is the sole counter-party in all five proceedings and our IXINITY product currently undergoes fill-finish in Europe. Of the five European Patent Office Proceedings, three have gone before the European Patent Office Opposition Division. Of these three, two were decided in our favor (in the name of UNC, our licensor) and one was decided in favor of Baxter. Two of these oppositions have been appealed, and we expect Baxter to appeal the third. It may be several years before these oppositions go before the Boards of Appeal for a final decision. The remaining two oppositions have not gone before the European Patent Office Opposition Division. Depending on the final outcome of these proceedings, we may be unable to continue to conduct our current IXINITY fill/finish manufacturing activities.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jc w:val="both"/>
        <w:ind w:firstLine="518"/>
        <w:spacing w:after="0" w:line="286" w:lineRule="auto"/>
        <w:rPr>
          <w:sz w:val="20"/>
          <w:szCs w:val="20"/>
          <w:color w:val="auto"/>
        </w:rPr>
      </w:pPr>
      <w:r>
        <w:rPr>
          <w:rFonts w:ascii="Arial" w:cs="Arial" w:eastAsia="Arial" w:hAnsi="Arial"/>
          <w:sz w:val="17"/>
          <w:szCs w:val="17"/>
          <w:color w:val="auto"/>
        </w:rPr>
        <w:t>Patheon UK Limited, through an affiliate, is currently the sole source third-party manufacturer that provides fill and finish services for our IXINITY product, which conducts such activities in Europe. If, as a result of an adverse outcome in these proceedings, we are required to identify an additional fill/finish manufacturer in another location, we would not be able to do so without significant delay and likely significant additional cost.</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if we are involved in opposition proceedings in foreign countries we may have to expend substantial sums and management resources.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opposition proceedings to determine the validity of our foreign patents or our competitors’ foreign patents, which could result in substantial costs and diversion of our efforts. A European Patent Opposition, for instance,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previously noted, we are currently involved in five opposition proceedings related to IXINITY and recombinant vitamin K dependent proteins. Depending on the final outcome of these proceedings, we may be unable to sell factor IX products in Europe relating to the subject matter claimed in the European patents we are opposing.</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Although we do not have current marketing authorization for IXINITY (our only product based on recombinant vitamin K dependent proteins) in Europe, nor do we sell IXINITY in Europe, if these opposition proceedings are successful, we may never be able to obtain marketing authorization to sell IXINITY in Europe or any other recombinant vitamin K dependent products we may develop in the future. In addition, if any of the patents we own or exclusively license are invalidated during the opposition process, we may be unable to block competitors from performing certain activities in Europe currently covered by the patents.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materially affect our business.</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Furthermore,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with respect to our products and technology.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applications pending that cover the APTEVO, APTEVO THERAPEUTICS, APTEVO BIOTHERAPEUTICS and APTEVO RESEARCH AND DEVELOPMENT trademarks. If a third party opposes any of these Aptevo trademarks, we may incur significant expense in the course of participating in the opposition process, which can be expensive and lengthy, and any settlement of which may result in our agreeing to be subject to restrictions on our use of the relevant Aptevo trademark. In addition, if we are unsuccessful in an opposition against an Aptevo trademark, we would lose the ability to obtain trademark registration for one or more uses of the relevant Aptevo mark.</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example, Bristol-Myers Squibb Company has filed with the U.S. Patent and Trademark Office a notice of opposition to several Aptevo trademark applications. At this time, we are in discussions with Bristol-Myers Squibb Company regarding the continued use of the Aptevo trademark. In the event these discussions are not concluded to Bristol-Myers Squibb’s satisfaction, Aptevo could lose its ability to obtain trademark registration for one or more of the relevant Aptevo marks, which could have a material and adverse effect on our business.</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a third party files a trademark infringement claim against us, defending ourselves against such claim could be costly, time-consuming and distracting to management, and if we are unsuccessful in our defense, we could face an injunction and damages, all of which could have a material and adverse effect on our business.</w:t>
      </w:r>
    </w:p>
    <w:p>
      <w:pPr>
        <w:spacing w:after="0" w:line="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a third party files a trademark infringement claim against us, defending ourselves against such claim could be costly, time-consuming and distracting to management, and if we are unsuccessful in our defense, we could face an injunction and damages.</w:t>
      </w:r>
    </w:p>
    <w:p>
      <w:pPr>
        <w:spacing w:after="0" w:line="17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At this time, we received no indication from Bristol-Myers Squibb Company that it plans to take any legal action against Aptevo, but defending ourselves against such claim could be costly, time-consuming and distracting to management, and if we are unsuccessful in our defense, we could face an injunction prohibiting us from using the Aptevo trademarks and damages, all which could have a material and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Any such termination or claim, particularly relating to our agreements with respect to WinRho SDF, HepaGam B, VARIZIG or IXINITY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WinRho SDF, HepaGam B and VARIZIG products are protected by Emergent’s manufacturing trade secrets. There are no patents or patent applications pending that support these hyperimmune products. If Emergent fails to adequately protect the trade secrets supporting these products, competitors may be able to copy our products by reproducing the manufacturing processes.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each of our product candidates, including otlertuzumab, we plan to evaluate the merits of entering into collaboration arrangements with third parties, including leading biotechnology companies or non-governmental organizations.</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currently are party to a collaboration arrangement with MorphoSys AG for the joint worldwide development and commercialization of MOR209/ES414, a targeted immuno-therapeutic protein being developed for metastatic castration-resistant prostate cancer, which is advanced prostate cancer that has spread to other organs and no longer responds to hormone blocking therapies. In December 2015, after a joint review of data from the Phase 1 dose escalation study of MOR209/ES414 in prostate cancer patients, Aptevo and MorphoSys concluded that the dosing regimen and administration required adjustment. Patients receiving weekly doses of MOR209/ES414 developed ADA. ADA developed in most patients including those receiving the maximum tolerated dose of drug which could be given safely on a weekly basis. These antibodies bind to the drug, reduced the concentration of MOR209/ES414 in the blood and thus could potentially reduce its efficacy. However, we observed no safety issues related to the development of ADA. The cause of these antibodies is unclear but could be due to the weekly administration of the drug. Hence, the protocol has been amended to continuous intravenous infusion as a way to administer higher levels of drug and prevent the development of ADA. There is no guarantee that this change in administration will enable higher dosing and/or prevent the development of ADA.</w:t>
      </w:r>
    </w:p>
    <w:p>
      <w:pPr>
        <w:spacing w:after="0" w:line="17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have continued the current clinical trial under an amended protocol and recruitment began during the second half of 2016. As a result of the required dosing regimen change and the impact to the overall development timeline and technical risk, our co-development agreement with MorphoSys was restructured. Under the terms of the restructured agreement, MorphoSys’ cost sharing in the years 2016 to 2018 was reduced and future milestone payments payable by MorphoSys to us were reduced to a total of up to $74.0 million. In addition, the amended collaboration agreement changed the total expected funding requirement for us to up to approximately $250 million. As a result of the required change in dosing regimen for MOR209/ES414, the lead RTCC candidate, the termination provisions under the MorphoSys collaboration agreement were amended to give MorphoSys a one-time right to terminate the collaboration agreement, without notice, at either the end of 2016 or after review of clinical data from the first six patients enrolled and dosed in the Phase 1 trial. Further adverse or inconclusive clinical results could lead to further renegotiation of the terms or cancellation of our collaboration agreement with MorphoSys AG.</w:t>
      </w:r>
    </w:p>
    <w:p>
      <w:pPr>
        <w:spacing w:after="0" w:line="19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7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example, in 2011, Abbott Laboratories, or Abbott, terminated its collaboration with Emergent for the development of otlertuzumab following a portfolio reprioritization process by Abbott.</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failure of any of our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profitability in future periods or on a consistent basis.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ability to become profitable will be substantially dependent on our product sales revenues and revenues from collaboration and licensing arrangements. Accordingly, our ability to become profitable may be adversely affected as we progress through various stages of ongoing or planned clinical trials for our product candidates. We may not be able to achieve or sustain profitability. In addition, we have incurred and anticipate incurring significant costs associated with the separation from Emergent and making substantial expenditures to further develop and commercialize our products and product candidates. We anticipate needing to generate greater revenue in future periods from our marketed products and from our products in development in order to achieve profitability in light of our planned expenditures. If we are unable to generate greater revenue, we may not achieve profitability in future periods, and may not be able to maintain any profitability we do achieve. If we are unable to generate sufficient revenues, we will not become profitable and may be unable to continue operations without additional funding.</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On August 4, 2016, we entered into a $35.0 million Credit and Security Agreement, or the Credit Agreement, by and among us and certain our subsidiaries as borrowers, MidCap Financial Trust,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may not have sufficient funds or be able to obtain additional financing to pay the amounts due under any future borrowings under the Credit Agreement. In addition, failure to comply with the covenants under the Credit Agreement could result in an event of default. An event of default could result in the acceleration of amounts due under the Credit Agreement, and we may not have sufficient funds or be able to obtain additional financing to make any accelerated payments. Under these circumstances, our lenders could seek to enforce security interests in our assets securing our indebtedness.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Our results of operations and liquidity needs could be materially negatively affected by market fluctuations and economic downturns.</w:t>
      </w:r>
    </w:p>
    <w:p>
      <w:pPr>
        <w:spacing w:after="0" w:line="1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results of operations could be materially negatively affected by general economic conditions, both in the United States and elsewhere around the world. Continuing concerns over inflation, energy costs, geopolitical issues, and the availability and cost of credit have contributed to increased volatility and diminished expectations for the economy and the markets going forward. Domestic and international equity markets continue to experience heightened volatility and turmoil. These events and the continuing market upheavals may have an adverse effect on us. In the event of a continuing market downturn, our results of operations could be adversely affected by those factors in many ways, including making it more difficult for us to raise funds, if necessary, and our stock price may further decline.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financial market conditions may exacerbate certain risks affecting our business.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Sales of our products are made, in part, through direct sales to our customers, which include hospitals, physicians and other health care providers. As a result of adverse global credit and financial market conditions, our customers may be unable to satisfy their payment obligations for invoiced product sales or may delay payments, which could negatively affect our revenues, income and cash flow. In addition, we rely upon third parties for many aspects of our business, including our collaboration partners, wholesale distributors for our products, contract clinical trial providers, research organizations, manufacturers and third-party suppliers. Because of the tightening of global credit and the volatility in the financial markets, there may be a delay or disruption in the performance or satisfaction of commitments to us by these third parties, which could adversely affect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way that we account for our operational and business activities is based on estimates and assumptions that may differ from actual results.</w:t>
      </w:r>
    </w:p>
    <w:p>
      <w:pPr>
        <w:spacing w:after="0" w:line="14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and liabilities, the disclosure of contingent liabilities as of the date of the financial statements and the reported amounts of revenues and expenses during the reporting period. On an ongoing basis, our management evaluates its critical estimates and judgments, including, among others: those related to revenue recognition, including product rebates, chargeback and return accruals; inventory; clinical research costs; business combinations; intangible assets and impairment; income taxes; stock-based compensation; and contingent consideration. Those critical estimates and assumptions are based on our historical experience, future projections, our observance of trends in the industry, and various other factors that are believed to be reasonable under the circumstances, and they form the basis for making judgments about the carrying values and fair values of assets and liabilities that may not be readily apparent from other sources. If actual results differ from these estimates as a result of unexpected conditions or events occurring which cause us to have to reassess our assumptions, there could be a material adverse impact on our financial results and the performance of our stock.</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nature of our business exposes us to potential liability inherent in pharmaceutical products, including with respect to the sale of our products, any other products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ind w:firstLine="518"/>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our products and/or product candidates, withdrawal of clinical trial participants and potential termination of clinical trial sites or entire clinical programs, and could cause our stock price to fall.</w:t>
      </w:r>
    </w:p>
    <w:p>
      <w:pPr>
        <w:spacing w:after="0" w:line="19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third-party payors. In addition, product liability claims could result in an investigation of the safety or efficacy of our products, our manufacturing processes and facilities, or our marketing programs conducted by the FDA, the EMA, or the competent authorities of the EU Member States. Such investigations could also potentially lead to a recall of our products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and Chief Financial Officer, Jeffrey G. Lamothe, and Chief Medical Officer, Scott C. Stromatt, or other key employees, our ability to implement our business strategy could be materially harmed. Our industry has experienced a high rate of turnover of management personnel in recent years.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 Any litigation in the future, regardless of its merits, could result in substantial costs and a diversion of management’s attention and resources that are needed to successfully run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of the anticipated benefits of the separation from Emergent due to a number of factors.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may not realize some or all of the anticipated strategic, financial or other benefits from the separation from Emergent. We are smaller, less diversified and with a narrower business focus than the previously consolidated company, and may be more vulnerable to changing market conditions, which could materially and adversely affect our business, financial condition and results of operations. The spin-off transactions present a number of significant risks to our internal processes, including the failure to maintain an adequate control environment due to changes to our information technology systems and financial reporting processes. There may also be dis-synergies from separating the businesses that could negatively impact the financial condition and results of operations of either or both businesses. There also can be no assurance that the separation will not adversely affect our business.</w:t>
      </w:r>
    </w:p>
    <w:p>
      <w:pPr>
        <w:spacing w:after="0" w:line="2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no history operating as an independent company, and our historical financial information is not necessarily representative of the results that we would have achieved as a separate, publicly-traded company and may not be a reliable indicator of our future results.</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financial information about us in this quarterly report on Form 10-Q refers to our business as operated by and integrated with Emergent, prior to August 1, 2016. Our historical financial information included in this quarterly report is derived from the consolidated financial statements and accounting records of Emergent. Accordingly, the historical financial information included in this quarterly report does not necessarily reflect the financial condition, results of operations or cash flows that we would have achieved as a separate, publicly-traded company during the periods presented or those that we will achieve in the future. Significant changes may occur in our cost structure, management, financing and business operations as a result of operating as an independent company.</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Emergent may fail to perform under various transaction agreements that were executed as part of the separation or we may fail to have necessary systems and services in place when certain of the transaction agreements expire.</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connection with the separation, we have entered into a separation and distribution agreement and various other agreements with Emergent, including a non-negotiable promissory note, a transition services agreement, a tax matters agreement, an employee matters agreement, a manufacturing services agreement, a Canadian distributor agreement, a trademark license agreement and a product license agreement. Certain of these agreements provide for the performance of services by Emergent for a period of time after the separation. We will rely on Emergent to satisfy its performance obligations under these agreements. If Emergent is unable to satisfy its obligations under these agreements, including its indemnification obligations, we could incur operational difficulties or losses.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do not have in place our own systems and services, or if we do not have agreements with other providers of these services when the transition services or longer-term agreements terminate, we may not be able to operate our business effectively and our results of operations may be adversely affected. We are in the process of creating our own, or engaging third parties to provide, systems and services to replace many of the systems and services Emergent currently provides to us. We may not be successful in effectively or efficiently implementing these systems and services or in transitioning data from Emergent’s systems to ours. These systems and services may also be more expensive or less efficient than the systems and services Emergent is expected to provide during the transition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As we continue to build our information technology infrastructure and transition our data to our own systems, we could incur substantial additional costs and experience temporary business interruptions.</w:t>
      </w:r>
    </w:p>
    <w:p>
      <w:pPr>
        <w:spacing w:after="0" w:line="6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are continuing to install and implement our own information technology infrastructure to support our critical business functions, including accounting and reporting, customer service, inventory control and distribution. We may incur temporary interruptions in business operations if we cannot transition effectively from Emergent’s existing transactional and operational systems, data centers and the transition services that support these functions as we transition these systems. We may not be successful in implementing our new systems and transitioning our data, and we may incur substantially higher costs for implementation than currently anticipated. Our failure to avoid operational interruptions as we transition systems and replace Emergent’s IT services, or our failure to transition systems to replace Emergent’s services successfully, could disrupt our business and have a material adverse effect on our results of operations. In addition, if we are unable to replicate or transition certain systems, our ability to comply with regulatory requirements could be impaired.</w:t>
      </w:r>
    </w:p>
    <w:p>
      <w:pPr>
        <w:spacing w:after="0" w:line="3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publicly-traded company following the distribution.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financial results previously were included within the consolidated results of Emergent, and we believe that our reporting and control systems were appropriate for those of divisions of a public company. However, we were not directly subject to the reporting and other requirements of the Exchange Act. We are now directly subject to substantial reporting and other obligations under the Exchange Act. These reporting and other obligations will place significant demands on our management and administrative and operational resources, including accounting resources. We may not have sufficient time to meet these obligations by the applicable deadlines.</w:t>
      </w:r>
    </w:p>
    <w:p>
      <w:pPr>
        <w:spacing w:after="0" w:line="18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Moreover, to comply with these requirements, we have migrated our systems, including information technology systems, implement additional financial and management controls, reporting systems and procedures and potentially need to hire additional accounting and finance staff. We expect to incur additional annual expenses related to these steps,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connection with our separation from Emergent, Emergent has agreed to indemnify us for certain liabilities and we have agreed to indemnify Emergent for certain liabilities. If we are required to pay under these indemnities to Emergent, our financial results could be negatively impacted. The Emergent indemnity may not be sufficient to hold us harmless from the full amount of liabilities for which Emergent will be allocated responsibility, and Emergent may not be able to satisfy its indemnification obligations in the future.</w:t>
      </w:r>
    </w:p>
    <w:p>
      <w:pPr>
        <w:spacing w:after="0" w:line="7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have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distribution, together with certain related transactions, does not qualify as a tax-free transaction described under Sections 355 and 368(a)(1)(D) of the Code, Aptevo stockholders could be subject to significant tax liabilities, and, in certain circumstances, we could be required to indemnify Emergent for taxes and related expenses resulting from the failure of the transaction to so qualify.</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It is intended that the distribution, together with certain related transactions, will generally be tax-free to Emergent and its stockholders for U.S. federal income tax purposes. Emergent has received a favorable private letter ruling from the IRS regarding certain U.S. federal income tax matters relating to the distribution and certain related transactions. It was a condition to the distribution that (i) the private letter ruling from the IRS continue to be valid and in full force and effect and (ii) Emergent receive an opinion from WilmerHale LLP, in a form and substance satisfactory to Emergent, substantially to the effect that, for U.S. federal income tax purposes, the distribution and certain related transactions, taken together, will qualify as a transaction described under Sections 355(a)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spacing w:after="0" w:line="287" w:lineRule="auto"/>
        <w:rPr>
          <w:sz w:val="20"/>
          <w:szCs w:val="20"/>
          <w:color w:val="auto"/>
        </w:rPr>
      </w:pPr>
      <w:r>
        <w:rPr>
          <w:rFonts w:ascii="Arial" w:cs="Arial" w:eastAsia="Arial" w:hAnsi="Arial"/>
          <w:sz w:val="16"/>
          <w:szCs w:val="16"/>
          <w:color w:val="auto"/>
        </w:rPr>
        <w:t>and 368(a)(1)(D) of the Internal Revenue Code (the Code). The IRS private letter ruling is based upon certain facts and representations submitted by Emergent to the IRS. In addition, the opinion from WilmerHale LLP was based upon and rely on, among other things, the IRS private letter ruling and certain facts and assumptions, as well as certain representations and covenants of Emergent and Aptevo contained in the tax matters agreement and certain representations contained in representation letters provided by Emergent, Aptevo and certain stockholders to WilmerHale LLP, including representations and covenants relating to the past and future conduct of Emergent, Aptevo and such stockholders. If any of these facts, assumptions, representations, or covenants is, or becomes, inaccurate or incomplete, the IRS private letter ruling and/or the opinion of WilmerHale LLP may be invalid and the conclusions reached therein could be jeopardized. In addition, the IRS private letter ruling only addresses certain limited matters relevant to determining whether the distribution, together with certain related transactions, qualifies as a transaction described under Sections 355 and 368(a)(1)(D) of the Code, and the opinion of WilmerHale LLP represents the judgment of such counsel which is not binding on the IRS or any court. Accordingly, notwithstanding the IRS private letter ruling and the opinion of WilmerHale LLP, there can be no assurance that the IRS will not assert that the distribution and/or certain related transactions should be treated as a taxable transaction for U.S. federal income tax purposes or that a court would not sustain such a challenge.</w:t>
      </w:r>
    </w:p>
    <w:p>
      <w:pPr>
        <w:spacing w:after="0" w:line="173"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If the distribution, together with certain related transactions, does not qualify as a tax-free transaction described under Sections 355 and 368(a)(1)(D) of the Code, for U.S. federal income tax purposes, in general, (i) Emergent would recognize taxable gain on the distribution equal to the amount by which the fair market value of the Aptevo common stock distributed to Emergent stockholders exceeds Emergent’s tax basis in its shares of Aptevo common stock and</w:t>
      </w:r>
    </w:p>
    <w:p>
      <w:pPr>
        <w:ind w:firstLine="8"/>
        <w:spacing w:after="0" w:line="261" w:lineRule="auto"/>
        <w:tabs>
          <w:tab w:leader="none" w:pos="2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Emergent stockholder would be treated as receiving a taxable distribution in an amount equal to the fair market value of the Aptevo common stock received by such stockholder.</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Under the tax matters agreement that we entered into with Emergent, we may be required to indemnify Emergent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our stock, assets or business, or a breach of the relevant representations or covenants made by us in the tax matters agreement or the IRS private letter ruling or in the representation letters provided to WilmerHale LLP.</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expect to incur both one-time and ongoing material costs and expenses as a result of our separation from Emergent, which could adversely affect our results of operations.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incurred and expect to incur both one-time and ongoing costs and expenses as a result of our separation from Emergent. These increased costs and expenses may arise from various factors, including financial reporting, costs associated with complying with federal securities laws (including potential future compliance with the Sarbanes-Oxley Act of 2002), tax administration, and legal and human resources related functions, and it is possible that these costs will be material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certain corporate transactions after the separation.</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To preserve the tax-free treatment of the distribution related to the separation, together with certain related transactions, we are restricted under the tax matters agreement that we entered into with Emergent, from taking any action that prevents such transactions from being tax-free for U.S. federal income tax purposes. In particular, for a period of two years following the separation, we are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These restrictions may limit our ability to pursue certain strategic transactions or engage in other transactions that might increase the value of our business, including use of our common stock to make acquisitions and equity capital market transactions. In addition, under the tax matters agreement, we are required to indemnify Emergent against any tax liabilities and related expenses arising from the failure of the distribution, together with certain related transactions, to be tax-free to the extent such failure is attributable to actions, events or transactions relating to our stock, assets or business, including the acquisition of our stock even if we did not participate in or otherwise facilitate the acquisition.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executive officers and/or directors may have actual or potential conflicts of interest because of their previous positions at Emergent.</w:t>
      </w:r>
    </w:p>
    <w:p>
      <w:pPr>
        <w:spacing w:after="0" w:line="14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ownership by our executive officers and/or directors of shares of Emergent common stock, stock options or other equity awards may create, or may create the appearance of, conflicts of interest. Because of their current or former positions with Emergent, certain of our executive officers and/or directors own shares of Emergent common stock, stock options to purchase Emergent common stock or other equity awards. Shares of Emergent common stock, stock options to purchase Emergent common stock or other equity awards may comprise a significant portion of some of these individuals’ total personal financial assets. Even though our executive officers and/or directors who were previously employees of Emergent have ceased to be employees of Emergent, some of our executive officers and/or directors will continue to have a financial interest in Emergent common stock, which may create, or may create the appearance of, conflicts of interest when these individuals are faced with decisions that could have different implications for Emergent than the decisions have for Aptevo.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be certain that an active trading market for our common stock will develop or be sustained and our stock price may fluctuate significantly.</w:t>
      </w:r>
    </w:p>
    <w:p>
      <w:pPr>
        <w:spacing w:after="0" w:line="14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An active trading market for our common stock may not develop or be sustained, nor can we predict the prices at which shares of our common stock may trade in the future.</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73"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public announcement of data from clinical studies or news of any developments related to our product pipeline may cause significant volatility in our stock price. If the development of any of our key pipeline products is delayed or discontinued, our stock price could decline significantly.</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expect that investors may place heightened scrutiny on some of our products in development when making investment decisions in Aptevo compared to historic Emergent. The announcement of data from clinical studies by us or our collaborative partners or news of any developments related to our key pipeline products may cause significant volatility in our stock price. Furthermore, the announcement of any negative or unexpected data or the discontinuation of development of any of our key pipeline products, or any delay in our anticipated timelines for filing for regulatory approval, could cause our stock price to decline significantly. There can be no assurance that data from clinical studies will support a filing for regulatory approval or even if approved, that any of our key pipeline products will become commercially successful.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equity awards that we will be granting to our directors, officers and employees. Our employees have options to purchase shares of our common stock after the distribution as a result of conversion of their Emergent stock options to Aptevo stock options. From time to time, we may issue additional options or other stock-based awards to our employees under our employee benefits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substantial beneficial ownership of our common stock. As of [October 31, 2016], Mr. El-Hibri was the beneficial owner of approximately [15]%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under the tax matters agreement, for a period of two years following the separation, we are restricted from taking certain actions (including restrictions on business combinations and share issuances) that could cause the distribution, together with certain related transactions, to fail to qualify as a tax-free transaction for U.S. federal income tax purposes. We would be required to indemnify Emergent for any taxes and related expenses resulting from the failure of the transactions to so qualify to the extent that the failure is attributable to actions, events or transactions relating our stock, assets or business, and this indemnity obligation might discourage, delay or prevent a change of control that you may consider favorable.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by-laws provide that, unless we consent in writing to the selection of an alternative forum, the Court of Chancery of the State of Delaware shall be the sole and exclusive forum for: (1) any derivative action or proceeding brought on behalf of Aptevo; (2) any action asserting a claim for breach of a fiduciary duty owed by any director, officer or other employee or stockholder of Aptevo to us or our stockholders; (3) any action asserting a claim arising pursuant to any provision of General Corporation Law of the State of Delaware, which we refer to as the DGCL; (4) any action asserting a claim arising pursuant to any provision of our Certificate of Incorporation or by-laws (as they may be amended from time to time); or (5) any action asserting a claim governed by the internal affairs doctrine.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currently do not expect to pay dividends, investors will benefit from an investment in our common stock only if it appreciates in value.</w:t>
      </w:r>
    </w:p>
    <w:p>
      <w:pPr>
        <w:spacing w:after="0" w:line="140"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anticipate that we will retain all our future earnings, if any, to support our operations and our proprietary drug development programs and product candidates and pursue other opportunities. In addition, our credit facility limits our ability to pay dividends. Therefore, we currently do not expect to pay dividends. Any future determination to pay dividends will be at the sole discretion of our Board of Directors and will depend upon our financial condition, results of operations, capital requirements, restrictions contained in future financing instruments and such other factors as our Board of Directors deems relevant. We cannot guarantee that we will pay any dividends in the future or continue to pay any dividend if we were to commence paying dividends. As a result, capital appreciation, if any, of our common stock will be the sole source of gain for our stockholders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15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in connection with the distribution or otherwise, could reduce the market price of our common stock. We are unable to predict whether large amounts of our common stock will be sold in the open market following the distribution. We are also unable to predict whether a sufficient number of buyers would be in the market at that time. The shares issued in the distribution related to the separation are freely tradeable without restriction or further registration under the U.S. Securities Act of 1933, as amended, or the Securities Act, unless the shares are owned by one of our “affiliates,” as that term is defined in Rule 405 under the Securities Act. Moreover, holders of an aggregate of approximately 3 million shares of our common stock immediately following the distribution have the right to require us to register these shares of common stock under the Securities Act under specified circumstances.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48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Jeffrey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10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Certification of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of Principal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140" w:hanging="519"/>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40" w:hanging="519"/>
        <w:spacing w:after="0" w:line="286" w:lineRule="auto"/>
        <w:tabs>
          <w:tab w:leader="none" w:pos="10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65" w:lineRule="exact"/>
        <w:rPr>
          <w:rFonts w:ascii="Arial" w:cs="Arial" w:eastAsia="Arial" w:hAnsi="Arial"/>
          <w:sz w:val="17"/>
          <w:szCs w:val="17"/>
          <w:color w:val="auto"/>
        </w:rPr>
      </w:pPr>
    </w:p>
    <w:p>
      <w:pPr>
        <w:ind w:left="520" w:right="28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81" w:lineRule="exact"/>
        <w:rPr>
          <w:rFonts w:ascii="Arial" w:cs="Arial" w:eastAsia="Arial" w:hAnsi="Arial"/>
          <w:sz w:val="18"/>
          <w:szCs w:val="18"/>
          <w:color w:val="auto"/>
        </w:rPr>
      </w:pPr>
    </w:p>
    <w:p>
      <w:pPr>
        <w:ind w:left="1040" w:right="80" w:hanging="519"/>
        <w:spacing w:after="0" w:line="342" w:lineRule="auto"/>
        <w:tabs>
          <w:tab w:leader="none" w:pos="1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380" w:hanging="519"/>
        <w:spacing w:after="0" w:line="277"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Quarterly Report of Aptevo Inc. on Form 10-Q for the period ending September 30, 2016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Quarterly Report of Aptevo Inc. on Form 10-Q for the period ending September 30, 2016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November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2019-12-29T09:42:26Z</dcterms:created>
  <dcterms:modified xsi:type="dcterms:W3CDTF">2019-12-29T09:42:26Z</dcterms:modified>
</cp:coreProperties>
</file>