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15"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3832225</wp:posOffset>
            </wp:positionH>
            <wp:positionV relativeFrom="paragraph">
              <wp:posOffset>-7620</wp:posOffset>
            </wp:positionV>
            <wp:extent cx="428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p>
      <w:pPr>
        <w:spacing w:after="0" w:line="232"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Delaware</w:t>
      </w:r>
    </w:p>
    <w:p>
      <w:pPr>
        <w:spacing w:after="0" w:line="32"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81-1567056</w:t>
      </w:r>
    </w:p>
    <w:p>
      <w:pPr>
        <w:spacing w:after="0" w:line="45"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82" w:lineRule="exact"/>
        <w:rPr>
          <w:sz w:val="24"/>
          <w:szCs w:val="24"/>
          <w:color w:val="auto"/>
        </w:rPr>
      </w:pPr>
    </w:p>
    <w:p>
      <w:pPr>
        <w:sectPr>
          <w:pgSz w:w="11900" w:h="16838" w:orient="portrait"/>
          <w:cols w:equalWidth="0" w:num="2">
            <w:col w:w="7140" w:space="720"/>
            <w:col w:w="3380"/>
          </w:cols>
          <w:pgMar w:left="320" w:top="503" w:right="339" w:bottom="1440" w:gutter="0" w:footer="0" w:header="0"/>
          <w:type w:val="continuous"/>
        </w:sectPr>
      </w:pPr>
    </w:p>
    <w:p>
      <w:pPr>
        <w:ind w:left="1780"/>
        <w:spacing w:after="0"/>
        <w:rPr>
          <w:sz w:val="20"/>
          <w:szCs w:val="20"/>
          <w:color w:val="auto"/>
        </w:rPr>
      </w:pPr>
      <w:r>
        <w:rPr>
          <w:rFonts w:ascii="Arial" w:cs="Arial" w:eastAsia="Arial" w:hAnsi="Arial"/>
          <w:sz w:val="18"/>
          <w:szCs w:val="18"/>
          <w:b w:val="1"/>
          <w:bCs w:val="1"/>
          <w:color w:val="auto"/>
        </w:rPr>
        <w:t>2401 4</w:t>
      </w:r>
      <w:r>
        <w:rPr>
          <w:rFonts w:ascii="Arial" w:cs="Arial" w:eastAsia="Arial" w:hAnsi="Arial"/>
          <w:sz w:val="24"/>
          <w:szCs w:val="24"/>
          <w:b w:val="1"/>
          <w:bCs w:val="1"/>
          <w:color w:val="auto"/>
          <w:vertAlign w:val="superscript"/>
        </w:rPr>
        <w:t>th</w:t>
      </w:r>
      <w:r>
        <w:rPr>
          <w:rFonts w:ascii="Arial" w:cs="Arial" w:eastAsia="Arial" w:hAnsi="Arial"/>
          <w:sz w:val="18"/>
          <w:szCs w:val="18"/>
          <w:b w:val="1"/>
          <w:bCs w:val="1"/>
          <w:color w:val="auto"/>
        </w:rPr>
        <w:t xml:space="preserve"> Avenue, Suite 1050</w:t>
      </w:r>
    </w:p>
    <w:p>
      <w:pPr>
        <w:ind w:left="2060"/>
        <w:spacing w:after="0"/>
        <w:tabs>
          <w:tab w:leader="none" w:pos="8180" w:val="left"/>
        </w:tabs>
        <w:rPr>
          <w:sz w:val="20"/>
          <w:szCs w:val="20"/>
          <w:color w:val="auto"/>
        </w:rPr>
      </w:pPr>
      <w:r>
        <w:rPr>
          <w:rFonts w:ascii="Arial" w:cs="Arial" w:eastAsia="Arial" w:hAnsi="Arial"/>
          <w:sz w:val="18"/>
          <w:szCs w:val="18"/>
          <w:b w:val="1"/>
          <w:bCs w:val="1"/>
          <w:color w:val="auto"/>
        </w:rPr>
        <w:t>Seattle, Washington</w:t>
      </w:r>
      <w:r>
        <w:rPr>
          <w:sz w:val="20"/>
          <w:szCs w:val="20"/>
          <w:color w:val="auto"/>
        </w:rPr>
        <w:tab/>
      </w:r>
      <w:r>
        <w:rPr>
          <w:rFonts w:ascii="Arial" w:cs="Arial" w:eastAsia="Arial" w:hAnsi="Arial"/>
          <w:sz w:val="16"/>
          <w:szCs w:val="16"/>
          <w:b w:val="1"/>
          <w:bCs w:val="1"/>
          <w:color w:val="auto"/>
        </w:rPr>
        <w:t>98121</w:t>
      </w:r>
    </w:p>
    <w:p>
      <w:pPr>
        <w:spacing w:after="0" w:line="12" w:lineRule="exact"/>
        <w:rPr>
          <w:sz w:val="24"/>
          <w:szCs w:val="24"/>
          <w:color w:val="auto"/>
        </w:rPr>
      </w:pPr>
    </w:p>
    <w:p>
      <w:pPr>
        <w:ind w:left="1620"/>
        <w:spacing w:after="0"/>
        <w:tabs>
          <w:tab w:leader="none" w:pos="80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4"/>
          <w:szCs w:val="24"/>
          <w:color w:val="auto"/>
        </w:rPr>
      </w:pPr>
    </w:p>
    <w:p>
      <w:pPr>
        <w:ind w:left="1280"/>
        <w:spacing w:after="0"/>
        <w:tabs>
          <w:tab w:leader="none" w:pos="5040" w:val="left"/>
          <w:tab w:leader="none" w:pos="788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Symbols(s)</w:t>
      </w:r>
      <w:r>
        <w:rPr>
          <w:sz w:val="20"/>
          <w:szCs w:val="20"/>
          <w:color w:val="auto"/>
        </w:rPr>
        <w:tab/>
      </w:r>
      <w:r>
        <w:rPr>
          <w:rFonts w:ascii="Arial" w:cs="Arial" w:eastAsia="Arial" w:hAnsi="Arial"/>
          <w:sz w:val="16"/>
          <w:szCs w:val="16"/>
          <w:b w:val="1"/>
          <w:bCs w:val="1"/>
          <w:color w:val="auto"/>
        </w:rPr>
        <w:t>Name of Exchange on Which Registered</w:t>
      </w:r>
    </w:p>
    <w:p>
      <w:pPr>
        <w:spacing w:after="0" w:line="36" w:lineRule="exact"/>
        <w:rPr>
          <w:sz w:val="24"/>
          <w:szCs w:val="24"/>
          <w:color w:val="auto"/>
        </w:rPr>
      </w:pPr>
    </w:p>
    <w:p>
      <w:pPr>
        <w:ind w:left="340"/>
        <w:spacing w:after="0"/>
        <w:tabs>
          <w:tab w:leader="none" w:pos="5540" w:val="left"/>
          <w:tab w:leader="none" w:pos="8200" w:val="left"/>
        </w:tabs>
        <w:rPr>
          <w:sz w:val="20"/>
          <w:szCs w:val="20"/>
          <w:color w:val="auto"/>
        </w:rPr>
      </w:pPr>
      <w:r>
        <w:rPr>
          <w:rFonts w:ascii="Arial" w:cs="Arial" w:eastAsia="Arial" w:hAnsi="Arial"/>
          <w:sz w:val="18"/>
          <w:szCs w:val="18"/>
          <w:b w:val="1"/>
          <w:bCs w:val="1"/>
          <w:color w:val="auto"/>
        </w:rPr>
        <w:t>Common Stock, $0.001 par value per share</w:t>
      </w:r>
      <w:r>
        <w:rPr>
          <w:sz w:val="20"/>
          <w:szCs w:val="20"/>
          <w:color w:val="auto"/>
        </w:rPr>
        <w:tab/>
      </w:r>
      <w:r>
        <w:rPr>
          <w:rFonts w:ascii="Arial" w:cs="Arial" w:eastAsia="Arial" w:hAnsi="Arial"/>
          <w:sz w:val="18"/>
          <w:szCs w:val="18"/>
          <w:b w:val="1"/>
          <w:bCs w:val="1"/>
          <w:color w:val="auto"/>
        </w:rPr>
        <w:t>APVO</w:t>
      </w:r>
      <w:r>
        <w:rPr>
          <w:sz w:val="20"/>
          <w:szCs w:val="20"/>
          <w:color w:val="auto"/>
        </w:rPr>
        <w:tab/>
      </w:r>
      <w:r>
        <w:rPr>
          <w:rFonts w:ascii="Arial" w:cs="Arial" w:eastAsia="Arial" w:hAnsi="Arial"/>
          <w:sz w:val="16"/>
          <w:szCs w:val="16"/>
          <w:b w:val="1"/>
          <w:bCs w:val="1"/>
          <w:color w:val="auto"/>
        </w:rPr>
        <w:t>The Nasdaq Stock Market LLC</w:t>
      </w:r>
    </w:p>
    <w:p>
      <w:pPr>
        <w:spacing w:after="0" w:line="27" w:lineRule="exact"/>
        <w:rPr>
          <w:sz w:val="24"/>
          <w:szCs w:val="24"/>
          <w:color w:val="auto"/>
        </w:rPr>
      </w:pPr>
    </w:p>
    <w:p>
      <w:pPr>
        <w:ind w:left="8300"/>
        <w:spacing w:after="0"/>
        <w:rPr>
          <w:sz w:val="20"/>
          <w:szCs w:val="20"/>
          <w:color w:val="auto"/>
        </w:rPr>
      </w:pPr>
      <w:r>
        <w:rPr>
          <w:rFonts w:ascii="Arial" w:cs="Arial" w:eastAsia="Arial" w:hAnsi="Arial"/>
          <w:sz w:val="18"/>
          <w:szCs w:val="18"/>
          <w:b w:val="1"/>
          <w:bCs w:val="1"/>
          <w:color w:val="auto"/>
        </w:rPr>
        <w:t>(The Nasdaq Capital Market)</w:t>
      </w:r>
    </w:p>
    <w:p>
      <w:pPr>
        <w:spacing w:after="0" w:line="76" w:lineRule="exact"/>
        <w:rPr>
          <w:sz w:val="24"/>
          <w:szCs w:val="24"/>
          <w:color w:val="auto"/>
        </w:rPr>
      </w:pPr>
    </w:p>
    <w:p>
      <w:pPr>
        <w:jc w:val="both"/>
        <w:ind w:firstLine="509"/>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jc w:val="both"/>
        <w:ind w:firstLine="509"/>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jc w:val="both"/>
        <w:ind w:firstLine="50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30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2" w:lineRule="exact"/>
        <w:rPr>
          <w:sz w:val="24"/>
          <w:szCs w:val="24"/>
          <w:color w:val="auto"/>
        </w:rPr>
      </w:pPr>
    </w:p>
    <w:p>
      <w:pPr>
        <w:ind w:firstLine="509"/>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20" w:right="1220"/>
        <w:spacing w:after="0" w:line="27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10, 2023, the number of shares of the registrant’s common stock outstanding was 11,523,716.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3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183"/>
        </w:trPr>
        <w:tc>
          <w:tcPr>
            <w:tcW w:w="12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2380" w:type="dxa"/>
            <w:vAlign w:val="bottom"/>
            <w:tcBorders>
              <w:bottom w:val="single" w:sz="8" w:color="0000FF"/>
            </w:tcBorders>
            <w:gridSpan w:val="9"/>
          </w:tcPr>
          <w:p>
            <w:pPr>
              <w:spacing w:after="0" w:line="182" w:lineRule="exact"/>
              <w:rPr>
                <w:sz w:val="20"/>
                <w:szCs w:val="20"/>
                <w:color w:val="auto"/>
              </w:rPr>
            </w:pPr>
            <w:r>
              <w:rPr>
                <w:rFonts w:ascii="Arial" w:cs="Arial" w:eastAsia="Arial" w:hAnsi="Arial"/>
                <w:sz w:val="18"/>
                <w:szCs w:val="18"/>
                <w:b w:val="1"/>
                <w:bCs w:val="1"/>
                <w:color w:val="0000FF"/>
              </w:rPr>
              <w:t>FINANCIAL INFORMATION</w:t>
            </w:r>
          </w:p>
        </w:tc>
        <w:tc>
          <w:tcPr>
            <w:tcW w:w="7100" w:type="dxa"/>
            <w:vAlign w:val="bottom"/>
            <w:gridSpan w:val="9"/>
          </w:tcPr>
          <w:p>
            <w:pPr>
              <w:spacing w:after="0"/>
              <w:rPr>
                <w:sz w:val="15"/>
                <w:szCs w:val="15"/>
                <w:color w:val="auto"/>
              </w:rPr>
            </w:pPr>
          </w:p>
        </w:tc>
        <w:tc>
          <w:tcPr>
            <w:tcW w:w="540" w:type="dxa"/>
            <w:vAlign w:val="bottom"/>
          </w:tcPr>
          <w:p>
            <w:pPr>
              <w:spacing w:after="0"/>
              <w:rPr>
                <w:sz w:val="15"/>
                <w:szCs w:val="15"/>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18"/>
          </w:tcPr>
          <w:p>
            <w:pPr>
              <w:spacing w:after="0"/>
              <w:rPr>
                <w:sz w:val="20"/>
                <w:szCs w:val="20"/>
                <w:color w:val="auto"/>
              </w:rPr>
            </w:pPr>
            <w:r>
              <w:rPr>
                <w:rFonts w:ascii="Arial" w:cs="Arial" w:eastAsia="Arial" w:hAnsi="Arial"/>
                <w:sz w:val="18"/>
                <w:szCs w:val="18"/>
                <w:color w:val="0000FF"/>
              </w:rPr>
              <w:t>Financial Statements (Unaudited)</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8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8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8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8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Changes in Stockholders’ Equity</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80" w:type="dxa"/>
            <w:vAlign w:val="bottom"/>
            <w:gridSpan w:val="17"/>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100" w:type="dxa"/>
            <w:vAlign w:val="bottom"/>
            <w:gridSpan w:val="3"/>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7"/>
              </w:rPr>
              <w:t>Controls and Procedures</w:t>
            </w:r>
          </w:p>
        </w:tc>
        <w:tc>
          <w:tcPr>
            <w:tcW w:w="7720" w:type="dxa"/>
            <w:vAlign w:val="bottom"/>
            <w:gridSpan w:val="12"/>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6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rPr>
              <w:t>OTHER INFORMATION</w:t>
            </w:r>
          </w:p>
        </w:tc>
        <w:tc>
          <w:tcPr>
            <w:tcW w:w="7460" w:type="dxa"/>
            <w:vAlign w:val="bottom"/>
            <w:gridSpan w:val="11"/>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gridSpan w:val="2"/>
          </w:tcPr>
          <w:p>
            <w:pPr>
              <w:spacing w:after="0"/>
              <w:rPr>
                <w:sz w:val="19"/>
                <w:szCs w:val="19"/>
                <w:color w:val="auto"/>
              </w:rPr>
            </w:pPr>
          </w:p>
        </w:tc>
        <w:tc>
          <w:tcPr>
            <w:tcW w:w="8160" w:type="dxa"/>
            <w:vAlign w:val="bottom"/>
            <w:gridSpan w:val="13"/>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140" w:type="dxa"/>
            <w:vAlign w:val="bottom"/>
            <w:gridSpan w:val="4"/>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Defaults Upon Senior Securities</w:t>
            </w:r>
          </w:p>
        </w:tc>
        <w:tc>
          <w:tcPr>
            <w:tcW w:w="7160" w:type="dxa"/>
            <w:vAlign w:val="bottom"/>
            <w:gridSpan w:val="10"/>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Mine Safety Disclosures</w:t>
            </w:r>
          </w:p>
        </w:tc>
        <w:tc>
          <w:tcPr>
            <w:tcW w:w="7720" w:type="dxa"/>
            <w:vAlign w:val="bottom"/>
            <w:gridSpan w:val="12"/>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8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8180" w:type="dxa"/>
            <w:vAlign w:val="bottom"/>
            <w:gridSpan w:val="14"/>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Pr>
          <w:p>
            <w:pPr>
              <w:spacing w:after="0"/>
              <w:rPr>
                <w:sz w:val="16"/>
                <w:szCs w:val="16"/>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2022</w:t>
            </w:r>
          </w:p>
        </w:tc>
      </w:tr>
      <w:tr>
        <w:trPr>
          <w:trHeight w:val="237"/>
        </w:trPr>
        <w:tc>
          <w:tcPr>
            <w:tcW w:w="7640" w:type="dxa"/>
            <w:vAlign w:val="bottom"/>
            <w:shd w:val="clear" w:color="auto" w:fill="CFF0FC"/>
          </w:tcPr>
          <w:p>
            <w:pPr>
              <w:ind w:left="338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21,006</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22,635</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Royalty and milestone receivable</w:t>
            </w:r>
          </w:p>
        </w:tc>
        <w:tc>
          <w:tcPr>
            <w:tcW w:w="22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20"/>
                <w:szCs w:val="20"/>
                <w:color w:val="auto"/>
              </w:rPr>
            </w:pPr>
          </w:p>
        </w:tc>
      </w:tr>
      <w:tr>
        <w:trPr>
          <w:trHeight w:val="243"/>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22,680</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27,450</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1,462</w:t>
            </w:r>
          </w:p>
        </w:tc>
        <w:tc>
          <w:tcPr>
            <w:tcW w:w="14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5,098</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28,912</w:t>
            </w:r>
          </w:p>
        </w:tc>
        <w:tc>
          <w:tcPr>
            <w:tcW w:w="3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34,215</w:t>
            </w:r>
          </w:p>
        </w:tc>
        <w:tc>
          <w:tcPr>
            <w:tcW w:w="14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40" w:type="dxa"/>
            <w:vAlign w:val="bottom"/>
            <w:shd w:val="clear" w:color="auto" w:fill="CFF0FC"/>
          </w:tcPr>
          <w:p>
            <w:pPr>
              <w:ind w:left="17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 and other accrued liabilities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4,873</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2,105</w:t>
            </w: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40" w:type="dxa"/>
            <w:vAlign w:val="bottom"/>
          </w:tcPr>
          <w:p>
            <w:pPr>
              <w:spacing w:after="0"/>
              <w:rPr>
                <w:sz w:val="20"/>
                <w:szCs w:val="20"/>
                <w:color w:val="auto"/>
              </w:rPr>
            </w:pPr>
          </w:p>
        </w:tc>
      </w:tr>
      <w:tr>
        <w:trPr>
          <w:trHeight w:val="243"/>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8,706</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1,456</w:t>
            </w:r>
          </w:p>
        </w:tc>
        <w:tc>
          <w:tcPr>
            <w:tcW w:w="14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liability</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5,748</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16,241</w:t>
            </w:r>
          </w:p>
        </w:tc>
        <w:tc>
          <w:tcPr>
            <w:tcW w:w="140" w:type="dxa"/>
            <w:vAlign w:val="bottom"/>
          </w:tcPr>
          <w:p>
            <w:pPr>
              <w:spacing w:after="0"/>
              <w:rPr>
                <w:sz w:val="20"/>
                <w:szCs w:val="20"/>
                <w:color w:val="auto"/>
              </w:rPr>
            </w:pPr>
          </w:p>
        </w:tc>
      </w:tr>
      <w:tr>
        <w:trPr>
          <w:trHeight w:val="243"/>
        </w:trPr>
        <w:tc>
          <w:tcPr>
            <w:tcW w:w="7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1"/>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issued or outstanding</w:t>
            </w:r>
          </w:p>
        </w:tc>
        <w:tc>
          <w:tcPr>
            <w:tcW w:w="2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7640" w:type="dxa"/>
            <w:vAlign w:val="bottom"/>
          </w:tcPr>
          <w:p>
            <w:pPr>
              <w:ind w:left="20"/>
              <w:spacing w:after="0"/>
              <w:rPr>
                <w:sz w:val="20"/>
                <w:szCs w:val="20"/>
                <w:color w:val="auto"/>
              </w:rPr>
            </w:pPr>
            <w:r>
              <w:rPr>
                <w:rFonts w:ascii="Arial" w:cs="Arial" w:eastAsia="Arial" w:hAnsi="Arial"/>
                <w:sz w:val="18"/>
                <w:szCs w:val="18"/>
                <w:color w:val="auto"/>
              </w:rPr>
              <w:t>Common stock: $0.001 par value; 500,000,000 shares authorized; 7,543,440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40" w:type="dxa"/>
            <w:vAlign w:val="bottom"/>
          </w:tcPr>
          <w:p>
            <w:pPr>
              <w:ind w:left="160"/>
              <w:spacing w:after="0"/>
              <w:rPr>
                <w:sz w:val="20"/>
                <w:szCs w:val="20"/>
                <w:color w:val="auto"/>
              </w:rPr>
            </w:pPr>
            <w:r>
              <w:rPr>
                <w:rFonts w:ascii="Arial" w:cs="Arial" w:eastAsia="Arial" w:hAnsi="Arial"/>
                <w:sz w:val="18"/>
                <w:szCs w:val="18"/>
                <w:color w:val="auto"/>
              </w:rPr>
              <w:t>6,466,294 shares issued and outstanding at June 30, 2023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40" w:type="dxa"/>
            <w:vAlign w:val="bottom"/>
          </w:tcPr>
          <w:p>
            <w:pPr>
              <w:ind w:left="160"/>
              <w:spacing w:after="0"/>
              <w:rPr>
                <w:sz w:val="20"/>
                <w:szCs w:val="20"/>
                <w:color w:val="auto"/>
              </w:rPr>
            </w:pPr>
            <w:r>
              <w:rPr>
                <w:rFonts w:ascii="Arial" w:cs="Arial" w:eastAsia="Arial" w:hAnsi="Arial"/>
                <w:sz w:val="18"/>
                <w:szCs w:val="18"/>
                <w:color w:val="auto"/>
              </w:rPr>
              <w:t>December 31, 2022, 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p>
        </w:tc>
      </w:tr>
      <w:tr>
        <w:trPr>
          <w:trHeight w:val="25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227,415</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223,962</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(211,211 )</w:t>
            </w:r>
          </w:p>
        </w:tc>
        <w:tc>
          <w:tcPr>
            <w:tcW w:w="16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(206,036 )</w:t>
            </w:r>
          </w:p>
        </w:tc>
      </w:tr>
      <w:tr>
        <w:trPr>
          <w:trHeight w:val="23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16,253</w:t>
            </w:r>
          </w:p>
        </w:tc>
        <w:tc>
          <w:tcPr>
            <w:tcW w:w="3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17,974</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6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28,912</w:t>
            </w:r>
          </w:p>
        </w:tc>
        <w:tc>
          <w:tcPr>
            <w:tcW w:w="3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34,215</w:t>
            </w:r>
          </w:p>
        </w:tc>
        <w:tc>
          <w:tcPr>
            <w:tcW w:w="14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-3445510</wp:posOffset>
            </wp:positionV>
            <wp:extent cx="8572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-3445510</wp:posOffset>
            </wp:positionV>
            <wp:extent cx="8572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-1859915</wp:posOffset>
            </wp:positionV>
            <wp:extent cx="8572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-1859915</wp:posOffset>
            </wp:positionV>
            <wp:extent cx="857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857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00" w:type="dxa"/>
            <w:vAlign w:val="bottom"/>
            <w:gridSpan w:val="7"/>
          </w:tcPr>
          <w:p>
            <w:pPr>
              <w:ind w:left="180"/>
              <w:spacing w:after="0"/>
              <w:rPr>
                <w:sz w:val="20"/>
                <w:szCs w:val="20"/>
                <w:color w:val="auto"/>
              </w:rPr>
            </w:pPr>
            <w:r>
              <w:rPr>
                <w:rFonts w:ascii="Arial" w:cs="Arial" w:eastAsia="Arial" w:hAnsi="Arial"/>
                <w:sz w:val="14"/>
                <w:szCs w:val="14"/>
                <w:b w:val="1"/>
                <w:bCs w:val="1"/>
                <w:color w:val="auto"/>
              </w:rPr>
              <w:t>For the Three Months Ended June 30,</w:t>
            </w:r>
          </w:p>
        </w:tc>
        <w:tc>
          <w:tcPr>
            <w:tcW w:w="320" w:type="dxa"/>
            <w:vAlign w:val="bottom"/>
          </w:tcPr>
          <w:p>
            <w:pPr>
              <w:spacing w:after="0"/>
              <w:rPr>
                <w:sz w:val="16"/>
                <w:szCs w:val="16"/>
                <w:color w:val="auto"/>
              </w:rPr>
            </w:pPr>
          </w:p>
        </w:tc>
        <w:tc>
          <w:tcPr>
            <w:tcW w:w="3100" w:type="dxa"/>
            <w:vAlign w:val="bottom"/>
            <w:gridSpan w:val="6"/>
          </w:tcPr>
          <w:p>
            <w:pPr>
              <w:jc w:val="right"/>
              <w:ind w:right="61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Royalty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(5,462 )</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(3,865 )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(9,630 )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(8,731 )</w:t>
            </w:r>
          </w:p>
        </w:tc>
        <w:tc>
          <w:tcPr>
            <w:tcW w:w="0" w:type="dxa"/>
            <w:vAlign w:val="bottom"/>
          </w:tcPr>
          <w:p>
            <w:pPr>
              <w:spacing w:after="0"/>
              <w:rPr>
                <w:sz w:val="1"/>
                <w:szCs w:val="1"/>
                <w:color w:val="auto"/>
              </w:rPr>
            </w:pPr>
          </w:p>
        </w:tc>
      </w:tr>
      <w:tr>
        <w:trPr>
          <w:trHeight w:val="237"/>
        </w:trPr>
        <w:tc>
          <w:tcPr>
            <w:tcW w:w="42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(2,716 )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(3,697 )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(6,304 )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(7,556 )</w:t>
            </w:r>
          </w:p>
        </w:tc>
        <w:tc>
          <w:tcPr>
            <w:tcW w:w="0" w:type="dxa"/>
            <w:vAlign w:val="bottom"/>
          </w:tcPr>
          <w:p>
            <w:pPr>
              <w:spacing w:after="0"/>
              <w:rPr>
                <w:sz w:val="1"/>
                <w:szCs w:val="1"/>
                <w:color w:val="auto"/>
              </w:rPr>
            </w:pPr>
          </w:p>
        </w:tc>
      </w:tr>
      <w:tr>
        <w:trPr>
          <w:trHeight w:val="236"/>
        </w:trPr>
        <w:tc>
          <w:tcPr>
            <w:tcW w:w="4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42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Other income (expense) from continuing operations,</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(1,759 )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(4,023 )</w:t>
            </w:r>
          </w:p>
        </w:tc>
        <w:tc>
          <w:tcPr>
            <w:tcW w:w="0" w:type="dxa"/>
            <w:vAlign w:val="bottom"/>
          </w:tcPr>
          <w:p>
            <w:pPr>
              <w:spacing w:after="0"/>
              <w:rPr>
                <w:sz w:val="1"/>
                <w:szCs w:val="1"/>
                <w:color w:val="auto"/>
              </w:rPr>
            </w:pPr>
          </w:p>
        </w:tc>
      </w:tr>
      <w:tr>
        <w:trPr>
          <w:trHeight w:val="237"/>
        </w:trPr>
        <w:tc>
          <w:tcPr>
            <w:tcW w:w="4220" w:type="dxa"/>
            <w:vAlign w:val="bottom"/>
          </w:tcPr>
          <w:p>
            <w:pPr>
              <w:ind w:left="200"/>
              <w:spacing w:after="0"/>
              <w:rPr>
                <w:sz w:val="20"/>
                <w:szCs w:val="20"/>
                <w:color w:val="auto"/>
              </w:rPr>
            </w:pPr>
            <w:r>
              <w:rPr>
                <w:rFonts w:ascii="Arial" w:cs="Arial" w:eastAsia="Arial" w:hAnsi="Arial"/>
                <w:sz w:val="18"/>
                <w:szCs w:val="18"/>
                <w:color w:val="auto"/>
              </w:rPr>
              <w:t>Gain related to sale of non-financial asset</w:t>
            </w:r>
          </w:p>
        </w:tc>
        <w:tc>
          <w:tcPr>
            <w:tcW w:w="300" w:type="dxa"/>
            <w:vAlign w:val="bottom"/>
          </w:tcPr>
          <w:p>
            <w:pPr>
              <w:spacing w:after="0"/>
              <w:rPr>
                <w:sz w:val="20"/>
                <w:szCs w:val="20"/>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9,650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2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Gain on extinguishment of liability related to sale of</w:t>
            </w:r>
          </w:p>
        </w:tc>
        <w:tc>
          <w:tcPr>
            <w:tcW w:w="300" w:type="dxa"/>
            <w:vAlign w:val="bottom"/>
            <w:shd w:val="clear" w:color="auto" w:fill="CFF0FC"/>
          </w:tcPr>
          <w:p>
            <w:pPr>
              <w:spacing w:after="0"/>
              <w:rPr>
                <w:sz w:val="19"/>
                <w:szCs w:val="19"/>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37,182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37,182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royalties</w:t>
            </w: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gridSpan w:val="2"/>
            <w:vMerge w:val="continue"/>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gridSpan w:val="2"/>
            <w:vMerge w:val="continue"/>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Net (loss) income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(7,948 )</w:t>
            </w:r>
          </w:p>
        </w:tc>
        <w:tc>
          <w:tcPr>
            <w:tcW w:w="1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27,861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(6,121 )</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19,986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20" w:type="dxa"/>
            <w:vAlign w:val="bottom"/>
          </w:tcPr>
          <w:p>
            <w:pPr>
              <w:ind w:left="20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28,010</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20,313</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and diluted net (loss) income per share from</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2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1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(0.85 )</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20" w:type="dxa"/>
            <w:vAlign w:val="bottom"/>
          </w:tcPr>
          <w:p>
            <w:pPr>
              <w:ind w:left="20"/>
              <w:spacing w:after="0"/>
              <w:rPr>
                <w:sz w:val="20"/>
                <w:szCs w:val="20"/>
                <w:color w:val="auto"/>
              </w:rPr>
            </w:pPr>
            <w:r>
              <w:rPr>
                <w:rFonts w:ascii="Arial" w:cs="Arial" w:eastAsia="Arial" w:hAnsi="Arial"/>
                <w:sz w:val="18"/>
                <w:szCs w:val="18"/>
                <w:color w:val="auto"/>
              </w:rPr>
              <w:t>Basic and diluted net (loss) income per share:</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(1.23 )</w:t>
            </w:r>
          </w:p>
        </w:tc>
        <w:tc>
          <w:tcPr>
            <w:tcW w:w="1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(0.72 )</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20" w:type="dxa"/>
            <w:vAlign w:val="bottom"/>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(0.72 )</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used in calculation:</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2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6,482,158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5,023,321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7,190,701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4,980,625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6,482,158</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5,023,321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7,190,701</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4,980,970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-3308350</wp:posOffset>
            </wp:positionV>
            <wp:extent cx="8572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-3308350</wp:posOffset>
            </wp:positionV>
            <wp:extent cx="8572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-3308350</wp:posOffset>
            </wp:positionV>
            <wp:extent cx="8572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-3308350</wp:posOffset>
            </wp:positionV>
            <wp:extent cx="8572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-2416810</wp:posOffset>
            </wp:positionV>
            <wp:extent cx="857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-2416810</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-2416810</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-2416810</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-1774190</wp:posOffset>
            </wp:positionV>
            <wp:extent cx="350647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06470" cy="1797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-984885</wp:posOffset>
            </wp:positionV>
            <wp:extent cx="8572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-984885</wp:posOffset>
            </wp:positionV>
            <wp:extent cx="85725"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-984885</wp:posOffset>
            </wp:positionV>
            <wp:extent cx="85725"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-984885</wp:posOffset>
            </wp:positionV>
            <wp:extent cx="85725"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-668020</wp:posOffset>
            </wp:positionV>
            <wp:extent cx="350647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06470" cy="20574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960" w:type="dxa"/>
            <w:vAlign w:val="bottom"/>
          </w:tcPr>
          <w:p>
            <w:pPr>
              <w:jc w:val="right"/>
              <w:ind w:right="757"/>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(5,175 )</w:t>
            </w:r>
          </w:p>
        </w:tc>
        <w:tc>
          <w:tcPr>
            <w:tcW w:w="920" w:type="dxa"/>
            <w:vAlign w:val="bottom"/>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20,313</w:t>
            </w:r>
          </w:p>
        </w:tc>
        <w:tc>
          <w:tcPr>
            <w:tcW w:w="14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1,380</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1,086</w:t>
            </w:r>
          </w:p>
        </w:tc>
        <w:tc>
          <w:tcPr>
            <w:tcW w:w="14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Non-cash interest expense and other</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3,290</w:t>
            </w:r>
          </w:p>
        </w:tc>
        <w:tc>
          <w:tcPr>
            <w:tcW w:w="14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on extinguishment of liability related to sale of royalties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(37,182 )</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Royalty receivable</w:t>
            </w: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14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641</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1,248</w:t>
            </w:r>
          </w:p>
        </w:tc>
        <w:tc>
          <w:tcPr>
            <w:tcW w:w="14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w:t>
            </w: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4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Accounts payable, accrued compensation and other liabilities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(2,245 )</w:t>
            </w: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 operating lease liability</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(331 )</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CFF0FC"/>
          </w:tcPr>
          <w:p>
            <w:pPr>
              <w:spacing w:after="0"/>
              <w:rPr>
                <w:sz w:val="21"/>
                <w:szCs w:val="2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20"/>
                <w:szCs w:val="20"/>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(237 )</w:t>
            </w:r>
          </w:p>
        </w:tc>
        <w:tc>
          <w:tcPr>
            <w:tcW w:w="9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(8,187 )</w:t>
            </w: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Pr>
          <w:p>
            <w:pPr>
              <w:spacing w:after="0"/>
              <w:rPr>
                <w:sz w:val="20"/>
                <w:szCs w:val="20"/>
                <w:color w:val="auto"/>
              </w:rPr>
            </w:pPr>
          </w:p>
        </w:tc>
        <w:tc>
          <w:tcPr>
            <w:tcW w:w="9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3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Payments of long-term debt, including fees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99"/>
              </w:rPr>
              <w:t>(3,467 )</w:t>
            </w:r>
          </w:p>
        </w:tc>
        <w:tc>
          <w:tcPr>
            <w:tcW w:w="9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(11,267 )</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Repayments under liability related to sale of royalties</w:t>
            </w:r>
          </w:p>
        </w:tc>
        <w:tc>
          <w:tcPr>
            <w:tcW w:w="960" w:type="dxa"/>
            <w:vAlign w:val="bottom"/>
          </w:tcPr>
          <w:p>
            <w:pPr>
              <w:spacing w:after="0"/>
              <w:rPr>
                <w:sz w:val="20"/>
                <w:szCs w:val="20"/>
                <w:color w:val="auto"/>
              </w:rPr>
            </w:pPr>
          </w:p>
        </w:tc>
        <w:tc>
          <w:tcPr>
            <w:tcW w:w="9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(6,779 )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Value of equity awards withheld for tax liability</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(8 )</w:t>
            </w:r>
          </w:p>
        </w:tc>
        <w:tc>
          <w:tcPr>
            <w:tcW w:w="9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Proceeds from milestones related to sale of royalties</w:t>
            </w:r>
          </w:p>
        </w:tc>
        <w:tc>
          <w:tcPr>
            <w:tcW w:w="960" w:type="dxa"/>
            <w:vAlign w:val="bottom"/>
          </w:tcPr>
          <w:p>
            <w:pPr>
              <w:spacing w:after="0"/>
              <w:rPr>
                <w:sz w:val="20"/>
                <w:szCs w:val="20"/>
                <w:color w:val="auto"/>
              </w:rPr>
            </w:pPr>
          </w:p>
        </w:tc>
        <w:tc>
          <w:tcPr>
            <w:tcW w:w="9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10,000</w:t>
            </w:r>
          </w:p>
        </w:tc>
        <w:tc>
          <w:tcPr>
            <w:tcW w:w="14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Transaction costs for milestones related to sale of royalties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(500 )</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Proceeds from issuance of common stock</w:t>
            </w: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20"/>
                <w:szCs w:val="20"/>
                <w:color w:val="auto"/>
              </w:rPr>
            </w:pPr>
          </w:p>
        </w:tc>
      </w:tr>
      <w:tr>
        <w:trPr>
          <w:trHeight w:val="23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Decrease in cash and cash equivalents</w:t>
            </w:r>
          </w:p>
        </w:tc>
        <w:tc>
          <w:tcPr>
            <w:tcW w:w="960" w:type="dxa"/>
            <w:vAlign w:val="bottom"/>
          </w:tcPr>
          <w:p>
            <w:pPr>
              <w:spacing w:after="0"/>
              <w:rPr>
                <w:sz w:val="20"/>
                <w:szCs w:val="20"/>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(1,629 )</w:t>
            </w:r>
          </w:p>
        </w:tc>
        <w:tc>
          <w:tcPr>
            <w:tcW w:w="9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8"/>
              </w:rPr>
              <w:t>(16,326 )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22,635</w:t>
            </w:r>
          </w:p>
        </w:tc>
        <w:tc>
          <w:tcPr>
            <w:tcW w:w="3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46,303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21,006</w:t>
            </w:r>
          </w:p>
        </w:tc>
        <w:tc>
          <w:tcPr>
            <w:tcW w:w="340" w:type="dxa"/>
            <w:vAlign w:val="bottom"/>
          </w:tcPr>
          <w:p>
            <w:pPr>
              <w:spacing w:after="0"/>
              <w:rPr>
                <w:sz w:val="20"/>
                <w:szCs w:val="20"/>
                <w:color w:val="auto"/>
              </w:rPr>
            </w:pPr>
          </w:p>
        </w:tc>
        <w:tc>
          <w:tcPr>
            <w:tcW w:w="92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29,977</w:t>
            </w:r>
          </w:p>
        </w:tc>
        <w:tc>
          <w:tcPr>
            <w:tcW w:w="14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7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81"/>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Change in ROU asset and lease liability from lease remeasurement</w:t>
            </w:r>
          </w:p>
        </w:tc>
        <w:tc>
          <w:tcPr>
            <w:tcW w:w="960" w:type="dxa"/>
            <w:vAlign w:val="bottom"/>
            <w:tcBorders>
              <w:bottom w:val="single" w:sz="8" w:color="auto"/>
            </w:tcBorders>
            <w:shd w:val="clear" w:color="auto" w:fill="CFF0FC"/>
          </w:tcPr>
          <w:p>
            <w:pPr>
              <w:jc w:val="right"/>
              <w:ind w:right="75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4,372</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-2887980</wp:posOffset>
            </wp:positionV>
            <wp:extent cx="8572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-2887980</wp:posOffset>
            </wp:positionV>
            <wp:extent cx="8572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-2245360</wp:posOffset>
            </wp:positionV>
            <wp:extent cx="8572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-2245360</wp:posOffset>
            </wp:positionV>
            <wp:extent cx="8572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-993775</wp:posOffset>
            </wp:positionV>
            <wp:extent cx="8572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-993775</wp:posOffset>
            </wp:positionV>
            <wp:extent cx="8572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-676275</wp:posOffset>
            </wp:positionV>
            <wp:extent cx="8572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-676275</wp:posOffset>
            </wp:positionV>
            <wp:extent cx="8572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2580" w:type="dxa"/>
            <w:vAlign w:val="bottom"/>
            <w:gridSpan w:val="3"/>
            <w:vMerge w:val="restart"/>
          </w:tcPr>
          <w:p>
            <w:pPr>
              <w:jc w:val="right"/>
              <w:ind w:right="596"/>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258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5"/>
                <w:szCs w:val="15"/>
                <w:color w:val="auto"/>
              </w:rPr>
            </w:pPr>
          </w:p>
        </w:tc>
        <w:tc>
          <w:tcPr>
            <w:tcW w:w="138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1300" w:type="dxa"/>
            <w:vAlign w:val="bottom"/>
          </w:tcPr>
          <w:p>
            <w:pPr>
              <w:jc w:val="right"/>
              <w:ind w:right="353"/>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980" w:type="dxa"/>
            <w:vAlign w:val="bottom"/>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1380" w:type="dxa"/>
            <w:vAlign w:val="bottom"/>
            <w:gridSpan w:val="2"/>
          </w:tcPr>
          <w:p>
            <w:pPr>
              <w:jc w:val="center"/>
              <w:ind w:right="381"/>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236"/>
        </w:trPr>
        <w:tc>
          <w:tcPr>
            <w:tcW w:w="3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6,466,294</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223,962</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(206,036</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17,974</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20"/>
              <w:spacing w:after="0"/>
              <w:rPr>
                <w:sz w:val="20"/>
                <w:szCs w:val="20"/>
                <w:color w:val="auto"/>
              </w:rPr>
            </w:pPr>
            <w:r>
              <w:rPr>
                <w:rFonts w:ascii="Arial" w:cs="Arial" w:eastAsia="Arial" w:hAnsi="Arial"/>
                <w:sz w:val="18"/>
                <w:szCs w:val="18"/>
                <w:color w:val="auto"/>
              </w:rPr>
              <w:t>Common stock issued upon vesting of</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160"/>
              <w:spacing w:after="0"/>
              <w:rPr>
                <w:sz w:val="20"/>
                <w:szCs w:val="20"/>
                <w:color w:val="auto"/>
              </w:rPr>
            </w:pPr>
            <w:r>
              <w:rPr>
                <w:rFonts w:ascii="Arial" w:cs="Arial" w:eastAsia="Arial" w:hAnsi="Arial"/>
                <w:sz w:val="18"/>
                <w:szCs w:val="18"/>
                <w:color w:val="auto"/>
              </w:rPr>
              <w:t>restricted stock units</w:t>
            </w:r>
          </w:p>
        </w:tc>
        <w:tc>
          <w:tcPr>
            <w:tcW w:w="1300" w:type="dxa"/>
            <w:vAlign w:val="bottom"/>
          </w:tcPr>
          <w:p>
            <w:pPr>
              <w:jc w:val="right"/>
              <w:spacing w:after="0"/>
              <w:rPr>
                <w:sz w:val="20"/>
                <w:szCs w:val="20"/>
                <w:color w:val="auto"/>
              </w:rPr>
            </w:pPr>
            <w:r>
              <w:rPr>
                <w:rFonts w:ascii="Arial" w:cs="Arial" w:eastAsia="Arial" w:hAnsi="Arial"/>
                <w:sz w:val="18"/>
                <w:szCs w:val="18"/>
                <w:color w:val="auto"/>
              </w:rPr>
              <w:t>42,264</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20"/>
                <w:szCs w:val="20"/>
                <w:color w:val="auto"/>
              </w:rPr>
            </w:pPr>
          </w:p>
        </w:tc>
        <w:tc>
          <w:tcPr>
            <w:tcW w:w="13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50"/>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issuances of commons stock</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730,913</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for the period</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300" w:type="dxa"/>
            <w:vAlign w:val="bottom"/>
          </w:tcPr>
          <w:p>
            <w:pPr>
              <w:jc w:val="right"/>
              <w:spacing w:after="0"/>
              <w:rPr>
                <w:sz w:val="20"/>
                <w:szCs w:val="20"/>
                <w:color w:val="auto"/>
              </w:rPr>
            </w:pPr>
            <w:r>
              <w:rPr>
                <w:rFonts w:ascii="Arial" w:cs="Arial" w:eastAsia="Arial" w:hAnsi="Arial"/>
                <w:sz w:val="18"/>
                <w:szCs w:val="18"/>
                <w:color w:val="auto"/>
              </w:rPr>
              <w:t>7,239,471</w:t>
            </w:r>
          </w:p>
        </w:tc>
        <w:tc>
          <w:tcPr>
            <w:tcW w:w="1280" w:type="dxa"/>
            <w:vAlign w:val="bottom"/>
            <w:gridSpan w:val="2"/>
          </w:tcPr>
          <w:p>
            <w:pPr>
              <w:jc w:val="right"/>
              <w:ind w:right="796"/>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226,470</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(203,263 )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23,256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580" w:type="dxa"/>
            <w:vAlign w:val="bottom"/>
            <w:shd w:val="clear" w:color="auto" w:fill="CFF0FC"/>
          </w:tcPr>
          <w:p>
            <w:pPr>
              <w:ind w:left="20"/>
              <w:spacing w:after="0" w:line="200" w:lineRule="exact"/>
              <w:rPr>
                <w:sz w:val="20"/>
                <w:szCs w:val="20"/>
                <w:color w:val="auto"/>
              </w:rPr>
            </w:pPr>
            <w:r>
              <w:rPr>
                <w:rFonts w:ascii="Arial" w:cs="Arial" w:eastAsia="Arial" w:hAnsi="Arial"/>
                <w:sz w:val="18"/>
                <w:szCs w:val="18"/>
                <w:color w:val="auto"/>
              </w:rPr>
              <w:t>Common stock issued upon vesting of</w:t>
            </w: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restricted stock units</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3,969</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(2 )</w:t>
            </w: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Proceeds from issuance of common stock</w:t>
            </w:r>
          </w:p>
        </w:tc>
        <w:tc>
          <w:tcPr>
            <w:tcW w:w="1300" w:type="dxa"/>
            <w:vAlign w:val="bottom"/>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Net loss for the period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(7,948 )</w:t>
            </w:r>
          </w:p>
        </w:tc>
        <w:tc>
          <w:tcPr>
            <w:tcW w:w="1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(7,948 )</w:t>
            </w:r>
          </w:p>
        </w:tc>
        <w:tc>
          <w:tcPr>
            <w:tcW w:w="0" w:type="dxa"/>
            <w:vAlign w:val="bottom"/>
          </w:tcPr>
          <w:p>
            <w:pPr>
              <w:spacing w:after="0"/>
              <w:rPr>
                <w:sz w:val="1"/>
                <w:szCs w:val="1"/>
                <w:color w:val="auto"/>
              </w:rPr>
            </w:pPr>
          </w:p>
        </w:tc>
      </w:tr>
      <w:tr>
        <w:trPr>
          <w:trHeight w:val="279"/>
        </w:trPr>
        <w:tc>
          <w:tcPr>
            <w:tcW w:w="3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7,543,440</w:t>
            </w: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227,415</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(211,211</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16,253</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Pr>
          <w:p>
            <w:pPr>
              <w:spacing w:after="0"/>
              <w:rPr>
                <w:sz w:val="24"/>
                <w:szCs w:val="24"/>
                <w:color w:val="auto"/>
              </w:rPr>
            </w:pPr>
          </w:p>
        </w:tc>
        <w:tc>
          <w:tcPr>
            <w:tcW w:w="2580" w:type="dxa"/>
            <w:vAlign w:val="bottom"/>
            <w:gridSpan w:val="3"/>
            <w:vMerge w:val="restart"/>
          </w:tcPr>
          <w:p>
            <w:pPr>
              <w:jc w:val="right"/>
              <w:ind w:right="596"/>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258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5"/>
                <w:szCs w:val="15"/>
                <w:color w:val="auto"/>
              </w:rPr>
            </w:pPr>
          </w:p>
        </w:tc>
        <w:tc>
          <w:tcPr>
            <w:tcW w:w="138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1300" w:type="dxa"/>
            <w:vAlign w:val="bottom"/>
          </w:tcPr>
          <w:p>
            <w:pPr>
              <w:jc w:val="right"/>
              <w:ind w:right="353"/>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980" w:type="dxa"/>
            <w:vAlign w:val="bottom"/>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1380" w:type="dxa"/>
            <w:vAlign w:val="bottom"/>
            <w:gridSpan w:val="2"/>
          </w:tcPr>
          <w:p>
            <w:pPr>
              <w:jc w:val="center"/>
              <w:ind w:right="381"/>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7"/>
        </w:trPr>
        <w:tc>
          <w:tcPr>
            <w:tcW w:w="3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4,898,143</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215,232</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(214,063</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20"/>
              <w:spacing w:after="0"/>
              <w:rPr>
                <w:sz w:val="20"/>
                <w:szCs w:val="20"/>
                <w:color w:val="auto"/>
              </w:rPr>
            </w:pPr>
            <w:r>
              <w:rPr>
                <w:rFonts w:ascii="Arial" w:cs="Arial" w:eastAsia="Arial" w:hAnsi="Arial"/>
                <w:sz w:val="18"/>
                <w:szCs w:val="18"/>
                <w:color w:val="auto"/>
              </w:rPr>
              <w:t>Common stock issued upon vesting of</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160"/>
              <w:spacing w:after="0"/>
              <w:rPr>
                <w:sz w:val="20"/>
                <w:szCs w:val="20"/>
                <w:color w:val="auto"/>
              </w:rPr>
            </w:pPr>
            <w:r>
              <w:rPr>
                <w:rFonts w:ascii="Arial" w:cs="Arial" w:eastAsia="Arial" w:hAnsi="Arial"/>
                <w:sz w:val="18"/>
                <w:szCs w:val="18"/>
                <w:color w:val="auto"/>
              </w:rPr>
              <w:t>restricted stock units</w:t>
            </w:r>
          </w:p>
        </w:tc>
        <w:tc>
          <w:tcPr>
            <w:tcW w:w="1300" w:type="dxa"/>
            <w:vAlign w:val="bottom"/>
          </w:tcPr>
          <w:p>
            <w:pPr>
              <w:jc w:val="right"/>
              <w:spacing w:after="0"/>
              <w:rPr>
                <w:sz w:val="20"/>
                <w:szCs w:val="20"/>
                <w:color w:val="auto"/>
              </w:rPr>
            </w:pPr>
            <w:r>
              <w:rPr>
                <w:rFonts w:ascii="Arial" w:cs="Arial" w:eastAsia="Arial" w:hAnsi="Arial"/>
                <w:sz w:val="18"/>
                <w:szCs w:val="18"/>
                <w:color w:val="auto"/>
              </w:rPr>
              <w:t>9,822</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0"/>
                <w:szCs w:val="20"/>
                <w:color w:val="auto"/>
              </w:rPr>
            </w:pPr>
          </w:p>
        </w:tc>
        <w:tc>
          <w:tcPr>
            <w:tcW w:w="13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2"/>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 shares issued pursuant to</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Lincoln Park Purchase Agreement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99,276</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for the period</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(7,697 )</w:t>
            </w:r>
          </w:p>
        </w:tc>
        <w:tc>
          <w:tcPr>
            <w:tcW w:w="1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(7,697 )</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300" w:type="dxa"/>
            <w:vAlign w:val="bottom"/>
          </w:tcPr>
          <w:p>
            <w:pPr>
              <w:jc w:val="right"/>
              <w:spacing w:after="0"/>
              <w:rPr>
                <w:sz w:val="20"/>
                <w:szCs w:val="20"/>
                <w:color w:val="auto"/>
              </w:rPr>
            </w:pPr>
            <w:r>
              <w:rPr>
                <w:rFonts w:ascii="Arial" w:cs="Arial" w:eastAsia="Arial" w:hAnsi="Arial"/>
                <w:sz w:val="18"/>
                <w:szCs w:val="18"/>
                <w:color w:val="auto"/>
              </w:rPr>
              <w:t>5,007,241</w:t>
            </w:r>
          </w:p>
        </w:tc>
        <w:tc>
          <w:tcPr>
            <w:tcW w:w="300" w:type="dxa"/>
            <w:vAlign w:val="bottom"/>
          </w:tcPr>
          <w:p>
            <w:pPr>
              <w:spacing w:after="0"/>
              <w:rPr>
                <w:sz w:val="20"/>
                <w:szCs w:val="20"/>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215,829</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(221,760 )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(5,884 )</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580" w:type="dxa"/>
            <w:vAlign w:val="bottom"/>
            <w:shd w:val="clear" w:color="auto" w:fill="CFF0FC"/>
          </w:tcPr>
          <w:p>
            <w:pPr>
              <w:ind w:left="20"/>
              <w:spacing w:after="0" w:line="200" w:lineRule="exact"/>
              <w:rPr>
                <w:sz w:val="20"/>
                <w:szCs w:val="20"/>
                <w:color w:val="auto"/>
              </w:rPr>
            </w:pPr>
            <w:r>
              <w:rPr>
                <w:rFonts w:ascii="Arial" w:cs="Arial" w:eastAsia="Arial" w:hAnsi="Arial"/>
                <w:sz w:val="18"/>
                <w:szCs w:val="18"/>
                <w:color w:val="auto"/>
              </w:rPr>
              <w:t>Common stock issued upon vesting of</w:t>
            </w: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restricted stock units</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4,326</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Proceeds from issuance of common stock</w:t>
            </w:r>
          </w:p>
        </w:tc>
        <w:tc>
          <w:tcPr>
            <w:tcW w:w="1300" w:type="dxa"/>
            <w:vAlign w:val="bottom"/>
          </w:tcPr>
          <w:p>
            <w:pPr>
              <w:jc w:val="right"/>
              <w:spacing w:after="0"/>
              <w:rPr>
                <w:sz w:val="20"/>
                <w:szCs w:val="20"/>
                <w:color w:val="auto"/>
              </w:rPr>
            </w:pPr>
            <w:r>
              <w:rPr>
                <w:rFonts w:ascii="Arial" w:cs="Arial" w:eastAsia="Arial" w:hAnsi="Arial"/>
                <w:sz w:val="18"/>
                <w:szCs w:val="18"/>
                <w:color w:val="auto"/>
              </w:rPr>
              <w:t>78,285</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Net income for the period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28,010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5,089,852</w:t>
            </w: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216,750</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(193,750</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23,047</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-4585970</wp:posOffset>
            </wp:positionV>
            <wp:extent cx="85725" cy="300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-4585970</wp:posOffset>
            </wp:positionV>
            <wp:extent cx="85725" cy="300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-4585970</wp:posOffset>
            </wp:positionV>
            <wp:extent cx="77470" cy="300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-4585970</wp:posOffset>
            </wp:positionV>
            <wp:extent cx="85725" cy="300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-4585970</wp:posOffset>
            </wp:positionV>
            <wp:extent cx="85725"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-3822700</wp:posOffset>
            </wp:positionV>
            <wp:extent cx="85725"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-3822700</wp:posOffset>
            </wp:positionV>
            <wp:extent cx="8572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-3822700</wp:posOffset>
            </wp:positionV>
            <wp:extent cx="7747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-3822700</wp:posOffset>
            </wp:positionV>
            <wp:extent cx="8572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-3822700</wp:posOffset>
            </wp:positionV>
            <wp:extent cx="8572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-2716530</wp:posOffset>
            </wp:positionV>
            <wp:extent cx="4037965" cy="531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37965" cy="53149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-2030730</wp:posOffset>
            </wp:positionV>
            <wp:extent cx="85725" cy="300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-2030730</wp:posOffset>
            </wp:positionV>
            <wp:extent cx="85725"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-2030730</wp:posOffset>
            </wp:positionV>
            <wp:extent cx="77470"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-2030730</wp:posOffset>
            </wp:positionV>
            <wp:extent cx="85725" cy="300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-2030730</wp:posOffset>
            </wp:positionV>
            <wp:extent cx="85725" cy="300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-1130935</wp:posOffset>
            </wp:positionV>
            <wp:extent cx="8572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-1130935</wp:posOffset>
            </wp:positionV>
            <wp:extent cx="85725"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-1130935</wp:posOffset>
            </wp:positionV>
            <wp:extent cx="7747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-1130935</wp:posOffset>
            </wp:positionV>
            <wp:extent cx="85725"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-1130935</wp:posOffset>
            </wp:positionV>
            <wp:extent cx="85725"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-24765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-7620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Organization and Liquidity</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Aptevo Therapeutics Inc. (Aptevo, we, us, or the Company) is a clinical-stage, research and development biotechnology company focused on developing novel immuno-oncology candidates for the treatment of different forms of cancer. We have developed two versatile and enabling platform technologies for rational design of precision immune modulatory drugs. Our clinical candidates, APVO436 and ALG.APV-527, and preclinical candidates, APVO603 and APVO711, were developed using our ADAPTIR™ modular protein technology platform. Our preclinical candidate APVO442 was developed using our ADAPTIR-FLEX™ modular protein technology platform.</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currently trading on the Nasdaq Capital Market under the symbol “APVO.”</w:t>
      </w:r>
    </w:p>
    <w:p>
      <w:pPr>
        <w:spacing w:after="0" w:line="117"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The accompanying financial statements have been prepared on a basis that assumes we will continue as a going concern and which contemplates the realization of assets and satisfaction of liabilities and commitments in the normal course of business. For the six months ended June 30, 2023, we had a net loss of $5.2 million. We had an accumulated deficit of $211.2 million as of June 30, 2023. For the six months ended June 30, 2023, net cash used in our operating activities was $0.2 million. We have suffered recurring losses from operations and negative cash flows from operating activities. We believe that our existing cash resources, milestone payments related to the Royalty Purchase Agreement with HealthCare Royalty Management, LLC ("HCR"), funds available under the Purchase Agreement with Lincoln Park Capital Fund, LLC ("Lincoln Park") and the Equity Distribution Agreement with Piper Sandler</w:t>
      </w:r>
    </w:p>
    <w:p>
      <w:pPr>
        <w:spacing w:after="0" w:line="4" w:lineRule="exact"/>
        <w:rPr>
          <w:sz w:val="20"/>
          <w:szCs w:val="20"/>
          <w:color w:val="auto"/>
        </w:rPr>
      </w:pPr>
    </w:p>
    <w:p>
      <w:pPr>
        <w:jc w:val="both"/>
        <w:ind w:firstLine="8"/>
        <w:spacing w:after="0" w:line="270" w:lineRule="auto"/>
        <w:tabs>
          <w:tab w:leader="none" w:pos="237" w:val="left"/>
        </w:tabs>
        <w:numPr>
          <w:ilvl w:val="0"/>
          <w:numId w:val="3"/>
        </w:numPr>
        <w:rPr>
          <w:rFonts w:ascii="Arial" w:cs="Arial" w:eastAsia="Arial" w:hAnsi="Arial"/>
          <w:sz w:val="17"/>
          <w:szCs w:val="17"/>
          <w:color w:val="auto"/>
        </w:rPr>
      </w:pPr>
      <w:r>
        <w:rPr>
          <w:rFonts w:ascii="Arial" w:cs="Arial" w:eastAsia="Arial" w:hAnsi="Arial"/>
          <w:sz w:val="17"/>
          <w:szCs w:val="17"/>
          <w:color w:val="auto"/>
        </w:rPr>
        <w:t>Co ("Piper Sandler"), cash to be generated from future milestones related to IXINITY sales and regulatory approvals achieved by Medexus Pharmaceuticals, Inc. ("Medexus"), and contingent considerations to be received from Kamada Ltd. (previously Saol), will be sufficient to meet our projected operating requirements for at least twelve months from the date of issuance of these financial statements. On August 4, 2023, we completed a public offering related to the issuance and sale of our common stock (or pre-funded warrant in lieu thereof) and received $5 million in gross proceeds from issuance of these shares. Our net proceeds from the offering amounted to $4.5 million after placement agent and other fees (see Note 12). We may choose to raise additional funds to support our operating and capital needs in the future.</w:t>
      </w:r>
    </w:p>
    <w:p>
      <w:pPr>
        <w:spacing w:after="0" w:line="7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whether and to what extent expected milestones are received from Medexus with respect to IXINITY; (e) whether and to what extent future milestone payments are received under our Royalty Purchase Agreement; (f) macroeconomic conditions such as rising interest rates, inflation and costs; and (g) other items affecting our forecasted level of expenditures and use of cash resources. We may obtain additional funding through our existing equity Purchase Agreement with Lincoln Park or our Equity Distribution Agreement with Piper Sandler, or attempt to obtain other public or private financing, collaborative or licensing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and commercialization goals may be adversely affected. Given the continuing global economic and geopolitical climate, including rising interest rates and stock market volatility, we may experience delays or difficulties in the financing environment and raising capital due to economic uncertainty.</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(GAAP). These unaudited condensed consolidated financial statements include all adjustments, which include normal recurring adjustments, necessary for the fair presentation of the Company’s financial position. These unaudited interim consolidated financial statements should be read in conjunction with the audited consolidated financial statements as of and for the year ended December 31, 2022, and the notes thereto, which are included in the Company’s Annual Report on Form 10-K for the year ended December 31, 2022.</w:t>
      </w:r>
    </w:p>
    <w:p>
      <w:pPr>
        <w:spacing w:after="0" w:line="6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firstLine="509"/>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subsidiary, Aptevo Research and Development LLC. All intercompany balances and transactions have been eliminated.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unaudited condensed financial statements and accompanying notes. Estimates are used for, but not limited to, clinical accruals, useful lives of equipment, commitments and contingencies, stock-based compensation, and incremental borrowing rate (IBR) used for our lease. Given the global economic and geopolitical climate, these estimates are becoming more challenging, and actual results could differ materially from those estimates.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Gain Related to Sale of Nonfinancial Asset to XOMA (US) LLC</w:t>
      </w:r>
    </w:p>
    <w:p>
      <w:pPr>
        <w:spacing w:after="0" w:line="117"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8"/>
          <w:szCs w:val="18"/>
          <w:color w:val="auto"/>
        </w:rPr>
        <w:t>On March 29, 2023, we entered into and closed a payment interest purchase agreement (the “Purchase Agreement”) with XOMA (US) LLC (“XOMA”) pursuant to which we sold to XOMA our right, title and interest in all of the deferred payments and a portion of the milestone payments from Medexus pursuant to our LLC Purchase Agreement. Under the terms of the Purchase Agreement, we received $9.6 million at closing (the “Closing Payment”) and an additional post-closing payment of $0.05 million post-closing payment. In exchange for the Closing Payment, the Company sold to XOMA its right, title and interest to the following payments under the LLC Purchase Agreement: (i) 100% of the Company’s entitlement to receive the deferred payments that may become due and payable following March 29, 2023 (including, for avoidance of doubt, any and all payments earned during Q1 2023), (ii) 25% of the milestone payment upon receipt of a Notice of Compliance for IXINITY from Health Canada (the "Canadian Approval Milestone Payment"); and (iii) 50% of the milestone payments upon receipt of regulatory approval in each of Germany, France, the United Kingdom, Spain and Italy (the "European Approval Milestone Payments") and when the worldwide net sales of IXINITY for a fiscal year meet or exceed $120 million (the "Net Sales Milestone Payment").</w:t>
      </w:r>
    </w:p>
    <w:p>
      <w:pPr>
        <w:spacing w:after="0" w:line="86"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8"/>
          <w:szCs w:val="18"/>
          <w:color w:val="auto"/>
        </w:rPr>
        <w:t xml:space="preserve">We accounted for the $9.6 million Closing Payment and the $0.05 million post-closing payment from XOMA as other income in accordance with Accounting Standards Codification (ASC) 610-20 </w:t>
      </w:r>
      <w:r>
        <w:rPr>
          <w:rFonts w:ascii="Arial" w:cs="Arial" w:eastAsia="Arial" w:hAnsi="Arial"/>
          <w:sz w:val="18"/>
          <w:szCs w:val="18"/>
          <w:i w:val="1"/>
          <w:iCs w:val="1"/>
          <w:color w:val="auto"/>
        </w:rPr>
        <w:t>Other Income - Gains and Losses from the Derecognition of Nonfinancial Assets</w:t>
      </w:r>
      <w:r>
        <w:rPr>
          <w:rFonts w:ascii="Arial" w:cs="Arial" w:eastAsia="Arial" w:hAnsi="Arial"/>
          <w:sz w:val="18"/>
          <w:szCs w:val="18"/>
          <w:color w:val="auto"/>
        </w:rPr>
        <w:t xml:space="preserve"> in the first quarter of 2023. Contractual rights sold to XOMA represent an intangible asset under ASC 610-20 </w:t>
      </w:r>
      <w:r>
        <w:rPr>
          <w:rFonts w:ascii="Arial" w:cs="Arial" w:eastAsia="Arial" w:hAnsi="Arial"/>
          <w:sz w:val="18"/>
          <w:szCs w:val="18"/>
          <w:i w:val="1"/>
          <w:iCs w:val="1"/>
          <w:color w:val="auto"/>
        </w:rPr>
        <w:t>Other Income - Gains and Losses from the Derecognition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Nonfinancial Assets </w:t>
      </w:r>
      <w:r>
        <w:rPr>
          <w:rFonts w:ascii="Arial" w:cs="Arial" w:eastAsia="Arial" w:hAnsi="Arial"/>
          <w:sz w:val="18"/>
          <w:szCs w:val="18"/>
          <w:color w:val="auto"/>
        </w:rPr>
        <w:t>for which XOMA bears all benefit and Aptevo has no obligations going forward. The Company will continue to account for its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future milestones under our LLC Purchase Agreement with Medexus as contingent consideration under </w:t>
      </w:r>
      <w:r>
        <w:rPr>
          <w:rFonts w:ascii="Arial" w:cs="Arial" w:eastAsia="Arial" w:hAnsi="Arial"/>
          <w:sz w:val="18"/>
          <w:szCs w:val="18"/>
          <w:i w:val="1"/>
          <w:iCs w:val="1"/>
          <w:color w:val="auto"/>
        </w:rPr>
        <w:t>ASC 450-30 Gain Contingencies</w:t>
      </w:r>
      <w:r>
        <w:rPr>
          <w:rFonts w:ascii="Arial" w:cs="Arial" w:eastAsia="Arial" w:hAnsi="Arial"/>
          <w:sz w:val="18"/>
          <w:szCs w:val="18"/>
          <w:color w:val="auto"/>
        </w:rPr>
        <w:t xml:space="preserve"> and will record income when proceeds are received.</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Liability Related to Sale of Royalties and Non-Cash Interest Expense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March 30, 2021, we entered into and closed a Royalty Purchase Agreement with HCR pursuant to which we sold to HCR the right to receive royalty payments made by Pfizer in respect of global net sales of RUXIENCE. Under the terms of the Royalty Purchase Agreement, we have received $47.5 million through June 30, 2023 ($35 million at closing and $12.5 million in milestone payments) and we are eligible to receive an additional $10 million based on the achievement of sales milestone 2023.</w:t>
      </w:r>
    </w:p>
    <w:p>
      <w:pPr>
        <w:spacing w:after="0" w:line="7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 xml:space="preserve">Through March 31, 2022, we accounted for the Royalty Purchase Agreement with HCR as a debt-like instrument, amortized under the effective interest rate method over the life of the related expected royalty stream. The liabilities related to the sale of royalties and the debt amortization were based on our estimates of royalties expected to be paid over the life of the arrangement. We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 pursuant to ASC 470-10-25, </w:t>
      </w:r>
      <w:r>
        <w:rPr>
          <w:rFonts w:ascii="Arial" w:cs="Arial" w:eastAsia="Arial" w:hAnsi="Arial"/>
          <w:sz w:val="18"/>
          <w:szCs w:val="18"/>
          <w:i w:val="1"/>
          <w:iCs w:val="1"/>
          <w:color w:val="auto"/>
        </w:rPr>
        <w:t>Debt – Sales of Future Revenues or Various Other</w:t>
      </w:r>
      <w:r>
        <w:rPr>
          <w:rFonts w:ascii="Arial" w:cs="Arial" w:eastAsia="Arial" w:hAnsi="Arial"/>
          <w:sz w:val="18"/>
          <w:szCs w:val="18"/>
          <w:color w:val="auto"/>
        </w:rPr>
        <w:t xml:space="preserve"> </w:t>
      </w:r>
      <w:r>
        <w:rPr>
          <w:rFonts w:ascii="Arial" w:cs="Arial" w:eastAsia="Arial" w:hAnsi="Arial"/>
          <w:sz w:val="18"/>
          <w:szCs w:val="18"/>
          <w:i w:val="1"/>
          <w:iCs w:val="1"/>
          <w:color w:val="auto"/>
        </w:rPr>
        <w:t>Measures of Income</w:t>
      </w:r>
      <w:r>
        <w:rPr>
          <w:rFonts w:ascii="Arial" w:cs="Arial" w:eastAsia="Arial" w:hAnsi="Arial"/>
          <w:sz w:val="18"/>
          <w:szCs w:val="18"/>
          <w:color w:val="auto"/>
        </w:rPr>
        <w:t>.</w:t>
      </w:r>
    </w:p>
    <w:p>
      <w:pPr>
        <w:spacing w:after="0" w:line="8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 xml:space="preserve">On June 7, 2022, we entered into and closed an amendment to the Royalty Purchase Agreement (the "Amendment to Royalty Purchase Agreement") (see Note 8) which removed all restrictions related to HCR’s rate of return, and it is no longer a sale of a specified percentage of royalty revenue. The Amendment to Royalty Purchase Agreement was accounted for under ASC 610-20, </w:t>
      </w:r>
      <w:r>
        <w:rPr>
          <w:rFonts w:ascii="Arial" w:cs="Arial" w:eastAsia="Arial" w:hAnsi="Arial"/>
          <w:sz w:val="17"/>
          <w:szCs w:val="17"/>
          <w:i w:val="1"/>
          <w:iCs w:val="1"/>
          <w:color w:val="auto"/>
        </w:rPr>
        <w:t>Gains and Losses from Derecognition of Nonfinancial Assets</w:t>
      </w:r>
      <w:r>
        <w:rPr>
          <w:rFonts w:ascii="Arial" w:cs="Arial" w:eastAsia="Arial" w:hAnsi="Arial"/>
          <w:sz w:val="17"/>
          <w:szCs w:val="17"/>
          <w:color w:val="auto"/>
        </w:rPr>
        <w:t xml:space="preserve"> and ASC 405-20, </w:t>
      </w:r>
      <w:r>
        <w:rPr>
          <w:rFonts w:ascii="Arial" w:cs="Arial" w:eastAsia="Arial" w:hAnsi="Arial"/>
          <w:sz w:val="17"/>
          <w:szCs w:val="17"/>
          <w:i w:val="1"/>
          <w:iCs w:val="1"/>
          <w:color w:val="auto"/>
        </w:rPr>
        <w:t>Liabilities – Extinguishment of Liabilities</w:t>
      </w:r>
      <w:r>
        <w:rPr>
          <w:rFonts w:ascii="Arial" w:cs="Arial" w:eastAsia="Arial" w:hAnsi="Arial"/>
          <w:sz w:val="17"/>
          <w:szCs w:val="17"/>
          <w:color w:val="auto"/>
        </w:rPr>
        <w:t xml:space="preserve"> and the transaction was no longer considered a debt-like financing.</w:t>
      </w:r>
    </w:p>
    <w:p>
      <w:pPr>
        <w:spacing w:after="0" w:line="6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 xml:space="preserve">As a result of the Amendment to Royalty Purchase Agreement, the Company recognized a gain of $37.2 million in the second quarter of 2022, which was the total balance of liability related to the sale of royalties on the closing date. Future milestone payments will be accounted for as variable consideration and recognized as other income when such milestones are earned using the most likely method in accordance with ASC 610-20 </w:t>
      </w:r>
      <w:r>
        <w:rPr>
          <w:rFonts w:ascii="Arial" w:cs="Arial" w:eastAsia="Arial" w:hAnsi="Arial"/>
          <w:sz w:val="16"/>
          <w:szCs w:val="16"/>
          <w:i w:val="1"/>
          <w:iCs w:val="1"/>
          <w:color w:val="auto"/>
        </w:rPr>
        <w:t>Other Income</w:t>
      </w:r>
    </w:p>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 Gains and Losses from the Derecognition of Nonfinancial Assets. </w:t>
      </w:r>
      <w:r>
        <w:rPr>
          <w:rFonts w:ascii="Arial" w:cs="Arial" w:eastAsia="Arial" w:hAnsi="Arial"/>
          <w:sz w:val="16"/>
          <w:szCs w:val="16"/>
          <w:color w:val="auto"/>
        </w:rPr>
        <w:t>We received the 2022 milestone payment of $2.5 million on February 28, 2023.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from the 2022 milestone payment were recorded as other income in the consolidated statement of operations for the year ended December 31, 2022. The Company is eligible to receive an additional milestone payment of $10 million based on achievement of sales milestone in 2023.</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ind w:left="500"/>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 xml:space="preserve">We recognized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RUXIENCE Royalty Revenue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Aptevo’s royalty revenue was exclusively related to royalties on Pfizer’s net sales of RUXIENCE. We did not recognize royalty revenue for the six months ended June 30, 2023. Royalty revenue for the period covered by this report reflects revenue recorded only in the first quarter of 2022 due to our Amendment to Royalty Purchase Agreement with HCR (see Note 8). As a result of the Amendment to Royalty Purchase Agreement, we ceased reporting as royalty revenue, royalties paid by Pfizer to HCR related to Pfizer’s sales of RUXIENCE.</w:t>
      </w:r>
    </w:p>
    <w:p>
      <w:pPr>
        <w:spacing w:after="0" w:line="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recognized royalty revenue under ASC 606, which provides revenue recognition constraints by requiring the recognition of revenue at the later of the following: (1) when the subsequent sale or usage occurs or (2) when the performance obligation to which some or all of the sales-based or usage-based royalty has been allocated has been satisfied (or partially satisfied). We satisfied our performance obligation prior to the period covered by this report, specifically in May 2011 when the original Collaboration and License Agreement between Trubion Pharmaceuticals and Wyeth was amended to remove the exclusivity/non-compete restrictions so that Pfizer could develop a CD20 biosimilar product in exchange for a one-time payment of $2.5 million and future royalties of 2.5% on any CD20 biosimilar product commercialized by Pfizer in the future. We do not have future performance obligations under this agreement. We applied the royalty recognition constraint required under the guidance for sales-based royalties, which requires a sales-based royalty to be recorded no sooner than the underlying sale. Therefore, royalties on sales of products commercialized by Pfizer were recognized in the quarter the product is sold.</w:t>
      </w:r>
    </w:p>
    <w:p>
      <w:pPr>
        <w:spacing w:after="0" w:line="8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Given the royalty revenues were based on 2.5% of global net sales of RUXIENCE, the considerations were considered variable. Pfizer generally reported sales information to us within 60 days of quarter end. Unless we received finalized sales information for the respective quarter, we estimated the expected royalty proceeds based on an analysis of historical experience, analyst expectations, interim data provided by Pfizer, including their publicly announced sales, and other publicly available information. Differences between actual and estimated royalty revenues were adjusted for in the period in which they became known, typically the following quarter. Aptevo did not record revenue for the six months ended June 30, 2023 due to our Amendment to Royalty Purchase Agreement. Revenue recorded for the six months ended June 30, 2022 represents actual royalty revenue given the timing of RUXIENCE sales reports received from Pfizer. There was no significant financing component to the contract.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Debt Modification</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On March 29, 2023, we used a portion of the proceeds from our Purchase Agreement with XOMA to fully repay the $2.8 million outstanding principal balance of our MidCap debt, and $0.3 million in exit fees. The pre-payment was not considered an amendment to our Credit Agreement (as defined below) since we were required to fully repay the remaining principal balance if we sold our IXINITY deferred payment stream and milestones.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21"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Our other significant accounting policies were reported in our Annual Report on Form 10-K for the year ended December 31, 2022 that was filed with the SEC on March 30, 2023. Our other significant accounting policies have not changed materially from the policies previously reported.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accompanying unaudited condensed consolidated financial statements include discontinued operations from two separate transactions: the sale of our hyperimmune business to Saol International Limited (subsequently acquired by Kamada Ltd.) in September 2017, from which we received a payment in March 2023 related to the collection of certain accounts receivable, and the sale of our Aptevo BioTherapeutics LLC business to Medexus in February 2020. In March 2023, we sold our rights to deferred payments and a percentage of potential future milestones from Medexus to XOMA.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jc w:val="both"/>
        <w:ind w:firstLine="509"/>
        <w:spacing w:after="0" w:line="277" w:lineRule="auto"/>
        <w:rPr>
          <w:sz w:val="20"/>
          <w:szCs w:val="20"/>
          <w:color w:val="auto"/>
        </w:rPr>
      </w:pPr>
      <w:r>
        <w:rPr>
          <w:rFonts w:ascii="Arial" w:cs="Arial" w:eastAsia="Arial" w:hAnsi="Arial"/>
          <w:sz w:val="18"/>
          <w:szCs w:val="18"/>
          <w:color w:val="auto"/>
        </w:rPr>
        <w:t>The following table represents the components attributable to income from discontinued operations in the unaudited condensed consolidated statements of operations (in thousands):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174"/>
              <w:spacing w:after="0"/>
              <w:rPr>
                <w:sz w:val="20"/>
                <w:szCs w:val="20"/>
                <w:color w:val="auto"/>
              </w:rPr>
            </w:pPr>
            <w:r>
              <w:rPr>
                <w:rFonts w:ascii="Arial" w:cs="Arial" w:eastAsia="Arial" w:hAnsi="Arial"/>
                <w:sz w:val="14"/>
                <w:szCs w:val="14"/>
                <w:b w:val="1"/>
                <w:bCs w:val="1"/>
                <w:color w:val="auto"/>
              </w:rPr>
              <w:t>For the Three Months Ended June 30,</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w w:val="97"/>
              </w:rPr>
              <w:t>For the Six Months Ended June 30,</w:t>
            </w:r>
          </w:p>
        </w:tc>
        <w:tc>
          <w:tcPr>
            <w:tcW w:w="120" w:type="dxa"/>
            <w:vAlign w:val="bottom"/>
          </w:tcPr>
          <w:p>
            <w:pPr>
              <w:spacing w:after="0"/>
              <w:rPr>
                <w:sz w:val="16"/>
                <w:szCs w:val="16"/>
                <w:color w:val="auto"/>
              </w:rPr>
            </w:pPr>
          </w:p>
        </w:tc>
      </w:tr>
      <w:tr>
        <w:trPr>
          <w:trHeight w:val="169"/>
        </w:trPr>
        <w:tc>
          <w:tcPr>
            <w:tcW w:w="3920" w:type="dxa"/>
            <w:vAlign w:val="bottom"/>
          </w:tcPr>
          <w:p>
            <w:pPr>
              <w:spacing w:after="0"/>
              <w:rPr>
                <w:sz w:val="14"/>
                <w:szCs w:val="14"/>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Deferred payment from Medexus</w:t>
            </w:r>
          </w:p>
        </w:tc>
        <w:tc>
          <w:tcPr>
            <w:tcW w:w="940" w:type="dxa"/>
            <w:vAlign w:val="bottom"/>
            <w:shd w:val="clear" w:color="auto" w:fill="CFF0FC"/>
          </w:tcPr>
          <w:p>
            <w:pPr>
              <w:spacing w:after="0"/>
              <w:rPr>
                <w:sz w:val="20"/>
                <w:szCs w:val="20"/>
                <w:color w:val="auto"/>
              </w:rPr>
            </w:pPr>
          </w:p>
        </w:tc>
        <w:tc>
          <w:tcPr>
            <w:tcW w:w="3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FF0FC"/>
          </w:tcPr>
          <w:p>
            <w:pPr>
              <w:spacing w:after="0"/>
              <w:rPr>
                <w:sz w:val="20"/>
                <w:szCs w:val="20"/>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Gain on contingent consideration from release of</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w w:val="99"/>
              </w:rPr>
              <w:t>escrow related to sale of Aptevo BioTherapeutics</w:t>
            </w:r>
          </w:p>
        </w:tc>
        <w:tc>
          <w:tcPr>
            <w:tcW w:w="940" w:type="dxa"/>
            <w:vAlign w:val="bottom"/>
          </w:tcPr>
          <w:p>
            <w:pPr>
              <w:spacing w:after="0"/>
              <w:rPr>
                <w:sz w:val="20"/>
                <w:szCs w:val="20"/>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3"/>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contingent consideration from Kamada</w:t>
            </w:r>
          </w:p>
        </w:tc>
        <w:tc>
          <w:tcPr>
            <w:tcW w:w="9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39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940" w:type="dxa"/>
            <w:vAlign w:val="bottom"/>
          </w:tcPr>
          <w:p>
            <w:pPr>
              <w:jc w:val="right"/>
              <w:ind w:right="742"/>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946</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0"/>
                <w:szCs w:val="20"/>
                <w:color w:val="auto"/>
              </w:rPr>
            </w:pPr>
          </w:p>
        </w:tc>
      </w:tr>
      <w:tr>
        <w:trPr>
          <w:trHeight w:val="20"/>
        </w:trPr>
        <w:tc>
          <w:tcPr>
            <w:tcW w:w="3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-187960</wp:posOffset>
            </wp:positionV>
            <wp:extent cx="7683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-187960</wp:posOffset>
            </wp:positionV>
            <wp:extent cx="7683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-187960</wp:posOffset>
            </wp:positionV>
            <wp:extent cx="7683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LLC Purchase Agreement with Medexus entitled us to future deferred payments and milestones. For the six months ended June 30, 2023, we collected $0.5 million in deferred payments from Medexus related to IXINITY sales and $0.2 million related to funds released from escrow from the sale of Aptevo BioTherapeutics in 2020. Additionally, we received $0.3 million related to the sale of hyperimmune business to Saol as a result of the collection of certain accounts receivable. For the six months ended June 30, 2022, we collected $0.3 million in deferred payment from Medexus related to IXINITY sales. As a result of our Purchase Agreement with XOMA, we no longer receive deferred payments from Medexus. We are still entitled to receive a percentage of future milestones based on Medexus' achievement of certain IXINITY net sales and regulatory approvals. The proceeds from the income from discontinued operations is included within net income in the operating section of the unaudited condensed consolidated statements of cash flows.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3. XOMA Transaction</w:t>
      </w:r>
    </w:p>
    <w:p>
      <w:pPr>
        <w:spacing w:after="0" w:line="12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On March 29, 2023, we entered into and closed a Purchase Agreement with XOMA pursuant to which we sold to XOMA our right, title and interest in and to all of the deferred payments and a portion of the milestone payments from Medexus under our 2020 LLC Purchase Agreement. Under the terms of our Purchase Agreement with XOMA, we received $9.6 million at closing (the “Closing Payment”) and an additional post-closing payment of $0.05 million (the “Post-Closing Payment”). In exchange for the Closing Payment, we sold to XOMA our right, title and interest to the following payments under the LLC Purchase Agreement: (i) 100% of the Company’s entitlement to receive the deferred payments that may become due and payable following March 29, 2023 (including, for avoidance of doubt, any and all payments earned during Q1 2023), (ii) 25% of the Company’s entitlement to receive the Canadian Approval Milestone Payment; and (iii) 50% of the Company’s entitlement to receive the European Approval Milestone Payments and Net Sales Milestone Payment.</w:t>
      </w:r>
    </w:p>
    <w:p>
      <w:pPr>
        <w:spacing w:after="0" w:line="84"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 xml:space="preserve">We accounted for the $9.6 million Closing Payment and the $0.05 million post-closing payment from XOMA as other income in accordance with </w:t>
      </w:r>
      <w:r>
        <w:rPr>
          <w:rFonts w:ascii="Arial" w:cs="Arial" w:eastAsia="Arial" w:hAnsi="Arial"/>
          <w:sz w:val="16"/>
          <w:szCs w:val="16"/>
          <w:i w:val="1"/>
          <w:iCs w:val="1"/>
          <w:color w:val="auto"/>
        </w:rPr>
        <w:t xml:space="preserve">ASC 610-20 Other Income - Gains and Losses from the Derecognition of Nonfinancial Assets </w:t>
      </w:r>
      <w:r>
        <w:rPr>
          <w:rFonts w:ascii="Arial" w:cs="Arial" w:eastAsia="Arial" w:hAnsi="Arial"/>
          <w:sz w:val="16"/>
          <w:szCs w:val="16"/>
          <w:color w:val="auto"/>
        </w:rPr>
        <w:t>in the first quarter of 2023. Contractual rights sold to XOMA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 an intangible asset under ASC 610-20 </w:t>
      </w:r>
      <w:r>
        <w:rPr>
          <w:rFonts w:ascii="Arial" w:cs="Arial" w:eastAsia="Arial" w:hAnsi="Arial"/>
          <w:sz w:val="16"/>
          <w:szCs w:val="16"/>
          <w:i w:val="1"/>
          <w:iCs w:val="1"/>
          <w:color w:val="auto"/>
        </w:rPr>
        <w:t>Other Income - Gains and Losses from the Derecognition of Nonfinancial Assets</w:t>
      </w:r>
      <w:r>
        <w:rPr>
          <w:rFonts w:ascii="Arial" w:cs="Arial" w:eastAsia="Arial" w:hAnsi="Arial"/>
          <w:sz w:val="16"/>
          <w:szCs w:val="16"/>
          <w:color w:val="auto"/>
        </w:rPr>
        <w:t xml:space="preserve"> for which XOMA bears all benefit and Aptevo has no obligations going forward. The Company will continue to account for its portion of future milestones under our LLC Purchase Agreement with Medexus as contingent consideration under </w:t>
      </w:r>
      <w:r>
        <w:rPr>
          <w:rFonts w:ascii="Arial" w:cs="Arial" w:eastAsia="Arial" w:hAnsi="Arial"/>
          <w:sz w:val="16"/>
          <w:szCs w:val="16"/>
          <w:i w:val="1"/>
          <w:iCs w:val="1"/>
          <w:color w:val="auto"/>
        </w:rPr>
        <w:t>ASC 450-30 Gain Contingencies</w:t>
      </w:r>
      <w:r>
        <w:rPr>
          <w:rFonts w:ascii="Arial" w:cs="Arial" w:eastAsia="Arial" w:hAnsi="Arial"/>
          <w:sz w:val="16"/>
          <w:szCs w:val="16"/>
          <w:color w:val="auto"/>
        </w:rPr>
        <w:t xml:space="preserve"> and will record income when proceeds are received.</w:t>
      </w:r>
    </w:p>
    <w:p>
      <w:pPr>
        <w:spacing w:after="0" w:line="37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4.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Alligator Bioscience AB</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On July 20, 2017, our wholly owned subsidiary Aptevo Research and Development LLC ("Aptevo R&amp;D"), entered into a collaboration and option agreement (the "Collaboration Agreement") with Alligator Bioscience AB ("Alligator"), pursuant to which Aptevo and Alligator have been collaboratively developing ALG.APV-527, a bispecific antibody candidate simultaneously targeting 4-1BB (CD137), a member of the TNFR superfamily of a costimulatory receptor found on activated T cells, and 5T4, a tumor antigen widely overexpressed in a number of different types of cancer.</w:t>
      </w:r>
    </w:p>
    <w:p>
      <w:pPr>
        <w:spacing w:after="0" w:line="49"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 xml:space="preserve">We assessed the arrangement in accordance with ASC 606 and concluded that the contract counterparty, Alligator, is not a customer. As such the arrangement is not in the scope of ASC 606 and is instead treated as a collaborative agreement under ASC 808 –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(ASC 808). In accordance with ASC 808, we concluded that because the Collaboration Agreement is a cost sharing agreement, there is no revenue.</w:t>
      </w:r>
    </w:p>
    <w:p>
      <w:pPr>
        <w:spacing w:after="0" w:line="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the six months ended June 30, 2023 and 2022, we recorded approximately $1.5 million and $0.3 million, which represent 50% of our cost share, in our research and development expense related to the Collaboration Agreement,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color w:val="auto"/>
        </w:rPr>
        <w:t>Note 5. Fair Value Measurements</w:t>
      </w:r>
    </w:p>
    <w:p>
      <w:pPr>
        <w:spacing w:after="0" w:line="12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it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140"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At June 30, 2023 and December 31, 2022, we had $17.0 million and $21.6 million in Level 1 money market funds, respectively. The carrying amounts of our money market funds approximate their fair value. At June 30, 2023 and December 31, 2022, we did not have any Level 2 or Level 3 assets.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6. Cash and Cash Equivalents</w:t>
      </w:r>
    </w:p>
    <w:p>
      <w:pPr>
        <w:spacing w:after="0" w:line="13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Company’s cash equivalents are highly liquid investments with a maturity of 90 days or less at the date of purchase and include time deposits and investments in money market funds.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cash, cash equivalents and restricted cash as of June 30, 2023 and December 31, 2022:</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77"/>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c>
          <w:tcPr>
            <w:tcW w:w="120" w:type="dxa"/>
            <w:vAlign w:val="bottom"/>
          </w:tcPr>
          <w:p>
            <w:pPr>
              <w:spacing w:after="0"/>
              <w:rPr>
                <w:sz w:val="15"/>
                <w:szCs w:val="15"/>
                <w:color w:val="auto"/>
              </w:rPr>
            </w:pPr>
          </w:p>
        </w:tc>
      </w:tr>
      <w:tr>
        <w:trPr>
          <w:trHeight w:val="185"/>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237"/>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4,034</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FF0FC"/>
          </w:tcPr>
          <w:p>
            <w:pPr>
              <w:spacing w:after="0"/>
              <w:rPr>
                <w:sz w:val="20"/>
                <w:szCs w:val="20"/>
                <w:color w:val="auto"/>
              </w:rPr>
            </w:pPr>
          </w:p>
        </w:tc>
      </w:tr>
      <w:tr>
        <w:trPr>
          <w:trHeight w:val="237"/>
        </w:trPr>
        <w:tc>
          <w:tcPr>
            <w:tcW w:w="6640" w:type="dxa"/>
            <w:vAlign w:val="bottom"/>
          </w:tcPr>
          <w:p>
            <w:pPr>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16,972</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21,569</w:t>
            </w:r>
          </w:p>
        </w:tc>
        <w:tc>
          <w:tcPr>
            <w:tcW w:w="120" w:type="dxa"/>
            <w:vAlign w:val="bottom"/>
          </w:tcPr>
          <w:p>
            <w:pPr>
              <w:spacing w:after="0"/>
              <w:rPr>
                <w:sz w:val="20"/>
                <w:szCs w:val="20"/>
                <w:color w:val="auto"/>
              </w:rPr>
            </w:pPr>
          </w:p>
        </w:tc>
      </w:tr>
      <w:tr>
        <w:trPr>
          <w:trHeight w:val="277"/>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and cash equivalents</w:t>
            </w:r>
          </w:p>
        </w:tc>
        <w:tc>
          <w:tcPr>
            <w:tcW w:w="1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21,006</w:t>
            </w:r>
          </w:p>
        </w:tc>
        <w:tc>
          <w:tcPr>
            <w:tcW w:w="3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22,635</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-25400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7.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August 5, 2020, we entered into a Credit Agreement, with MidCap Financial (the "Credit Agreement"). The Credit Agreement provided us with up to $25.0 million of available borrowing capacity under a term loan facility. The full $25.0 million was drawn on the closing date of the Credit Agreement.</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March 29, 2023, we used a portion of the proceeds from our Purchase Agreement with XOMA to fully repay the $2.8 million outstanding principal of our MidCap debt, including payment of $0.3 million in exit fees. The pre-payment was not considered an amendment to our Credit Agreement since we were required to fully repay the remaining principal balance if we sold IXINITY deferred payment stream and milestones. As of June 30, 2023, we do not have any outstanding debt on the balance sheet.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8. Liability Related to Sale of Royalties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March 30, 2021, we entered into and closed a Royalty Purchase Agreement with HCR pursuant to which we sold to HCR the right to receive royalty payments made by Pfizer in respect of global net sales of RUXIENCE. Under the terms of the Royalty Purchase Agreement, we have received $47.5 million through June 30, 2023 ($35 million at closing and $12.5 million in milestone payments) and we are eligible to receive an additional $10 million based on the achievement of sales milestone in 2023.</w:t>
      </w:r>
    </w:p>
    <w:p>
      <w:pPr>
        <w:spacing w:after="0" w:line="7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 xml:space="preserve">Due to the nature of the transaction, which included a cap on HCR’s rate of return, we recorded a liability related to the proceeds received from HCR of $35.0 million, net of transaction costs of $1.1 million and the 2021 milestone payments in the collective amount of $10.0 million as an additional liability related to the sale of royalties on the consolidated balance sheet as of March 31, 2022 pursuant to ASC 470-10-25, </w:t>
      </w:r>
      <w:r>
        <w:rPr>
          <w:rFonts w:ascii="Arial" w:cs="Arial" w:eastAsia="Arial" w:hAnsi="Arial"/>
          <w:sz w:val="18"/>
          <w:szCs w:val="18"/>
          <w:i w:val="1"/>
          <w:iCs w:val="1"/>
          <w:color w:val="auto"/>
        </w:rPr>
        <w:t>Debt – Sales of Future Revenues</w:t>
      </w:r>
      <w:r>
        <w:rPr>
          <w:rFonts w:ascii="Arial" w:cs="Arial" w:eastAsia="Arial" w:hAnsi="Arial"/>
          <w:sz w:val="18"/>
          <w:szCs w:val="18"/>
          <w:color w:val="auto"/>
        </w:rPr>
        <w:t xml:space="preserve"> </w:t>
      </w:r>
      <w:r>
        <w:rPr>
          <w:rFonts w:ascii="Arial" w:cs="Arial" w:eastAsia="Arial" w:hAnsi="Arial"/>
          <w:sz w:val="18"/>
          <w:szCs w:val="18"/>
          <w:i w:val="1"/>
          <w:iCs w:val="1"/>
          <w:color w:val="auto"/>
        </w:rPr>
        <w:t>or Various Other Measures of Income</w:t>
      </w:r>
      <w:r>
        <w:rPr>
          <w:rFonts w:ascii="Arial" w:cs="Arial" w:eastAsia="Arial" w:hAnsi="Arial"/>
          <w:sz w:val="18"/>
          <w:szCs w:val="18"/>
          <w:color w:val="auto"/>
        </w:rPr>
        <w:t>.</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 xml:space="preserve">On June 7, 2022, we entered into and closed an amendment to our Royalty Purchase Agreement, resulting in the Company recognizing a $37.2 million gain, which was the total balance of liability related to the sale of royalties on the closing date. The Amendment to Royalty Purchase Agreement eliminated all of our continuing involvement with the cash generating activities related to the royalties and removed all restrictions related to the rate of return and was therefore accounted for under ASC 610-20, </w:t>
      </w:r>
      <w:r>
        <w:rPr>
          <w:rFonts w:ascii="Arial" w:cs="Arial" w:eastAsia="Arial" w:hAnsi="Arial"/>
          <w:sz w:val="18"/>
          <w:szCs w:val="18"/>
          <w:i w:val="1"/>
          <w:iCs w:val="1"/>
          <w:color w:val="auto"/>
        </w:rPr>
        <w:t>Gains and Losses from Derecognition of Nonfinancial Assets</w:t>
      </w:r>
      <w:r>
        <w:rPr>
          <w:rFonts w:ascii="Arial" w:cs="Arial" w:eastAsia="Arial" w:hAnsi="Arial"/>
          <w:sz w:val="18"/>
          <w:szCs w:val="18"/>
          <w:color w:val="auto"/>
        </w:rPr>
        <w:t xml:space="preserve"> and ASC 405-20, </w:t>
      </w:r>
      <w:r>
        <w:rPr>
          <w:rFonts w:ascii="Arial" w:cs="Arial" w:eastAsia="Arial" w:hAnsi="Arial"/>
          <w:sz w:val="18"/>
          <w:szCs w:val="18"/>
          <w:i w:val="1"/>
          <w:iCs w:val="1"/>
          <w:color w:val="auto"/>
        </w:rPr>
        <w:t>Liabilities –</w:t>
      </w:r>
      <w:r>
        <w:rPr>
          <w:rFonts w:ascii="Arial" w:cs="Arial" w:eastAsia="Arial" w:hAnsi="Arial"/>
          <w:sz w:val="18"/>
          <w:szCs w:val="18"/>
          <w:color w:val="auto"/>
        </w:rPr>
        <w:t xml:space="preserve"> </w:t>
      </w:r>
      <w:r>
        <w:rPr>
          <w:rFonts w:ascii="Arial" w:cs="Arial" w:eastAsia="Arial" w:hAnsi="Arial"/>
          <w:sz w:val="18"/>
          <w:szCs w:val="18"/>
          <w:i w:val="1"/>
          <w:iCs w:val="1"/>
          <w:color w:val="auto"/>
        </w:rPr>
        <w:t>Extinguishment of Liabilities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both"/>
        <w:ind w:firstLine="509"/>
        <w:spacing w:after="0" w:line="301" w:lineRule="auto"/>
        <w:rPr>
          <w:sz w:val="20"/>
          <w:szCs w:val="20"/>
          <w:color w:val="auto"/>
        </w:rPr>
      </w:pPr>
      <w:r>
        <w:rPr>
          <w:rFonts w:ascii="Arial" w:cs="Arial" w:eastAsia="Arial" w:hAnsi="Arial"/>
          <w:sz w:val="16"/>
          <w:szCs w:val="16"/>
          <w:color w:val="auto"/>
        </w:rPr>
        <w:t xml:space="preserve">Future milestone payments will be accounted for as variable consideration and recognized using the most likely method in accordance with ASC 610-20 </w:t>
      </w:r>
      <w:r>
        <w:rPr>
          <w:rFonts w:ascii="Arial" w:cs="Arial" w:eastAsia="Arial" w:hAnsi="Arial"/>
          <w:sz w:val="16"/>
          <w:szCs w:val="16"/>
          <w:i w:val="1"/>
          <w:iCs w:val="1"/>
          <w:color w:val="auto"/>
        </w:rPr>
        <w:t>Other Income — Gains and Losses from the Derecognition of Nonfinancial Assets</w:t>
      </w:r>
      <w:r>
        <w:rPr>
          <w:rFonts w:ascii="Arial" w:cs="Arial" w:eastAsia="Arial" w:hAnsi="Arial"/>
          <w:sz w:val="16"/>
          <w:szCs w:val="16"/>
          <w:color w:val="auto"/>
        </w:rPr>
        <w:t>. We received the 2022 milestone payment of $2.5 million on February 28, 2023. The proceeds from the 2022 milestone payment were recorded as other income in the consolidated statement of operations for the year ended December 31, 2022. We are eligible to receive an additional milestone payment of $10 million based on achievement of sales milestone in 2023.</w:t>
      </w:r>
    </w:p>
    <w:p>
      <w:pPr>
        <w:spacing w:after="0" w:line="49"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Due to our Amendment to Royalty Purchase Agreement, we did not have any liability related to sale of royalties as of June 30, 2023. The following table presents the changes in the liability in the prior period related to the sale of royalties under the Royalty Purchase Agreement with HCR (in thousands):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For the Six Months Ended June</w:t>
            </w:r>
          </w:p>
        </w:tc>
      </w:tr>
      <w:tr>
        <w:trPr>
          <w:trHeight w:val="175"/>
        </w:trPr>
        <w:tc>
          <w:tcPr>
            <w:tcW w:w="7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tcPr>
          <w:p>
            <w:pPr>
              <w:jc w:val="right"/>
              <w:ind w:right="895"/>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5"/>
                <w:szCs w:val="15"/>
                <w:color w:val="auto"/>
              </w:rPr>
            </w:pPr>
          </w:p>
        </w:tc>
      </w:tr>
      <w:tr>
        <w:trPr>
          <w:trHeight w:val="185"/>
        </w:trPr>
        <w:tc>
          <w:tcPr>
            <w:tcW w:w="78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23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Liability related to sale of royalties, beginning balance</w:t>
            </w: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31,045</w:t>
            </w:r>
          </w:p>
        </w:tc>
        <w:tc>
          <w:tcPr>
            <w:tcW w:w="120" w:type="dxa"/>
            <w:vAlign w:val="bottom"/>
            <w:shd w:val="clear" w:color="auto" w:fill="CFF0FC"/>
          </w:tcPr>
          <w:p>
            <w:pPr>
              <w:spacing w:after="0"/>
              <w:rPr>
                <w:sz w:val="20"/>
                <w:szCs w:val="20"/>
                <w:color w:val="auto"/>
              </w:rPr>
            </w:pPr>
          </w:p>
        </w:tc>
      </w:tr>
      <w:tr>
        <w:trPr>
          <w:trHeight w:val="237"/>
        </w:trPr>
        <w:tc>
          <w:tcPr>
            <w:tcW w:w="7860" w:type="dxa"/>
            <w:vAlign w:val="bottom"/>
          </w:tcPr>
          <w:p>
            <w:pPr>
              <w:ind w:left="100"/>
              <w:spacing w:after="0"/>
              <w:rPr>
                <w:sz w:val="20"/>
                <w:szCs w:val="20"/>
                <w:color w:val="auto"/>
              </w:rPr>
            </w:pPr>
            <w:r>
              <w:rPr>
                <w:rFonts w:ascii="Arial" w:cs="Arial" w:eastAsia="Arial" w:hAnsi="Arial"/>
                <w:sz w:val="18"/>
                <w:szCs w:val="18"/>
                <w:color w:val="auto"/>
              </w:rPr>
              <w:t>Proceeds from milestone payments, net of transaction costs</w:t>
            </w:r>
          </w:p>
        </w:tc>
        <w:tc>
          <w:tcPr>
            <w:tcW w:w="5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9,500</w:t>
            </w:r>
          </w:p>
        </w:tc>
        <w:tc>
          <w:tcPr>
            <w:tcW w:w="120" w:type="dxa"/>
            <w:vAlign w:val="bottom"/>
          </w:tcPr>
          <w:p>
            <w:pPr>
              <w:spacing w:after="0"/>
              <w:rPr>
                <w:sz w:val="20"/>
                <w:szCs w:val="20"/>
                <w:color w:val="auto"/>
              </w:rPr>
            </w:pPr>
          </w:p>
        </w:tc>
      </w:tr>
      <w:tr>
        <w:trPr>
          <w:trHeight w:val="249"/>
        </w:trPr>
        <w:tc>
          <w:tcPr>
            <w:tcW w:w="78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Non-cash interest expense</w:t>
            </w:r>
          </w:p>
        </w:tc>
        <w:tc>
          <w:tcPr>
            <w:tcW w:w="5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w:t>
            </w:r>
          </w:p>
        </w:tc>
        <w:tc>
          <w:tcPr>
            <w:tcW w:w="120" w:type="dxa"/>
            <w:vAlign w:val="bottom"/>
            <w:shd w:val="clear" w:color="auto" w:fill="CFF0FC"/>
          </w:tcPr>
          <w:p>
            <w:pPr>
              <w:spacing w:after="0"/>
              <w:rPr>
                <w:sz w:val="21"/>
                <w:szCs w:val="21"/>
                <w:color w:val="auto"/>
              </w:rPr>
            </w:pPr>
          </w:p>
        </w:tc>
      </w:tr>
      <w:tr>
        <w:trPr>
          <w:trHeight w:val="237"/>
        </w:trPr>
        <w:tc>
          <w:tcPr>
            <w:tcW w:w="7860" w:type="dxa"/>
            <w:vAlign w:val="bottom"/>
          </w:tcPr>
          <w:p>
            <w:pPr>
              <w:ind w:left="100"/>
              <w:spacing w:after="0"/>
              <w:rPr>
                <w:sz w:val="20"/>
                <w:szCs w:val="20"/>
                <w:color w:val="auto"/>
              </w:rPr>
            </w:pPr>
            <w:r>
              <w:rPr>
                <w:rFonts w:ascii="Arial" w:cs="Arial" w:eastAsia="Arial" w:hAnsi="Arial"/>
                <w:sz w:val="18"/>
                <w:szCs w:val="18"/>
                <w:color w:val="auto"/>
              </w:rPr>
              <w:t>RUXIENCE royalties paid by Pfizer to HCR</w:t>
            </w:r>
          </w:p>
        </w:tc>
        <w:tc>
          <w:tcPr>
            <w:tcW w:w="500" w:type="dxa"/>
            <w:vAlign w:val="bottom"/>
          </w:tcPr>
          <w:p>
            <w:pPr>
              <w:spacing w:after="0"/>
              <w:rPr>
                <w:sz w:val="20"/>
                <w:szCs w:val="20"/>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(6,779 )</w:t>
            </w:r>
          </w:p>
        </w:tc>
      </w:tr>
      <w:tr>
        <w:trPr>
          <w:trHeight w:val="243"/>
        </w:trPr>
        <w:tc>
          <w:tcPr>
            <w:tcW w:w="78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Gain from extinguishment of liability related to sale of royalties</w:t>
            </w:r>
          </w:p>
        </w:tc>
        <w:tc>
          <w:tcPr>
            <w:tcW w:w="5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(37,182 )</w:t>
            </w:r>
          </w:p>
        </w:tc>
      </w:tr>
      <w:tr>
        <w:trPr>
          <w:trHeight w:val="237"/>
        </w:trPr>
        <w:tc>
          <w:tcPr>
            <w:tcW w:w="78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Liability related to sale of royalties, ending balance</w:t>
            </w:r>
          </w:p>
        </w:tc>
        <w:tc>
          <w:tcPr>
            <w:tcW w:w="5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non-cash interest expense through the date of the Amendment to Royalty Purchase Agreement.</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9. Leases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Office Space Lease - Operating</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have an operating lease related to our office and laboratory space in Seattle, Washington. This lease was amended in March 2019 to extend the term through April 2030 and provide two options to extend the lease term, each by five years, as well as a one-time option to terminate the lease in April 2023, with nine months’ notice, or by July 2022. We had previously determined we should not include any periods after the termination option when evaluating this amendment as we were not reasonably certain to not exercise the option, therefore we recorded our liability through April 30, 2023.</w:t>
      </w:r>
    </w:p>
    <w:p>
      <w:pPr>
        <w:spacing w:after="0" w:line="4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On May 26, 2022, we amended our office and laboratory lease to remove the one-time termination option. In exchange for removing the termination option, we received six months of free rent. As a result, we recorded an additional $4.4 million of lease liability and right-of-use asset on the consolidated balance sheet on the date of the amendment. As of June 30, 2023, we are not reasonably certain to exercise the two options to extend the lease term. Therefore, pursuant to our May 26, 2022 amendment, we recorded our lease liability through April 30, 2030.</w:t>
      </w:r>
    </w:p>
    <w:p>
      <w:pPr>
        <w:spacing w:after="0" w:line="6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the three and six months ended June 30, 2023 and 2022, we recorded $0.2 million and $0.4 million, respectively, related to variable lease expense.</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Components of lease expense:</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w w:val="98"/>
              </w:rPr>
              <w:t>For the Six Months Ended June 30,</w:t>
            </w:r>
          </w:p>
        </w:tc>
        <w:tc>
          <w:tcPr>
            <w:tcW w:w="120" w:type="dxa"/>
            <w:vAlign w:val="bottom"/>
          </w:tcPr>
          <w:p>
            <w:pPr>
              <w:spacing w:after="0"/>
              <w:rPr>
                <w:sz w:val="16"/>
                <w:szCs w:val="16"/>
                <w:color w:val="auto"/>
              </w:rPr>
            </w:pPr>
          </w:p>
        </w:tc>
      </w:tr>
      <w:tr>
        <w:trPr>
          <w:trHeight w:val="169"/>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4"/>
                <w:szCs w:val="14"/>
                <w:color w:val="auto"/>
              </w:rPr>
            </w:pPr>
          </w:p>
        </w:tc>
        <w:tc>
          <w:tcPr>
            <w:tcW w:w="13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0"/>
        </w:trPr>
        <w:tc>
          <w:tcPr>
            <w:tcW w:w="352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319</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3660" w:type="dxa"/>
            <w:vAlign w:val="bottom"/>
            <w:gridSpan w:val="2"/>
          </w:tcPr>
          <w:p>
            <w:pPr>
              <w:spacing w:after="0"/>
              <w:rPr>
                <w:sz w:val="20"/>
                <w:szCs w:val="20"/>
                <w:color w:val="auto"/>
              </w:rPr>
            </w:pPr>
            <w:r>
              <w:rPr>
                <w:rFonts w:ascii="Arial" w:cs="Arial" w:eastAsia="Arial" w:hAnsi="Arial"/>
                <w:sz w:val="18"/>
                <w:szCs w:val="18"/>
                <w:color w:val="auto"/>
              </w:rPr>
              <w:t>Total lease cost</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297</w:t>
            </w:r>
          </w:p>
        </w:tc>
        <w:tc>
          <w:tcPr>
            <w:tcW w:w="134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319</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594</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0"/>
                <w:szCs w:val="20"/>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-187960</wp:posOffset>
            </wp:positionV>
            <wp:extent cx="7747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-187960</wp:posOffset>
            </wp:positionV>
            <wp:extent cx="76835"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-187960</wp:posOffset>
            </wp:positionV>
            <wp:extent cx="7747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Right of use assets acquired under operating leases: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center"/>
              <w:ind w:left="442"/>
              <w:spacing w:after="0"/>
              <w:rPr>
                <w:sz w:val="20"/>
                <w:szCs w:val="20"/>
                <w:color w:val="auto"/>
              </w:rPr>
            </w:pPr>
            <w:r>
              <w:rPr>
                <w:rFonts w:ascii="Arial" w:cs="Arial" w:eastAsia="Arial" w:hAnsi="Arial"/>
                <w:sz w:val="14"/>
                <w:szCs w:val="14"/>
                <w:b w:val="1"/>
                <w:bCs w:val="1"/>
                <w:color w:val="auto"/>
                <w:w w:val="90"/>
              </w:rPr>
              <w:t>As of June 30,</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jc w:val="center"/>
              <w:ind w:left="359"/>
              <w:spacing w:after="0"/>
              <w:rPr>
                <w:sz w:val="20"/>
                <w:szCs w:val="20"/>
                <w:color w:val="auto"/>
              </w:rPr>
            </w:pPr>
            <w:r>
              <w:rPr>
                <w:rFonts w:ascii="Arial" w:cs="Arial" w:eastAsia="Arial" w:hAnsi="Arial"/>
                <w:sz w:val="14"/>
                <w:szCs w:val="14"/>
                <w:b w:val="1"/>
                <w:bCs w:val="1"/>
                <w:color w:val="auto"/>
                <w:w w:val="90"/>
              </w:rPr>
              <w:t>As of December 31,</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60" w:type="dxa"/>
            <w:vAlign w:val="bottom"/>
            <w:gridSpan w:val="3"/>
          </w:tcPr>
          <w:p>
            <w:pPr>
              <w:jc w:val="center"/>
              <w:ind w:left="1919"/>
              <w:spacing w:after="0"/>
              <w:rPr>
                <w:sz w:val="20"/>
                <w:szCs w:val="20"/>
                <w:color w:val="auto"/>
              </w:rPr>
            </w:pPr>
            <w:r>
              <w:rPr>
                <w:rFonts w:ascii="Arial" w:cs="Arial" w:eastAsia="Arial" w:hAnsi="Arial"/>
                <w:sz w:val="14"/>
                <w:szCs w:val="14"/>
                <w:b w:val="1"/>
                <w:bCs w:val="1"/>
                <w:color w:val="auto"/>
                <w:w w:val="96"/>
              </w:rPr>
              <w:t>2023</w:t>
            </w:r>
          </w:p>
        </w:tc>
        <w:tc>
          <w:tcPr>
            <w:tcW w:w="520" w:type="dxa"/>
            <w:vAlign w:val="bottom"/>
          </w:tcPr>
          <w:p>
            <w:pPr>
              <w:spacing w:after="0"/>
              <w:rPr>
                <w:sz w:val="16"/>
                <w:szCs w:val="16"/>
                <w:color w:val="auto"/>
              </w:rPr>
            </w:pPr>
          </w:p>
        </w:tc>
        <w:tc>
          <w:tcPr>
            <w:tcW w:w="1980" w:type="dxa"/>
            <w:vAlign w:val="bottom"/>
            <w:gridSpan w:val="2"/>
          </w:tcPr>
          <w:p>
            <w:pPr>
              <w:jc w:val="center"/>
              <w:ind w:left="682"/>
              <w:spacing w:after="0"/>
              <w:rPr>
                <w:sz w:val="20"/>
                <w:szCs w:val="20"/>
                <w:color w:val="auto"/>
              </w:rPr>
            </w:pPr>
            <w:r>
              <w:rPr>
                <w:rFonts w:ascii="Arial" w:cs="Arial" w:eastAsia="Arial" w:hAnsi="Arial"/>
                <w:sz w:val="14"/>
                <w:szCs w:val="14"/>
                <w:b w:val="1"/>
                <w:bCs w:val="1"/>
                <w:color w:val="auto"/>
                <w:w w:val="96"/>
              </w:rPr>
              <w:t>2022</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8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Seattle office lease, including amendment</w:t>
            </w:r>
          </w:p>
        </w:tc>
        <w:tc>
          <w:tcPr>
            <w:tcW w:w="1280" w:type="dxa"/>
            <w:vAlign w:val="bottom"/>
            <w:tcBorders>
              <w:top w:val="single" w:sz="8" w:color="auto"/>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5,098</w:t>
            </w:r>
          </w:p>
        </w:tc>
        <w:tc>
          <w:tcPr>
            <w:tcW w:w="32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5,303</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operating leases</w:t>
            </w:r>
          </w:p>
        </w:tc>
        <w:tc>
          <w:tcPr>
            <w:tcW w:w="3060" w:type="dxa"/>
            <w:vAlign w:val="bottom"/>
            <w:gridSpan w:val="3"/>
          </w:tcPr>
          <w:p>
            <w:pPr>
              <w:jc w:val="right"/>
              <w:ind w:right="140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5,098</w:t>
            </w:r>
          </w:p>
        </w:tc>
        <w:tc>
          <w:tcPr>
            <w:tcW w:w="1980" w:type="dxa"/>
            <w:vAlign w:val="bottom"/>
            <w:gridSpan w:val="2"/>
          </w:tcPr>
          <w:p>
            <w:pPr>
              <w:jc w:val="right"/>
              <w:ind w:right="147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5,303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ind w:left="520"/>
              <w:spacing w:after="0"/>
              <w:rPr>
                <w:sz w:val="20"/>
                <w:szCs w:val="20"/>
                <w:color w:val="auto"/>
              </w:rPr>
            </w:pPr>
            <w:r>
              <w:rPr>
                <w:rFonts w:ascii="Arial" w:cs="Arial" w:eastAsia="Arial" w:hAnsi="Arial"/>
                <w:sz w:val="18"/>
                <w:szCs w:val="18"/>
                <w:b w:val="1"/>
                <w:bCs w:val="1"/>
                <w:i w:val="1"/>
                <w:iCs w:val="1"/>
                <w:color w:val="auto"/>
              </w:rPr>
              <w:t>Lease payments:</w:t>
            </w: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56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For the Six Months Ended June 30,</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39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60" w:type="dxa"/>
            <w:vAlign w:val="bottom"/>
            <w:gridSpan w:val="3"/>
          </w:tcPr>
          <w:p>
            <w:pPr>
              <w:jc w:val="center"/>
              <w:ind w:left="1919"/>
              <w:spacing w:after="0"/>
              <w:rPr>
                <w:sz w:val="20"/>
                <w:szCs w:val="20"/>
                <w:color w:val="auto"/>
              </w:rPr>
            </w:pPr>
            <w:r>
              <w:rPr>
                <w:rFonts w:ascii="Arial" w:cs="Arial" w:eastAsia="Arial" w:hAnsi="Arial"/>
                <w:sz w:val="14"/>
                <w:szCs w:val="14"/>
                <w:b w:val="1"/>
                <w:bCs w:val="1"/>
                <w:color w:val="auto"/>
                <w:w w:val="96"/>
              </w:rPr>
              <w:t>2023</w:t>
            </w:r>
          </w:p>
        </w:tc>
        <w:tc>
          <w:tcPr>
            <w:tcW w:w="520" w:type="dxa"/>
            <w:vAlign w:val="bottom"/>
          </w:tcPr>
          <w:p>
            <w:pPr>
              <w:spacing w:after="0"/>
              <w:rPr>
                <w:sz w:val="15"/>
                <w:szCs w:val="15"/>
                <w:color w:val="auto"/>
              </w:rPr>
            </w:pPr>
          </w:p>
        </w:tc>
        <w:tc>
          <w:tcPr>
            <w:tcW w:w="1980" w:type="dxa"/>
            <w:vAlign w:val="bottom"/>
            <w:gridSpan w:val="2"/>
          </w:tcPr>
          <w:p>
            <w:pPr>
              <w:jc w:val="center"/>
              <w:ind w:left="682"/>
              <w:spacing w:after="0"/>
              <w:rPr>
                <w:sz w:val="20"/>
                <w:szCs w:val="20"/>
                <w:color w:val="auto"/>
              </w:rPr>
            </w:pPr>
            <w:r>
              <w:rPr>
                <w:rFonts w:ascii="Arial" w:cs="Arial" w:eastAsia="Arial" w:hAnsi="Arial"/>
                <w:sz w:val="14"/>
                <w:szCs w:val="14"/>
                <w:b w:val="1"/>
                <w:bCs w:val="1"/>
                <w:color w:val="auto"/>
                <w:w w:val="96"/>
              </w:rPr>
              <w:t>2022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 operating leases</w:t>
            </w:r>
          </w:p>
        </w:tc>
        <w:tc>
          <w:tcPr>
            <w:tcW w:w="12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ind w:right="140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ind w:right="147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-1533525</wp:posOffset>
            </wp:positionV>
            <wp:extent cx="7747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-1533525</wp:posOffset>
            </wp:positionV>
            <wp:extent cx="7747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jc w:val="both"/>
        <w:ind w:firstLine="509"/>
        <w:spacing w:after="0" w:line="277" w:lineRule="auto"/>
        <w:rPr>
          <w:sz w:val="20"/>
          <w:szCs w:val="20"/>
          <w:color w:val="auto"/>
        </w:rPr>
      </w:pPr>
      <w:r>
        <w:rPr>
          <w:rFonts w:ascii="Arial" w:cs="Arial" w:eastAsia="Arial" w:hAnsi="Arial"/>
          <w:sz w:val="18"/>
          <w:szCs w:val="18"/>
          <w:color w:val="auto"/>
        </w:rPr>
        <w:t>As of June 30, 2023, the long-term and current portion of the lease liabilities is $5.7 million and $0.6 million, respectively. As of June 30, 2022, the long-term and current portion of the lease liabilities were $6.4 million and $0.03 million.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June 30, 2023, the weighted-average remaining lease term and weighted-average discount rate for operating leases was 6.84 years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12.03%. As of June 30, 2022, the weighted-average remaining lease term and weighted-average discount rate for operating leases was 7.83 years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12.03%.</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10. Net Income (Loss) per Share</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Basic net income (loss) per share is calculated by dividing the net income (loss) by the weighted-average number of common shares outstanding for the period. Diluted net income (loss) per share is computed by dividing the net income (loss) by the weighted-average number of common share equivalents outstanding for the period using the as-if converted method. For the purpose of this calculation, warrants, stock options and restricted stock units ("RSUs") are only included in the calculation of diluted net income (loss) per share when their effect is dilutive.</w:t>
      </w:r>
    </w:p>
    <w:p>
      <w:pPr>
        <w:spacing w:after="0" w:line="6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utilize the control number concept in the computation of diluted earnings per share to determine whether potential common stock instruments are dilutive. The control number used is income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equivalents include warrants, stock options and unvested RSUs.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computation of basic and diluted net (loss) income per share (in thousands, except share and per share amounts):</w:t>
      </w:r>
    </w:p>
    <w:p>
      <w:pPr>
        <w:spacing w:after="0" w:line="26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62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3"/>
              </w:rPr>
              <w:t>For the Three Months Ended June</w:t>
            </w:r>
          </w:p>
        </w:tc>
        <w:tc>
          <w:tcPr>
            <w:tcW w:w="232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w w:val="95"/>
              </w:rPr>
              <w:t>For the Six Months Ended June 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from continuing operations</w:t>
            </w: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(7,948</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27,861</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(6,121</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946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28,010</w:t>
            </w:r>
          </w:p>
        </w:tc>
        <w:tc>
          <w:tcPr>
            <w:tcW w:w="2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(5,175</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20,313</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income per share from continuing</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gridSpan w:val="4"/>
          </w:tcPr>
          <w:p>
            <w:pPr>
              <w:jc w:val="right"/>
              <w:ind w:right="121"/>
              <w:spacing w:after="0"/>
              <w:rPr>
                <w:sz w:val="20"/>
                <w:szCs w:val="20"/>
                <w:color w:val="auto"/>
              </w:rPr>
            </w:pPr>
            <w:r>
              <w:rPr>
                <w:rFonts w:ascii="Arial" w:cs="Arial" w:eastAsia="Arial" w:hAnsi="Arial"/>
                <w:sz w:val="18"/>
                <w:szCs w:val="18"/>
                <w:color w:val="auto"/>
              </w:rPr>
              <w:t>(0.85 )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(0.85</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Basic and diluted net income per share from discontinued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0.13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0.13</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income per share:</w:t>
            </w:r>
          </w:p>
        </w:tc>
        <w:tc>
          <w:tcPr>
            <w:tcW w:w="20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gridSpan w:val="4"/>
          </w:tcPr>
          <w:p>
            <w:pPr>
              <w:jc w:val="right"/>
              <w:ind w:right="121"/>
              <w:spacing w:after="0"/>
              <w:rPr>
                <w:sz w:val="20"/>
                <w:szCs w:val="20"/>
                <w:color w:val="auto"/>
              </w:rPr>
            </w:pPr>
            <w:r>
              <w:rPr>
                <w:rFonts w:ascii="Arial" w:cs="Arial" w:eastAsia="Arial" w:hAnsi="Arial"/>
                <w:sz w:val="18"/>
                <w:szCs w:val="18"/>
                <w:color w:val="auto"/>
              </w:rPr>
              <w:t>(0.72 )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5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(0.72</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Shares used in calculation:</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6,482,158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5,023,321</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9"/>
              </w:rPr>
              <w:t>7,190,701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4,980,625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6,482,158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9"/>
              </w:rPr>
              <w:t>5,023,321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7,190,701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4,980,970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100" w:type="dxa"/>
            <w:vAlign w:val="bottom"/>
            <w:gridSpan w:val="2"/>
          </w:tcPr>
          <w:p>
            <w:pPr>
              <w:spacing w:after="0"/>
              <w:rPr>
                <w:sz w:val="20"/>
                <w:szCs w:val="20"/>
                <w:color w:val="auto"/>
              </w:rPr>
            </w:pPr>
            <w:r>
              <w:rPr>
                <w:rFonts w:ascii="Arial" w:cs="Arial" w:eastAsia="Arial" w:hAnsi="Arial"/>
                <w:sz w:val="18"/>
                <w:szCs w:val="18"/>
                <w:color w:val="auto"/>
              </w:rPr>
              <w:t>The following table represents all potentially dilutive shares: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As of June 30,</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6"/>
              </w:rPr>
              <w:t>351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Outstanding options to purchase common stock</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w w:val="86"/>
              </w:rPr>
              <w:t>467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Unvested RSUs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6"/>
              </w:rPr>
              <w:t>340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-3540125</wp:posOffset>
            </wp:positionV>
            <wp:extent cx="2554605"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54605" cy="18034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-2750820</wp:posOffset>
            </wp:positionV>
            <wp:extent cx="85725" cy="3003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-2750820</wp:posOffset>
            </wp:positionV>
            <wp:extent cx="77470" cy="300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-2750820</wp:posOffset>
            </wp:positionV>
            <wp:extent cx="76835" cy="3003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-2750820</wp:posOffset>
            </wp:positionV>
            <wp:extent cx="77470" cy="300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-2296795</wp:posOffset>
            </wp:positionV>
            <wp:extent cx="8572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-2296795</wp:posOffset>
            </wp:positionV>
            <wp:extent cx="7747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-2296795</wp:posOffset>
            </wp:positionV>
            <wp:extent cx="7683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-2296795</wp:posOffset>
            </wp:positionV>
            <wp:extent cx="7747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-1636395</wp:posOffset>
            </wp:positionV>
            <wp:extent cx="2554605"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54605" cy="17970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use the treasury stock method when determining dilutive shares. For the three months ended June 30, 2023, the Company was in a net loss position, therefore the share number used to calculate diluted earnings per share is the same as the basic earnings per share. As of June 30, 2022, we determined RSUs were the only dilutive shares, therefore included in the diluted earnings per share calculation.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color w:val="auto"/>
        </w:rPr>
        <w:t>Note 11.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3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On December 14, 2020, we entered into an Equity Distribution Agreement with Piper Sandler (the "Equity Distribution Agreement"). The Equity Distribution Agreement provides that, upon the terms and subject to the conditions set forth therein, we may issue and sell through Piper Sandler, acting as sales agent, shares of our common stock, $0.001 par value per share having an aggregate offering price of up to $50.0 million. This offering supersedes and replaces the program we commenced in December 2017. We have no obligation to sell any such shares under the Equity Distribution Agreement. The shares of common stock by Piper Sandler will be sold pursuant to a Registration Statement on Form S-3 which we filed on December 14, 2020. In the six months ended June 30, 2023, the Company issued 730,913 shares of common stock at an average price of $2.26 under the Equity Distribution Agreement. We received $1.6 million in proceeds from the issuance of these shares. In the six months ended June 30, 2022, the Company issued 78,285 shares of common stock at an average price of $5.75 under the Equity Distribution Agreement. We received $0.4 million in proceeds from the issuance of these shares.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Lincoln Park Purchase Agreement</w:t>
      </w:r>
    </w:p>
    <w:p>
      <w:pPr>
        <w:spacing w:after="0" w:line="117"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On February 16, 2022, we entered into a Purchase Agreement ("2022 Purchase Agreement") and a Registration Rights Agreement with Lincoln Park (the "Registration Rights Agreement"). The 2022 Purchase Agreement and Registration Rights Agreement replaced our 2018 Purchase Agreement and Registration Rights Agreement with Lincoln Park. Under the 2022 Purchase Agreement, Lincoln Park committed to purchase up to $35.0 million of our common stock over a 36-month period commencing after the satisfaction of certain conditions, which are within our control, as set forth in the 2022 Purchase Agreement. The purchase price per share will be based on prevailing market prices; provided, however, that the prevailing market price is not below $1.00. We agreed to and issued 99,276 shares of our common stock to Lincoln Park for no cash consideration as an initial fee for its commitment to purchase shares of our common stock under the 2022 Purchase Agreement. For the six months ended June 30, 2023, we issued 300,000 shares of our common stock to Lincoln Park under the 2022 Purchase Agreement and we received $0.5 million in proceeds from issuance of these shares. We did not issue any shares of our common stock for cash consideration to Lincoln Park under the 2022 Purchase Agreement in the six months ended June 30, 2022.</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Rights Plan</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On November 8, 2020, our Board of Directors (the "Board") approved and adopted a Rights Agreement (the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One Right also will be issued together with each Common Share issued by the Company after November 23, 2020, but before the Distribution Date (as defined below) (or the earlier redemption or expiration of the Rights) and, in certain circumstances, after the Distribution Date. When exercisable, each Right initially would represent the right to purchase from the Company one one-thousandth of a share of a newly-designated series of preferred stock, Series A Junior Participating Preferred Stock, par value $0.001 per share, of the Company, at an exercise price of $400.00 per one one-thousandth of a Series A Junior Participating Preferred Share, subject to adjustment. Subject to various exceptions, the Rights become exercisable in the event any person (excluding certain exempted or grandfathered persons) becomes the beneficial owner of ten percent (10%) or more of the Company’s common stock without the approval of the Board. The Rights Agreement was amended on November 4, 2021 to extend the expiration date of such agreement from November 8, 2021 to November 5, 2022 and further amended on November 4, 2022 to extend the expiration of such agreement to November 4, 2023.</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0.2 million shares of Aptevo common stock have been authorized for issuance under the 2016 SIP in the form of equity stock options.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2018 Stock Incentive Plan</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On June 1, 2018, at the 2018 Annual Meeting of the Stockholders, the Company’s stockholders approved a new 2018 Stock Incentive Plan (the "2018 SIP"), which replaced the Restated 2016 Plan on a go-forward basis. All stock options, RSUs or other equity awards granted subsequent to June 1, 2018 have been and will be issued out of the 2018 SIP, which has 0.3 million shares of Aptevo common stock authorized for issuance. The 2018 Plan became effective immediately upon stockholder approval at the 2018 Annual Meeting of the Stockholders.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0.3 million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509"/>
        <w:spacing w:after="0" w:line="263" w:lineRule="auto"/>
        <w:rPr>
          <w:sz w:val="20"/>
          <w:szCs w:val="20"/>
          <w:color w:val="auto"/>
        </w:rPr>
      </w:pPr>
      <w:r>
        <w:rPr>
          <w:rFonts w:ascii="Arial" w:cs="Arial" w:eastAsia="Arial" w:hAnsi="Arial"/>
          <w:sz w:val="18"/>
          <w:szCs w:val="18"/>
          <w:color w:val="auto"/>
        </w:rPr>
        <w:t>On June 7, 2022, at the 2022 Annual Meeting of Stockholders, our stockholders approved the Amended and Restated 2018 SIP to increase the number of shares authorized for issuance under the 2018 SIP by 500,000 shares of common stock. As of June 30, 2023, there are approximately 0.1 million shares available to be granted under the 2018 SIP.</w:t>
      </w:r>
    </w:p>
    <w:p>
      <w:pPr>
        <w:spacing w:after="0" w:line="7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Stock options and RSUs under the Amended and Restated 2018 SIP generally vest pro rata over a one-year or three-year period. Stock options terminate ten years from the grant date, though the specific terms of each grant are determined individually. The Company’s executive officers, members of our board of directors, and certain other employees and consultants may be awarded options and/or RSUs with different vesting criteria, and awards granted to non-employee directors will vest over a one-year period. Option exercise and RSU grant prices for new awards granted by the Company equal the closing price of the Company’s common stock on the Nasdaq Capital Market on the date of grant.</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non-employees and has been reported in our unaudited condensed consolidated statements of operations as follows: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Three Months Ended June</w:t>
            </w:r>
          </w:p>
        </w:tc>
        <w:tc>
          <w:tcPr>
            <w:tcW w:w="260" w:type="dxa"/>
            <w:vAlign w:val="bottom"/>
          </w:tcPr>
          <w:p>
            <w:pPr>
              <w:spacing w:after="0"/>
              <w:rPr>
                <w:sz w:val="14"/>
                <w:szCs w:val="14"/>
                <w:color w:val="auto"/>
              </w:rPr>
            </w:pPr>
          </w:p>
        </w:tc>
        <w:tc>
          <w:tcPr>
            <w:tcW w:w="23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6"/>
              </w:rPr>
              <w:t>For the Six Months Ended June 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0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-25400</wp:posOffset>
            </wp:positionV>
            <wp:extent cx="85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768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 All assumptions used to calculate the grant date fair value of non-employee equity awards are generally consistent with the assumptions used for equity awards granted to employees. In the event the Company terminates any of its consulting agreements, the unvested equity underlying the agreements would also be forfeited.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For the Three Months Ended June 30,</w:t>
            </w:r>
          </w:p>
        </w:tc>
        <w:tc>
          <w:tcPr>
            <w:tcW w:w="240" w:type="dxa"/>
            <w:vAlign w:val="bottom"/>
          </w:tcPr>
          <w:p>
            <w:pPr>
              <w:spacing w:after="0"/>
              <w:rPr>
                <w:sz w:val="16"/>
                <w:szCs w:val="16"/>
                <w:color w:val="auto"/>
              </w:rPr>
            </w:pPr>
          </w:p>
        </w:tc>
        <w:tc>
          <w:tcPr>
            <w:tcW w:w="24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7"/>
              </w:rPr>
              <w:t>For the Six Months Ended June 30,</w:t>
            </w:r>
          </w:p>
        </w:tc>
        <w:tc>
          <w:tcPr>
            <w:tcW w:w="120" w:type="dxa"/>
            <w:vAlign w:val="bottom"/>
          </w:tcPr>
          <w:p>
            <w:pPr>
              <w:spacing w:after="0"/>
              <w:rPr>
                <w:sz w:val="16"/>
                <w:szCs w:val="16"/>
                <w:color w:val="auto"/>
              </w:rPr>
            </w:pPr>
          </w:p>
        </w:tc>
      </w:tr>
      <w:tr>
        <w:trPr>
          <w:trHeight w:val="169"/>
        </w:trPr>
        <w:tc>
          <w:tcPr>
            <w:tcW w:w="49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13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2023</w:t>
            </w:r>
          </w:p>
        </w:tc>
        <w:tc>
          <w:tcPr>
            <w:tcW w:w="134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r>
      <w:tr>
        <w:trPr>
          <w:trHeight w:val="23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7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r>
      <w:tr>
        <w:trPr>
          <w:trHeight w:val="237"/>
        </w:trPr>
        <w:tc>
          <w:tcPr>
            <w:tcW w:w="57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103.63%</w:t>
            </w:r>
          </w:p>
        </w:tc>
        <w:tc>
          <w:tcPr>
            <w:tcW w:w="1340" w:type="dxa"/>
            <w:vAlign w:val="bottom"/>
            <w:gridSpan w:val="2"/>
          </w:tcPr>
          <w:p>
            <w:pPr>
              <w:jc w:val="center"/>
              <w:ind w:left="156"/>
              <w:spacing w:after="0"/>
              <w:rPr>
                <w:sz w:val="20"/>
                <w:szCs w:val="20"/>
                <w:color w:val="auto"/>
              </w:rPr>
            </w:pPr>
            <w:r>
              <w:rPr>
                <w:rFonts w:ascii="Arial" w:cs="Arial" w:eastAsia="Arial" w:hAnsi="Arial"/>
                <w:sz w:val="18"/>
                <w:szCs w:val="18"/>
                <w:color w:val="auto"/>
                <w:w w:val="92"/>
              </w:rPr>
              <w:t>106.30%</w:t>
            </w:r>
          </w:p>
        </w:tc>
        <w:tc>
          <w:tcPr>
            <w:tcW w:w="120" w:type="dxa"/>
            <w:vAlign w:val="bottom"/>
          </w:tcPr>
          <w:p>
            <w:pPr>
              <w:spacing w:after="0"/>
              <w:rPr>
                <w:sz w:val="20"/>
                <w:szCs w:val="20"/>
                <w:color w:val="auto"/>
              </w:rPr>
            </w:pPr>
          </w:p>
        </w:tc>
      </w:tr>
      <w:tr>
        <w:trPr>
          <w:trHeight w:val="24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0"/>
              </w:rPr>
              <w:t>4.18%</w:t>
            </w:r>
          </w:p>
        </w:tc>
        <w:tc>
          <w:tcPr>
            <w:tcW w:w="1340" w:type="dxa"/>
            <w:vAlign w:val="bottom"/>
            <w:gridSpan w:val="2"/>
            <w:shd w:val="clear" w:color="auto" w:fill="CFF0FC"/>
          </w:tcPr>
          <w:p>
            <w:pPr>
              <w:jc w:val="center"/>
              <w:ind w:left="156"/>
              <w:spacing w:after="0"/>
              <w:rPr>
                <w:sz w:val="20"/>
                <w:szCs w:val="20"/>
                <w:color w:val="auto"/>
              </w:rPr>
            </w:pPr>
            <w:r>
              <w:rPr>
                <w:rFonts w:ascii="Arial" w:cs="Arial" w:eastAsia="Arial" w:hAnsi="Arial"/>
                <w:sz w:val="18"/>
                <w:szCs w:val="18"/>
                <w:color w:val="auto"/>
                <w:w w:val="90"/>
              </w:rPr>
              <w:t>1.60%</w:t>
            </w:r>
          </w:p>
        </w:tc>
        <w:tc>
          <w:tcPr>
            <w:tcW w:w="120" w:type="dxa"/>
            <w:vAlign w:val="bottom"/>
            <w:shd w:val="clear" w:color="auto" w:fill="CFF0FC"/>
          </w:tcPr>
          <w:p>
            <w:pPr>
              <w:spacing w:after="0"/>
              <w:rPr>
                <w:sz w:val="21"/>
                <w:szCs w:val="2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Expected average life of options</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5 years</w:t>
            </w:r>
          </w:p>
        </w:tc>
        <w:tc>
          <w:tcPr>
            <w:tcW w:w="260" w:type="dxa"/>
            <w:vAlign w:val="bottom"/>
          </w:tcPr>
          <w:p>
            <w:pPr>
              <w:spacing w:after="0"/>
              <w:rPr>
                <w:sz w:val="20"/>
                <w:szCs w:val="20"/>
                <w:color w:val="auto"/>
              </w:rPr>
            </w:pPr>
          </w:p>
        </w:tc>
        <w:tc>
          <w:tcPr>
            <w:tcW w:w="1080" w:type="dxa"/>
            <w:vAlign w:val="bottom"/>
          </w:tcPr>
          <w:p>
            <w:pPr>
              <w:ind w:left="280"/>
              <w:spacing w:after="0"/>
              <w:rPr>
                <w:sz w:val="20"/>
                <w:szCs w:val="20"/>
                <w:color w:val="auto"/>
              </w:rPr>
            </w:pPr>
            <w:r>
              <w:rPr>
                <w:rFonts w:ascii="Arial" w:cs="Arial" w:eastAsia="Arial" w:hAnsi="Arial"/>
                <w:sz w:val="18"/>
                <w:szCs w:val="18"/>
                <w:color w:val="auto"/>
              </w:rPr>
              <w:t>5 years</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For the six months ended June 30, 2023, management has applied an estimated forfeiture rate of 30%. For the three and six months ended June 30, 2022, management has applied an estimated forfeiture rate of 31% and 30%, respectively. Expected volatility slightly decreased as our stock price fluctuated from a low of $1.34 to a high of $2.08 for the six months ended June 30, 2023, compared to a low of $3.26 to a high of $6.30 for the six months ended June 30, 2022.</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option activity for the six months ended June 30,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Exercise Price</w:t>
            </w:r>
          </w:p>
        </w:tc>
        <w:tc>
          <w:tcPr>
            <w:tcW w:w="2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Term</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66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364,266</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4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103,965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200" w:type="dxa"/>
            <w:vAlign w:val="bottom"/>
            <w:gridSpan w:val="3"/>
          </w:tcPr>
          <w:p>
            <w:pPr>
              <w:jc w:val="right"/>
              <w:ind w:right="200"/>
              <w:spacing w:after="0"/>
              <w:rPr>
                <w:sz w:val="20"/>
                <w:szCs w:val="20"/>
                <w:color w:val="auto"/>
              </w:rPr>
            </w:pPr>
            <w:r>
              <w:rPr>
                <w:rFonts w:ascii="Arial" w:cs="Arial" w:eastAsia="Arial" w:hAnsi="Arial"/>
                <w:sz w:val="18"/>
                <w:szCs w:val="18"/>
                <w:color w:val="auto"/>
              </w:rPr>
              <w:t>(1,013 )</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27.45</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2023</w:t>
            </w:r>
          </w:p>
        </w:tc>
        <w:tc>
          <w:tcPr>
            <w:tcW w:w="16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467,218</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Exercisable at June 30, 2023</w:t>
            </w:r>
          </w:p>
        </w:tc>
        <w:tc>
          <w:tcPr>
            <w:tcW w:w="166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258,798</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24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June 30, 2023</w:t>
            </w:r>
          </w:p>
        </w:tc>
        <w:tc>
          <w:tcPr>
            <w:tcW w:w="166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397,969</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spacing w:after="0"/>
              <w:rPr>
                <w:sz w:val="22"/>
                <w:szCs w:val="2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24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5"/>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15</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-882015</wp:posOffset>
            </wp:positionV>
            <wp:extent cx="1962785"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62785" cy="20574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-522605</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-504825</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-522605</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-504825</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-522605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-504825</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jc w:val="both"/>
        <w:ind w:firstLine="509"/>
        <w:spacing w:after="0" w:line="301" w:lineRule="auto"/>
        <w:rPr>
          <w:sz w:val="20"/>
          <w:szCs w:val="20"/>
          <w:color w:val="auto"/>
        </w:rPr>
      </w:pPr>
      <w:r>
        <w:rPr>
          <w:rFonts w:ascii="Arial" w:cs="Arial" w:eastAsia="Arial" w:hAnsi="Arial"/>
          <w:sz w:val="16"/>
          <w:szCs w:val="16"/>
          <w:color w:val="auto"/>
        </w:rPr>
        <w:t>As of June 30, 2023, we had $1.2 million of unrecognized compensation expense related to options expected to vest over a weighted-average remaining vesting period of 1.1 years. The weighted-average grant date fair value per share of options granted during the six months ended June 30, 2023 and 2022 was $1.68 and $4.43, respectively. The aggregate intrinsic value of options exercised for the six months ended June 30, 2023 and 2022 was $0. The total fair value of stock options vested for the six months ended June 30, 2023 and 2022 was $1.1 million and $1.2 million, respectively.</w:t>
      </w:r>
    </w:p>
    <w:p>
      <w:pPr>
        <w:spacing w:after="0" w:line="4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aggregate intrinsic value is the total pretax intrinsic value (the difference between the closing stock price of Aptevo’s common stock on the last trading day of June 2023 and the exercise price, multiplied by the number of in the money options) that would have been received by the option holders had all the option holders exercised their options on the last trading day of the quarter.</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RSU activity for the six months ended June 30, 2023:</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7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80" w:type="dxa"/>
            <w:vAlign w:val="bottom"/>
          </w:tcPr>
          <w:p>
            <w:pPr>
              <w:spacing w:after="0"/>
              <w:rPr>
                <w:sz w:val="16"/>
                <w:szCs w:val="16"/>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6"/>
                <w:szCs w:val="16"/>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Value per Unit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223,775</w:t>
            </w:r>
          </w:p>
        </w:tc>
        <w:tc>
          <w:tcPr>
            <w:tcW w:w="3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168,168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(50,525 )</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(1,414 )</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and expected to vest at June 30, 2023</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340,004</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-25400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June 30, 2023, there was $1.3 million unrecognized stock-based compensation expense related to unvested RSUs expected to vest over the weighted-average period of 1.5 years.</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stock on the date of grant as quoted on the Nasdaq Capital Market.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Warrants</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 xml:space="preserve">In March 2019, as part of a public offering, we issued warrants to purchase up to 1,725,000 shares of our common stock, 1,571,429 of which have an exercise price of $18.20 per share and have a five-year life, and 153,571 of pre-funded warrants with an exercise price of $0.14 per share. The pre-funded warrants had a ten-year life and would have expired on March 11, 2029; however, all of the pre-funded warrants were exercised in March 2019. We determined the warrants do not meet liability classification pursuant to ASC 480 –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These are therefore included within equity on our unaudited condensed consolidated balance sheet. For the six months ended June 30, 2023 and 2022, the Company did not have any of its warrants exercised. As of June 30, 2023 and 2022, there were warrants to purchase 350,589 shares of common stock outstanding.</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12. Subsequent Events</w:t>
      </w:r>
    </w:p>
    <w:p>
      <w:pPr>
        <w:spacing w:after="0" w:line="12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On August 4, 2023, we completed a public offering related to the issuance and sale of 8,064,517 shares of our common stock (or pre-funded warrant in lieu thereof) at a purchase price of $0.62. We received $5 million in gross proceeds from issuance of these shares. Our net proceeds from the offering amounted to $4.5 million after placement agent and other fees. Additionally, we issued Series A Common Warrants to purchase up to an aggregate of 8,064,517 shares of common stock and Series B Common Warrants to purchase up to an aggregate of 8,064,517 shares of common stock. The Series A and Series B Common Warrants have an exercise price of $0.62 per share, are exercisable immediately following the date of issuance and will expire in August 2028 and February 2025, respectively. If the warrants are exercised, we may receive up to an additional $10 million in proceeds.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Section 27A of the Securities Act of 1933, as amended, and Section 21E of the Securities Exchange Act of 1934, as amended (the Exchange Act). All statements in this Quarterly Report on Form 10-Q other than statements of historical facts, including statements regarding our strategy, future operations, future financial position, future revenues, the achievement of milestones and receipt of future payments, projected costs, prospects, plans, intentions, expectations, clinical trial results, compliance with listing requirements, future macroeconomic conditions and objectives could be forward-looking statements. The words “anticipates,” “believes,” “could,” “designed,” “estimates,” “expects,” “goal,” “intends,” “may,” “plans,” “projects,” “should,” “will,” “would” and similar expressions (including the negatives thereof) are intended to identify forward-looking statements, although not all forward-looking statements contain these identifying words.</w:t>
      </w:r>
    </w:p>
    <w:p>
      <w:pPr>
        <w:spacing w:after="0" w:line="5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i w:val="1"/>
          <w:iCs w:val="1"/>
          <w:color w:val="auto"/>
        </w:rPr>
        <w:t>We have based these forward-looking statements largely on our current assumptions, expectations, projections, intentions, objectives and/or beliefs about future events or occurrences and these forward-looking statements are subject to a number of risks, uncertainties and assumptions, including, but not limited to, those described in Part II, Item 1A, “Risk Factors” in this Quarterly Report on Form 10-Q and our other filings with the Securities and Exchange Commission.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The timing of certain events and circumstances and known and unknown risks and uncertainties could cause actual results to differ materially from those anticipated or implied in the forward-looking statements that we make. Therefore, you should not place undue reliance on our forward-looking statements. Our forward-looking statements in this Quarterly Report on Form 10-Q are based on current information and we do not assume any obligation to update any forward-looking statements except as required by the federal securities laws.</w:t>
      </w:r>
    </w:p>
    <w:p>
      <w:pPr>
        <w:spacing w:after="0" w:line="73"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i w:val="1"/>
          <w:iCs w:val="1"/>
          <w:color w:val="auto"/>
        </w:rPr>
        <w:t>You should read the following Management’s Discussion and Analysis of Financial Condition and Results of Operations (this MD&amp;A) together with the unaudited condensed consolidated financial statements and the related notes thereto included in this Quarterly Report on Form 10-Q. This MD&amp;A contains forward-looking statements that are subject to risks and uncertainties, such as those set forth in the sections of this Quarterly Report on Form 10-Q, “Risk Factors” and elsewhere. As a result, our actual results may differ materially from those anticipated in these forward-looking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are a clinical-stage, research and development biotechnology company focused on developing novel immuno-oncology candidates for the treatment of different forms of cancer. We have developed two versatile and enabling platform technologies for rational design of precision immune modulatory drugs. Our clinical candidates, APVO436 and ALG.APV-527 (in collaboration with Alligator), and preclinical candidates, APVO603 and APVO711, were developed using our ADAPTIR™ modular protein technology platform. Our preclinical candidate APVO442 was developed using our ADAPTIR-FLEX™ modular protein technology platform.</w:t>
      </w:r>
    </w:p>
    <w:p>
      <w:pPr>
        <w:spacing w:after="0" w:line="8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ADAPTIR and ADAPTIR-FLEX platforms are designed to generate monospecific, bispecific, and multi-specific antibody candidates capable of enhancing the human immune system against cancer cells. ADAPTIR and ADAPTIR-FLEX are both modular platforms, which gives us the flexibility to generate immunotherapeutic candidates with a variety of mechanisms of action. This flexibility in design allows us to potentially generate novel therapeutic candidates that may provide effective strategies against difficult to treat, as well as advanced forms of cancer. We have successfully designed and constructed numerous investigational-stage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immuno-oncology candidates that are designed to engage immune effector cells and disease targets to produce signaling responses that modulate the immune system to kill tumor cells.</w:t>
      </w:r>
    </w:p>
    <w:p>
      <w:pPr>
        <w:spacing w:after="0" w:line="7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believe we are skilled at candidate generation, validation, and subsequent preclinical and clinical development using the ADAPTIR platform and the ADAPTIR-FLEX platform to generate multi-specific candidates or other candidates to our platform capabilities. We have developed a preclinical candidate based on the ADAPTIR-FLEX platform which is advancing in our pipeline. We are developing our ADAPTIR and ADAPTIR-FLEX molecules using our protein engineering, preclinical development, process development, and clinical development capabilities.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Raised $5 million through public offering on August 4, 2023, by issuing 8,064,517 shares of our common stock (or common stock equivalents in lieu thereof) at a purchase price of $0.62. We received $4.5 million in net proceeds after placement agent and other fees. Additionally, we issued Series A Warrants to purchase up to an aggregate of 8,064,517 shares of common stock and Series B Warrants to purchase up to an aggregate of 8,064,517 shares of common stock. The Series A and Series B Warrants will have an exercise price of $0.62 per share, will be exercisable immediately following the date of issuance and will expire in 2028 and 2025, respectively. In addition to the $5 million raised, we may receive up to an additional $10 million upon exercise of the warrants.</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Positive and clinically meaningful DOR results were observed from the Company's bispecific AML drug candidate APVO436 in combination with the emerging standard of care (venetoclax + azacitidine) in venetoclax treatment naïve patients. Duration, the length of remission time following treatment with the triplet of venetoclax and azacitidine plus APVO436, is an important measure of clinical success as it shows how long treatment benefit lasts for each patient and for each group of patients.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Outcomes are as follows:</w:t>
      </w:r>
    </w:p>
    <w:p>
      <w:pPr>
        <w:spacing w:after="0" w:line="117"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9 of 11 (82%) patients responded sufficiently for inclusion in the DOR analysis.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 of the 9 patients moved to stem cell transplant with treatment. This is the best outcome for patients because stem cell transplant offers the best probability for survival.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One patient experienced a sustained complete remission and remained on study drug for eight cycles, the maximum allowed per the protocol.</w:t>
      </w:r>
    </w:p>
    <w:p>
      <w:pPr>
        <w:spacing w:after="0" w:line="1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of remission data is clinically meaningful because a substantial number of patients either stayed on treatment or moved to transplant and did not experience a relapse event.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Comparison of the three and six months ended June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Royalty Revenue</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For the six months ended June 30, 2023 and 2022, royalty revenue was $0.0 and $3.1 million, respectively. We did not recognize royalty revenue in 2023 due to our Amendment to Royalty Purchase Agreement with HCR. As a result of the amendment, we ceased reporting as royalty revenue, royalties paid by Pfizer to HCR related to Pfizer’s sales of RUXIENCE beginning in the second quarter of 2022. The royalty revenue from Pfizer related to a Collaboration and License Agreement ("Definitive Agreement") acquired by Aptevo as part of our spin-off from Emergent in 2016. The Definitive Agreement was originally executed by Trubion Pharmaceuticals, which was subsequently acquired by Emergent, and Wyeth, a wholly owned subsidiary of Pfizer (see Note 8).</w:t>
      </w:r>
    </w:p>
    <w:p>
      <w:pPr>
        <w:spacing w:after="0" w:line="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received the 2022 milestone payment of $2.5 million on February 28, 2023. The proceeds from the 2022 milestone payment were recorded as other income in the consolidated statement of operations for the year ended December 31, 2022. We are eligible to receive an additional milestone payment of $10 million based on the achievement of sales milestone in 2023.</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expense research and development costs as incurred. These expenses relate primarily to conducting non-clinical studies and clinical trials, fees to professional service providers for analytical testing, consulting costs,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include:</w:t>
      </w:r>
    </w:p>
    <w:p>
      <w:pPr>
        <w:spacing w:after="0" w:line="63" w:lineRule="exact"/>
        <w:rPr>
          <w:sz w:val="20"/>
          <w:szCs w:val="20"/>
          <w:color w:val="auto"/>
        </w:rPr>
      </w:pPr>
    </w:p>
    <w:p>
      <w:pPr>
        <w:ind w:left="1800" w:hanging="384"/>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800" w:hanging="384"/>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consulting costs related to our clinical and pre-clinical programs;</w:t>
      </w:r>
    </w:p>
    <w:p>
      <w:pPr>
        <w:spacing w:after="0" w:line="117" w:lineRule="exact"/>
        <w:rPr>
          <w:rFonts w:ascii="Arial" w:cs="Arial" w:eastAsia="Arial" w:hAnsi="Arial"/>
          <w:sz w:val="18"/>
          <w:szCs w:val="18"/>
          <w:color w:val="auto"/>
        </w:rPr>
      </w:pPr>
    </w:p>
    <w:p>
      <w:pPr>
        <w:ind w:left="1800" w:hanging="384"/>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800" w:hanging="384"/>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manufacturing material expense for third-party manufacturing; and</w:t>
      </w:r>
    </w:p>
    <w:p>
      <w:pPr>
        <w:spacing w:after="0" w:line="117" w:lineRule="exact"/>
        <w:rPr>
          <w:rFonts w:ascii="Arial" w:cs="Arial" w:eastAsia="Arial" w:hAnsi="Arial"/>
          <w:sz w:val="18"/>
          <w:szCs w:val="18"/>
          <w:color w:val="auto"/>
        </w:rPr>
      </w:pPr>
    </w:p>
    <w:p>
      <w:pPr>
        <w:ind w:left="1800" w:hanging="384"/>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site initiation, patient enrollment and clinical trial site monitoring, and key non-clinical activities. While a number of our programs are still in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research and development expenses by program for the three and six months ended June 30, 2023 and 2022 are shown in the following table:</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For the Three Months Ended June 30,</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20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Change</w:t>
            </w:r>
          </w:p>
        </w:tc>
      </w:tr>
      <w:tr>
        <w:trPr>
          <w:trHeight w:val="237"/>
        </w:trPr>
        <w:tc>
          <w:tcPr>
            <w:tcW w:w="4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APVO436</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0"/>
                <w:szCs w:val="20"/>
                <w:color w:val="auto"/>
              </w:rPr>
            </w:pPr>
          </w:p>
        </w:tc>
      </w:tr>
      <w:tr>
        <w:trPr>
          <w:trHeight w:val="249"/>
        </w:trPr>
        <w:tc>
          <w:tcPr>
            <w:tcW w:w="48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ALG.APV-527</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FF0FC"/>
          </w:tcPr>
          <w:p>
            <w:pPr>
              <w:spacing w:after="0"/>
              <w:rPr>
                <w:sz w:val="21"/>
                <w:szCs w:val="21"/>
                <w:color w:val="auto"/>
              </w:rPr>
            </w:pPr>
          </w:p>
        </w:tc>
      </w:tr>
      <w:tr>
        <w:trPr>
          <w:trHeight w:val="237"/>
        </w:trPr>
        <w:tc>
          <w:tcPr>
            <w:tcW w:w="4880" w:type="dxa"/>
            <w:vAlign w:val="bottom"/>
            <w:gridSpan w:val="2"/>
          </w:tcPr>
          <w:p>
            <w:pPr>
              <w:spacing w:after="0"/>
              <w:rPr>
                <w:sz w:val="20"/>
                <w:szCs w:val="20"/>
                <w:color w:val="auto"/>
              </w:rPr>
            </w:pPr>
            <w:r>
              <w:rPr>
                <w:rFonts w:ascii="Arial" w:cs="Arial" w:eastAsia="Arial" w:hAnsi="Arial"/>
                <w:sz w:val="18"/>
                <w:szCs w:val="18"/>
                <w:color w:val="auto"/>
              </w:rPr>
              <w:t>Preclinical program, general research and discovery</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(426 )</w:t>
            </w:r>
          </w:p>
        </w:tc>
      </w:tr>
      <w:tr>
        <w:trPr>
          <w:trHeight w:val="278"/>
        </w:trPr>
        <w:tc>
          <w:tcPr>
            <w:tcW w:w="4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5,462</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3,865</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430"/>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For the Six Months Ended June 30,</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9"/>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20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Change</w:t>
            </w:r>
          </w:p>
        </w:tc>
      </w:tr>
      <w:tr>
        <w:trPr>
          <w:trHeight w:val="230"/>
        </w:trPr>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Clinical programs:</w:t>
            </w: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48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APVO436</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w:t>
            </w:r>
          </w:p>
        </w:tc>
        <w:tc>
          <w:tcPr>
            <w:tcW w:w="6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w:t>
            </w:r>
          </w:p>
        </w:tc>
        <w:tc>
          <w:tcPr>
            <w:tcW w:w="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FF0FC"/>
          </w:tcPr>
          <w:p>
            <w:pPr>
              <w:spacing w:after="0"/>
              <w:rPr>
                <w:sz w:val="21"/>
                <w:szCs w:val="21"/>
                <w:color w:val="auto"/>
              </w:rPr>
            </w:pPr>
          </w:p>
        </w:tc>
      </w:tr>
      <w:tr>
        <w:trPr>
          <w:trHeight w:val="237"/>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ALG.APV-527</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20"/>
                <w:szCs w:val="20"/>
                <w:color w:val="auto"/>
              </w:rPr>
            </w:pPr>
          </w:p>
        </w:tc>
      </w:tr>
      <w:tr>
        <w:trPr>
          <w:trHeight w:val="243"/>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Preclinical program, general research and discovery</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5,929</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(1,287 )</w:t>
            </w:r>
          </w:p>
        </w:tc>
      </w:tr>
      <w:tr>
        <w:trPr>
          <w:trHeight w:val="238"/>
        </w:trPr>
        <w:tc>
          <w:tcPr>
            <w:tcW w:w="4880" w:type="dxa"/>
            <w:vAlign w:val="bottom"/>
            <w:tcBorders>
              <w:top w:val="single" w:sz="8" w:color="CFF0FC"/>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9,630</w:t>
            </w: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8,731</w:t>
            </w:r>
          </w:p>
        </w:tc>
        <w:tc>
          <w:tcPr>
            <w:tcW w:w="30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top w:val="single" w:sz="8" w:color="CFF0FC"/>
            </w:tcBorders>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-1242695</wp:posOffset>
            </wp:positionV>
            <wp:extent cx="2357120" cy="5918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57120" cy="59182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7683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7683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Research and development expenses increased by $1.6 million, from $3.9 million for three months ended June 30, 2022 to $5.5 million for the three months ended June 30, 2023. Research and development expenses increased by $0.9 million, from $8.7 million for the six months ended June 30, 2022 to $9.6 million for the six months ended June 30, 2023. The increase was primarily due to higher spending on the ALG.APV-527 Phase 1 clinical trial and APVO436 Phase 1b clinical trial. The increase was partially offset by lower spending on preclinical projects and employee costs.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7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General and administrative expenses decreased by $1.0 million, from $3.7 million for the three months ended June 30, 2022 to $2.7 million for the three months ended June 30, 2023. General and administrative expenses decreased by $1.3 million, from $7.6 million for three months ended June 30, 2023 to $6.3 million for the six months ended June 30, 2023. The decrease is primarily due to lower employee and consulting costs.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Other income (expense), net consists primarily of a gain related to the sale of a nonfinancial asset, costs related to debt extinguishment, accrued exit fees on debt, non-cash interest on financing agreements, and interest on debt.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Other Income (Expense), Net</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Other income, net was $0.2 million and $0.1 million for the three and six months ended June 30, 2023, respectively. Other expense, net was $1.8 million and $4.0 million for the three and six months ended June 30, 2022, respectively. The change in other income (expense), net is primarily due to lower interest expense related to our MidCap term loan due to principal paydown and full repayment of the outstanding balance in the first quarter of 2023. Additionally, beginning Q2 2022, we no longer record non-cash interest expense due to our Amendment to the Royalty Purchase Agreement in the second quarter of 2022, which eliminated the liability related to the sale of royalties and the related non-cash interest expense.</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Gain Related to Sale of Nonfinancial Asset</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recorded $9.7 million in other income for the six months ended June 30, 2023, due to the sale of the deferred payments and milestones to XOMA during the quarter (see Note 3). We did not have any such gain for the comparative period in the prior year.</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Gain on Extinguishment of Liability Related to Royalties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recorded $37.2 million in other income for the six months ended June 30, 2022, due to our Amendment to Royalty Purchase Agreement (see Note 8). We did not have any such gain for the comparative period in the current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accompanying unaudited condensed consolidated financial statements include discontinued operations from two separate transactions: the sale of hyperimmune business to Saol International Limited in September 2017, from which we received a payment in 2021 related to the collection of a certain accounts receivable, and the sale of Aptevo BioTherapeutics in 2020.</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represents the components attributable to income from discontinued operations in the unaudited condensed consolidated statements of operations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Three Months Ended June</w:t>
            </w:r>
          </w:p>
        </w:tc>
        <w:tc>
          <w:tcPr>
            <w:tcW w:w="300" w:type="dxa"/>
            <w:vAlign w:val="bottom"/>
          </w:tcPr>
          <w:p>
            <w:pPr>
              <w:spacing w:after="0"/>
              <w:rPr>
                <w:sz w:val="14"/>
                <w:szCs w:val="14"/>
                <w:color w:val="auto"/>
              </w:rPr>
            </w:pPr>
          </w:p>
        </w:tc>
        <w:tc>
          <w:tcPr>
            <w:tcW w:w="23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6"/>
              </w:rPr>
              <w:t>For the Six Months Ended June 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Deferred payment from Medexus</w:t>
            </w:r>
          </w:p>
        </w:tc>
        <w:tc>
          <w:tcPr>
            <w:tcW w:w="740" w:type="dxa"/>
            <w:vAlign w:val="bottom"/>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20" w:type="dxa"/>
            <w:vAlign w:val="bottom"/>
          </w:tcPr>
          <w:p>
            <w:pPr>
              <w:spacing w:after="0"/>
              <w:rPr>
                <w:sz w:val="20"/>
                <w:szCs w:val="20"/>
                <w:color w:val="auto"/>
              </w:rPr>
            </w:pPr>
            <w:r>
              <w:rPr>
                <w:rFonts w:ascii="Arial" w:cs="Arial" w:eastAsia="Arial" w:hAnsi="Arial"/>
                <w:sz w:val="18"/>
                <w:szCs w:val="18"/>
                <w:color w:val="auto"/>
                <w:w w:val="94"/>
              </w:rPr>
              <w:t>Gain on contingent consideration from release of escrow related to</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sale of Aptevo BioTherapeutics</w:t>
            </w:r>
          </w:p>
        </w:tc>
        <w:tc>
          <w:tcPr>
            <w:tcW w:w="74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contingent consideration from Kamada</w:t>
            </w:r>
          </w:p>
        </w:tc>
        <w:tc>
          <w:tcPr>
            <w:tcW w:w="7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740" w:type="dxa"/>
            <w:vAlign w:val="bottom"/>
          </w:tcPr>
          <w:p>
            <w:pPr>
              <w:jc w:val="right"/>
              <w:ind w:right="562"/>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5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946</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-187960</wp:posOffset>
            </wp:positionV>
            <wp:extent cx="7747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-187960</wp:posOffset>
            </wp:positionV>
            <wp:extent cx="85725"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-187960</wp:posOffset>
            </wp:positionV>
            <wp:extent cx="7747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For the six months ended June 30, 2023, we collected $0.5 million in deferred payments from Medexus related to IXINITY sales and $0.2 million related to funds released from escrow from the sale of Aptevo BioTherapeutics in 2020. Additionally, we received $0.3 million related to the sale of hyperimmune business Saol as a result of the collection of certain accounts receivable. For the six months ended June 30, 2022, we collected $0.3 million in deferred payments from Medexus related IXINITY sales. The proceeds from the income from discontinued operations is included within net income in the operating section of the unaudited condensed consolidated statements of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preparation of our unaudited condensed consolidated financial statements in conformity with accounting principles generally accepted in the United States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1 for discussion of our accounting policies, significant judgments, and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the six months ended June 30, 2023 and 2022</w:t>
      </w:r>
      <w:r>
        <w:rPr>
          <w:rFonts w:ascii="Arial" w:cs="Arial" w:eastAsia="Arial" w:hAnsi="Arial"/>
          <w:sz w:val="18"/>
          <w:szCs w:val="18"/>
          <w:color w:val="231F20"/>
        </w:rPr>
        <w:t>:</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jc w:val="right"/>
              <w:ind w:right="541"/>
              <w:spacing w:after="0"/>
              <w:rPr>
                <w:sz w:val="20"/>
                <w:szCs w:val="20"/>
                <w:color w:val="auto"/>
              </w:rPr>
            </w:pPr>
            <w:r>
              <w:rPr>
                <w:rFonts w:ascii="Arial" w:cs="Arial" w:eastAsia="Arial" w:hAnsi="Arial"/>
                <w:sz w:val="14"/>
                <w:szCs w:val="14"/>
                <w:b w:val="1"/>
                <w:bCs w:val="1"/>
                <w:color w:val="auto"/>
              </w:rPr>
              <w:t>For the Six Months Ended June 30,</w:t>
            </w:r>
          </w:p>
        </w:tc>
      </w:tr>
      <w:tr>
        <w:trPr>
          <w:trHeight w:val="169"/>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6"/>
        </w:trPr>
        <w:tc>
          <w:tcPr>
            <w:tcW w:w="6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cash used in:</w:t>
            </w:r>
          </w:p>
        </w:tc>
        <w:tc>
          <w:tcPr>
            <w:tcW w:w="1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68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50"/>
              <w:spacing w:after="0"/>
              <w:rPr>
                <w:sz w:val="20"/>
                <w:szCs w:val="20"/>
                <w:color w:val="auto"/>
              </w:rPr>
            </w:pPr>
            <w:r>
              <w:rPr>
                <w:rFonts w:ascii="Arial" w:cs="Arial" w:eastAsia="Arial" w:hAnsi="Arial"/>
                <w:sz w:val="18"/>
                <w:szCs w:val="18"/>
                <w:color w:val="auto"/>
              </w:rPr>
              <w:t>(237 )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(8,187 )</w:t>
            </w:r>
          </w:p>
        </w:tc>
      </w:tr>
      <w:tr>
        <w:trPr>
          <w:trHeight w:val="249"/>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(25 )</w:t>
            </w:r>
          </w:p>
        </w:tc>
      </w:tr>
      <w:tr>
        <w:trPr>
          <w:trHeight w:val="237"/>
        </w:trPr>
        <w:tc>
          <w:tcPr>
            <w:tcW w:w="68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0"/>
                <w:szCs w:val="20"/>
                <w:color w:val="auto"/>
              </w:rPr>
            </w:pPr>
          </w:p>
        </w:tc>
        <w:tc>
          <w:tcPr>
            <w:tcW w:w="1440" w:type="dxa"/>
            <w:vAlign w:val="bottom"/>
            <w:gridSpan w:val="2"/>
          </w:tcPr>
          <w:p>
            <w:pPr>
              <w:jc w:val="right"/>
              <w:ind w:right="150"/>
              <w:spacing w:after="0"/>
              <w:rPr>
                <w:sz w:val="20"/>
                <w:szCs w:val="20"/>
                <w:color w:val="auto"/>
              </w:rPr>
            </w:pPr>
            <w:r>
              <w:rPr>
                <w:rFonts w:ascii="Arial" w:cs="Arial" w:eastAsia="Arial" w:hAnsi="Arial"/>
                <w:sz w:val="18"/>
                <w:szCs w:val="18"/>
                <w:color w:val="auto"/>
              </w:rPr>
              <w:t>(1,392 )</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(8,114 )</w:t>
            </w:r>
          </w:p>
        </w:tc>
      </w:tr>
      <w:tr>
        <w:trPr>
          <w:trHeight w:val="276"/>
        </w:trPr>
        <w:tc>
          <w:tcPr>
            <w:tcW w:w="6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-25400</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-8255</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Net cash used in operating activities of $0.2 million for the six months ended June 30, 2023 was primarily due to our net loss of $5.2 million for the period and changes in working capital accounts. Net cash used in operating activities of $8.2 million for the six months ended June 30, 2022 was primarily due to changes in working capital accounts.</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2023 was $0. Net cash used in investing activities for the six months ended June 30, 2022 was due to purchases of property and equipment.</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Net cash used in financing activities of $1.4 million for the six months ended June 30, 2023 was primarily due to the $3.5 million of repayments of the MidCap term loan, which included the remaining outstanding principal balance and loan prepayment fees. This was offset by the $2.1 million proceeds received from issuance of common stock pursuant to our Equity Distribution Agreement with Piper Sandler and our 2022 Purchase Agreement with Lincoln Park. Net cash used in financing activities for the six months ended June 30, 2022 was primarily due to the $11.3 million of repayments of the MidCap term loan, and $6.8 million royalties received from Pfizer by HCR pursuant to our Royalty Purchase Agreement. This was offset by the $10 million milestone received by Aptevo from</w:t>
      </w:r>
    </w:p>
    <w:p>
      <w:pPr>
        <w:sectPr>
          <w:pgSz w:w="11900" w:h="16838" w:orient="portrait"/>
          <w:cols w:equalWidth="0" w:num="1">
            <w:col w:w="11240"/>
          </w:cols>
          <w:pgMar w:left="320" w:top="337"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HCR related to the sale of royalties, net of $0.5 million transaction costs, and $0.4 million proceeds received from issuance of common stock pursuant to our Equity Distribution Agreement with Piper Sandler.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Royalty Purchase Agreement and Milestone Payments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March 30, 2021, we entered into and closed a Royalty Purchase Agreement with HCR pursuant to which we sold to HCR the right to receive royalty payments made by Pfizer in respect of global net sales of RUXIENCE. Under the terms of the Royalty Purchase Agreement, we have received $47.5 million through June 30, 2023 ($35 million at closing and $12.5 million in milestone payments) and we are eligible to receive an additional $10 million based on the achievement of sales milestone 2023.</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IXINITY Milestone Payments</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On February 28, 2020, Aptevo entered into an LLC Purchase Agreement with Medexus, pursuant to which we sold all of the issued and outstanding limited liability company interests of Aptevo BioTherapeutics LLC, a wholly owned subsidiary of Aptevo. On March 29, 2023, we entered into and closed a Purchase Agreement with XOMA pursuant to which we sold to XOMA our right, title, and interest to all future deferred payments from Medexus and a portion of potential milestones. As consideration, we received $9.6 million at closing from XOMA and an additional $0.05 million post-closing payment. Aptevo continues to be eligible to receive up to $5.8 million in milestone payments from Medexus upon achievement of certain regulatory and IXINITY net sales threshold. For the six months ended June 30, 2023, Aptevo received $0.5 million in deferred payments from Medexus related to IXINITY sales for the fourth quarter of 2022.</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Registration Statement</w:t>
      </w:r>
    </w:p>
    <w:p>
      <w:pPr>
        <w:spacing w:after="0" w:line="1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On December 14, 2020, we filed a Registration Statement on Form S-3 covering the offering, issuance, and sale of up to $200 million in common stock, preferred stock, and various series of debt securities and/or warrants to purchase any of such securities, which included the unsold securities from the Prior Registration Statement. On March 29, 2022, we filed an amendment to the prospectus supplement to the Registration Statement on Form S-3 filed on December 14, 2020 pursuant to General Instruction I.B.6 of Form S-3 ("General Instruction I.B.6"), which updates the amount of shares that we are eligible to sell under the Equity Distribution Agreement. So long as the aggregate market value of our common stock held by non-affiliates is less than $75 million, we will not sell any registered shares under this Form S-3 with a value of more than one-third of the aggregate market value of our common stock held by non-affiliates in any 12-month period due to the limitations of General Instruction I.B.6 of Form S-3 and the current public float of our common stock. In the last 12 months, we have sold $8.8 million worth of shares of our common stock pursuant to our Equity Distribution Agreement. If our public float increases such that we may sell additional amounts under the Equity Distribution Agreement and the prospectus than is mentioned in our last prospectus supplement to the Registration Statement on Form S-3 filed on December 13, 2020, we will file another amendment to the prospectus supplement prior to making additional sales. The limitations of General Instruction I.B.6 do not apply to sales of our shares under our Purchase Agreement with Lincoln Park Financial LLC as those sales were committed prior to us being subject to the limitations of General Instruction I.B.6.</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On December 14, 2020, we entered into an Equity Distribution Agreement with Piper Sandler &amp; Co ("Piper Sandler"). The Equity Distribution Agreement provides that, upon the terms and subject to the conditions set forth therein, we may issue and sell through Piper Sandler, acting as sales agent, shares of our common stock having an aggregate offering price of up to $50 million. We have no obligation to sell any such shares under the Equity Distribution Agreement. The sale of the shares of our common stock by Piper Sandler, if any, will be effected pursuant to a Registration Statement on Form S-3 which we filed on December 14, 2020. In the six months ended June 30, 2023, the Company issued 730,913 shares of common stock at an average price of $2.26 under the Equity Distribution Agreement. These shares were issued in the first quarter of 2023. We received $1.6 million in proceeds from the issuance of these shares. In the six months ended June 30, 2022, the Company issued 78,285 shares of common stock at an average price of $5.75 under the Equity Distribution Agreement. We received $0.4 million in proceeds from the issuance of these shares.</w:t>
      </w:r>
    </w:p>
    <w:p>
      <w:pPr>
        <w:spacing w:after="0" w:line="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us or Piper Sandler upon notice to the other party.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Lincoln Park Purchase Agreement</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On February 16, 2022, we entered into a new Purchase Agreement and a Registration Rights Agreement with Lincoln Park ("2022 Purchase Agreement"). The 2022 Purchase Agreement and Registration Rights Agreement replaced our 2018 Purchase Agreement and Registration Rights Agreement with Lincoln Park. Under the 2022 Purchase Agreement, Lincoln Park committed to purchase up to $35.0 million worth of our common stock over a 36-month period commencing after the satisfaction of certain conditions, which are within our control, as set forth in the Purchase Agreement. The purchase price per share will be based on prevailing market price; provided, however, that the prevailing market price is not below $1.00. The Company issued 99,276 shares of our common stock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Lincoln Park for no cash consideration as an initial fee for its commitment to purchase shares of our common stock under the Purchase Agreement. The aggregate number of shares that we can sell to Lincoln Park under the Purchase Agreement may not exceed 981,103 shares, unless shareholder approval is obtained or the average price of all applicable sales of our common stock sold to Lincoln Park equals or exceeds $6.14 per share. For the six months ended June 30, 2023, we issued 300,000 shares of our common stock to Lincoln Park under the 2022 Purchase Agreement. We received $0.5 million in proceeds from issuance of these shares. We did not issue any shares of our common stock for cash consideration to Lincoln Park under the 2022 Purchase Agreement in the six months ended June 30, 2022.</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Actual sales of shares of our common stock to Lincoln Park under the Purchase Agreement will occur at our discretion from time to time and depend on a variety of factors,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Warrants - March 2019</w:t>
      </w:r>
    </w:p>
    <w:p>
      <w:pPr>
        <w:spacing w:after="0" w:line="13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March 11, 2019, in connection with the completion of a public offering of common stock, we issued warrants to purchase 1,571,429 shares of common stock at a price of $18.20. As of June 30, 2023 and 2022, there were warrants to purchase 350,589 shares of common stock outstanding. These warrants have a 5-year life, and expire in March 2024.</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Series A and Series B Common Warrants - August 2023</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On August 4, 2023, we completed a public offering related to the issuance and sale of 8,064,517 shares of our common stock (or pre-funded warrant in lieu thereof) at a purchase price of $0.62. We received $5 million in gross proceeds from issuance of these shares. Our net proceeds from the offering amounted to $4.5 million after placement agent and other fees. Additionally, we issued Series A Common Warrants to purchase up to an aggregate of 8,064,517 shares of common stock and Series B Common Warrants to purchase up to an aggregate of 8,064,517 shares of common stock. The Series A and Series B Common Warrants have an exercise price of $0.62 per share, are exercisable immediately following the date of issuance and will expire in August 2028 and February 2025, respectively. If the warrants are exercised, we may receive up to an additional $10 million in proceeds.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have financed our operations to date primarily through revenue generated from our commercial products, the Royalty Purchase Agreement with HCR, royalty payments from Pfizer, deferred payments from Medexus, the Purchase Agreement with XOMA, the sale of our hyperimmune products business in September 2017, the sale of Aptevo BioTherapeutics on February 28, 2020, public offerings of our common stock, loan proceeds, milestone payments, research and development funding from strategic partners, and funds received at the date of our spin-off from Emergent. We had cash and cash equivalents of $21.0 million and an accumulated deficit of $211.2 million as of June 30, 2023.</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six months ended June 30, 2023, net cash used in our operating activities was $0.2 million.</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future success is dependent on our ability to develop our product candidates.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7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Due to the current macroeconomic environment, we may experience delays in opportunities to partner our product candidates, due to financial and other impacts on potential partners. Additionally, we may experience potential impacts on our future milestones from Medexus due to effects of macroeconomic impacts, including, but not limited to, bank failure, and the rising and fluctuating inflation, which may impact Medexus’ ability to continue to successfully commercialize the IXINITY businesses. Additionally, we may experience potential impacts on our future milestones, which are based on global net sales of RUXIENCE, from HCR due to the effects of the macroeconomic environment, which may impact Pfizer’s ability to continue to successfully commercialize the RUXIENCE business. We believe that our existing cash resources, milestone payments related to the Royalty Purchase Agreement with HCR, funds available under Purchase Agreement with Lincoln Park and the Equity Distribution Agreement with Piper Sandler, cash to be generated from future milestones related to IXINITY sales and approvals by Medexus, will be sufficient to meet our projected operating requirements for at least twelve months from the date of this filing of this Quarterly Report on Form 10-Q.</w:t>
      </w:r>
    </w:p>
    <w:p>
      <w:pPr>
        <w:spacing w:after="0" w:line="73"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ind w:left="1260" w:hanging="368"/>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additional capital when needed or on acceptable terms;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profitability given our historical losses;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motivate and retain key personnel;</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timing of, and the costs involved in, completing our clinical trials, and obtaining regulatory approvals for our product candidates;</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regulatory clearance to commence clinical trials for product candidates;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40" w:lineRule="exact"/>
        <w:rPr>
          <w:rFonts w:ascii="Arial" w:cs="Arial" w:eastAsia="Arial" w:hAnsi="Arial"/>
          <w:sz w:val="16"/>
          <w:szCs w:val="16"/>
          <w:color w:val="auto"/>
        </w:rPr>
      </w:pPr>
    </w:p>
    <w:p>
      <w:pPr>
        <w:ind w:left="1260" w:hanging="368"/>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macroeconomic conditions, including rising and fluctuating inflation, interest rates and supply chain constraints;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develop our ADAPTIR or ADAPTIR-FLEX platforms;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our current and planned preclinical studies and clinical trials;</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of conducting preclinical and clinical trials, including whether clinical trial results will be consistent with the past data;</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to effectively conduct our clinical and non-clinical trials, and to effectively carry out their contractual duties, comply with regulatory requirements or meet expected deadlines;</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and to what extent future milestones are received under our Royalty Purchase Agreement with HCR;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receipt and amount of any milestone payments from Medexus with respect to IXINITY.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are unable to raise substantial additional capital in the next year, whether on terms that are acceptable to us or at all, then we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1260" w:hanging="368"/>
        <w:spacing w:after="0"/>
        <w:tabs>
          <w:tab w:leader="none" w:pos="1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delay, limit, reduce or terminate our clinical trials or other development activities for one or more of our product candidates; and/or,</w:t>
      </w:r>
    </w:p>
    <w:p>
      <w:pPr>
        <w:spacing w:after="0" w:line="128" w:lineRule="exact"/>
        <w:rPr>
          <w:rFonts w:ascii="Arial" w:cs="Arial" w:eastAsia="Arial" w:hAnsi="Arial"/>
          <w:sz w:val="17"/>
          <w:szCs w:val="17"/>
          <w:color w:val="auto"/>
        </w:rPr>
      </w:pPr>
    </w:p>
    <w:p>
      <w:pPr>
        <w:ind w:left="1260" w:hanging="368"/>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other activities that may be necessary to commercialize our product candidates, if approved.</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macroeconomic factors, we may experience delays in clinical trials and non-clinical work, and opportunities to partner our product candidates, due to financial and other impacts on potential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have an operating lease related to our office and laboratory space in Seattle, Washington. This lease was amended in March 2019 to extend the term of the amended lease is through April 2030 and provided two options to extend the lease term, each by five years, as well as a one-time option to terminate the lease in April 2023, with nine months’ notice, or by July 2022. On May 26, 2022, we further amended our office and laboratory lease to remove the one-time termination option in April 2023. In exchange for removing the termination option, we received six months of free rent. As a result, we recorded an additional $4.4 million of lease liability and right-of-use asset on the consolidated balance sheet in May 2022.</w:t>
      </w:r>
    </w:p>
    <w:p>
      <w:pPr>
        <w:spacing w:after="0" w:line="68"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have a non-exclusive Commercial Platform License Agreement with OMT ("OMT License Agreement") for certain transgenic rodents of OMT's OmniAb platform. Our OMT License Agreement obligates us to make milestone and royalty payments upon achievement of certain regulatory approvals and commercialization of our product candidates. APVO436 and APVO603 are the product candidates currently subject to this agreement. Pursuant to our agreement, we are required to make a $2.0 million milestone payment upon dosing the first patient in our Phase 2 clinical trial of APVO436.</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both"/>
        <w:ind w:firstLine="509"/>
        <w:spacing w:after="0" w:line="257" w:lineRule="auto"/>
        <w:rPr>
          <w:sz w:val="20"/>
          <w:szCs w:val="20"/>
          <w:color w:val="auto"/>
        </w:rPr>
      </w:pPr>
      <w:r>
        <w:rPr>
          <w:rFonts w:ascii="Arial" w:cs="Arial" w:eastAsia="Arial" w:hAnsi="Arial"/>
          <w:sz w:val="18"/>
          <w:szCs w:val="18"/>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June 30, 2023, there were no material changes to the information provided under Item 7A, Quantitative and Qualitative Disclosures About Market Risk in our Annual Report on Form 10-K for the year ended December 31, 2022 filed on March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As of June 30, 2023,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June 30, 2023,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June 30, 2023, that have materially affected, or are reasonably likely to materially affect, our internal control over financial reporting.</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Quarterly Report on Form 10-Q in evaluating us and our common stock.</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material risks to our business, operations, and ownership of our common stock:</w:t>
      </w:r>
    </w:p>
    <w:p>
      <w:pPr>
        <w:spacing w:after="0" w:line="117" w:lineRule="exact"/>
        <w:rPr>
          <w:sz w:val="20"/>
          <w:szCs w:val="20"/>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history of losses and may not be profitable in the future.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require additional capital and may be unable to raise capital when needed or on acceptable terms.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is dependent on our continued ability to attract, motivate and retain key personnel, and any failure to attract or retain key personnel may negatively affect our business.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long-term success depends, in part, upon our ability to develop, receive regulatory approval for and commercialize our product candidates.</w:t>
      </w:r>
    </w:p>
    <w:p>
      <w:pPr>
        <w:spacing w:after="0" w:line="140"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establishing and maintaining collaborations that leverage our capabilities in pursuit of developing and commercializing our product candidates.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and will continue to face substantial competition and our failure to effectively compete may prevent us from achieving significant market penetration for our product candidates, if approved.</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is affected by macroeconomic conditions, including rising and fluctuating inflation, interest rates, market volatility, economic uncertainty, bank failure, and supply chain constraints.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further develop our ADAPTIR or ADAPTIR-FLEX platforms.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protect our intellectual proprietary rights, our business could be harmed.</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of activist stockholders against us have been and could be disruptive and costly and may cause uncertainty about the strategic direction of our business.</w:t>
      </w:r>
    </w:p>
    <w:p>
      <w:pPr>
        <w:spacing w:after="0" w:line="62" w:lineRule="exact"/>
        <w:rPr>
          <w:rFonts w:ascii="Arial" w:cs="Arial" w:eastAsia="Arial" w:hAnsi="Arial"/>
          <w:sz w:val="18"/>
          <w:szCs w:val="18"/>
          <w:color w:val="auto"/>
        </w:rPr>
      </w:pPr>
    </w:p>
    <w:p>
      <w:pPr>
        <w:jc w:val="both"/>
        <w:ind w:left="760" w:hanging="378"/>
        <w:spacing w:after="0" w:line="286"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future cash flow will depend, in part, on the ability of Pfizer to successfully sell RUXIENCE and our receipt of milestone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57"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spacing w:after="0" w:line="7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7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stock price may be volatile.</w:t>
      </w:r>
    </w:p>
    <w:p>
      <w:pPr>
        <w:spacing w:after="0" w:line="117"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periodic litigation, which could result in losses or unexpected expenditure of time and resources.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income will depend, in part, on the ability of Medexus to successfully further develop, market and commercialize IXINITY, resulting in milestone payments to the Company by Medexus.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have experienced significant operating losses in the past and may not be profitable in the future. For the six months ended June 30, 2023, we had net loss of $5.2 million compared to $20.3 million net income for the same period in 2022. The net income for the six months ended June 30, 2022 was due to a one-time $37.2 million gain recognized as a result of Amendment to Royalty Purchase Agreement with HCR. As of June 30, 2023, we had an accumulated deficit of $211.2 million. We expect to continue to incur annual net operating losses for the foreseeable future, and will require substantial resources over the next several years as we expand our efforts to discover, develop and commercialize immunotherapeutic candidates. While we believe our existing cash and cash equivalents and the funding provided by our Purchase Agreement with XOMA, the ability to receive a potential future milestone payment under the Royalty Purchase Agreement with HCR, potential future milestone payments from Medexus under our LLC Purchase Agreement, our ability to issue securities under the Equity Distribution Agreement with Piper Sandler and our Purchase Agreement with Lincoln Park Capital, and exercises of warrants will provide us with sufficient liquidity to meet our cash requirements through at least next twelve months, our future success and ability to attain profitability will depend upon our ability to develop and commercialize our product candidates.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As of June 30, 2023, we had cash and cash equivalents in the amount of $21.0 million. We will require additional funding to grow our business including to support the ongoing clinical development of APVO436 and ALG.APV-527, develop additional products, support commercial marketing activities or otherwise provide additional financial flexibility. If we are not able to secure adequate additional funding, we may need to make reductions in spending. This may include extending payment terms with suppliers, liquidating assets, and suspending or curtailing planned programs. We may also have to delay, reduce the scope of, suspend or eliminate one or more research and development programs. We may also be forced to grant rights to develop and market our product candidates that we would otherwise prefer to develop or market ourselves or we may be unable to take advantage of future business opportunities. A failure to raise the additional funding or to effectively implement cost reductions could harm our business, results of operations and future prospects. Our future capital requirements will depend on many factors, including:</w:t>
      </w:r>
    </w:p>
    <w:p>
      <w:pPr>
        <w:spacing w:after="0" w:line="70" w:lineRule="exact"/>
        <w:rPr>
          <w:sz w:val="20"/>
          <w:szCs w:val="20"/>
          <w:color w:val="auto"/>
        </w:rPr>
      </w:pPr>
    </w:p>
    <w:p>
      <w:pPr>
        <w:ind w:left="1260" w:hanging="368"/>
        <w:spacing w:after="0"/>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level, timing and receipt of any milestone payments under our agreements with Medexus with respect to the sales of IXINITY;</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whether and to what extent future milestone payments are received under our Amendment to Royalty Purchase Agreement with HCR;</w:t>
      </w:r>
    </w:p>
    <w:p>
      <w:pPr>
        <w:spacing w:after="0" w:line="140" w:lineRule="exact"/>
        <w:rPr>
          <w:rFonts w:ascii="Arial" w:cs="Arial" w:eastAsia="Arial" w:hAnsi="Arial"/>
          <w:sz w:val="16"/>
          <w:szCs w:val="16"/>
          <w:color w:val="auto"/>
        </w:rPr>
      </w:pPr>
    </w:p>
    <w:p>
      <w:pPr>
        <w:ind w:left="1260" w:hanging="368"/>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any future indebtedness;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development costs, timing, and other requirements to complete dosing of our Phase 1b clinical trial for APVO436 and Phase 1 clinical trial of ALG.APV-527, as well as future clinical trials;</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preparing, filing and prosecuting patent applications, obtaining, maintaining, enforcing and protecting our intellectual property rights and defending intellectual property-related claims; and</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macroeconomic conditions, including the impact of inflation and cost of capital.</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Further, changing circumstances, some of which may be beyond our control, such as macroeconomic conditions, could cause us to consume capital significantly faster than we currently anticipate, and we may need to seek additional funds sooner than planned.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both"/>
        <w:ind w:firstLine="509"/>
        <w:spacing w:after="0" w:line="267" w:lineRule="auto"/>
        <w:rPr>
          <w:sz w:val="20"/>
          <w:szCs w:val="20"/>
          <w:color w:val="auto"/>
        </w:rPr>
      </w:pPr>
      <w:r>
        <w:rPr>
          <w:rFonts w:ascii="Arial" w:cs="Arial" w:eastAsia="Arial" w:hAnsi="Arial"/>
          <w:sz w:val="17"/>
          <w:szCs w:val="17"/>
          <w:color w:val="auto"/>
        </w:rPr>
        <w:t>We cannot guarantee that future financing will be available in sufficient amounts, or on commercially reasonable terms, or at all. If our capital resources are insufficient to meet our future capital requirements, we will need to finance our cash needs through bank loans, public or private equity or debt offerings, collaboration and licensing arrangements, or other strategic transactions. Our ability to raise future capital on acceptable terms or at all will be impacted by the macroeconomic environment, including rising and fluctuating interest rates, economic uncertainty and volatility in the capital market, geopolitical tensions, including the ongoing war between Ukraine and Russia, or other factors could also adversely impact our ability to access capital as and when needed or increase our costs in order to raise capital. Current capital market conditions, including the impact of inflation, have increased borrowing rates and can be expected to significantly increase our cost of capital as compared to prior periods. On August 4, 2023, we completed a public offering related to the issuance and sale of 8,064,517 shares of our common stock (or pre-funded warrant in lieu thereof) at a purchase price of $0.62. We received $5 million in gross proceeds from issuance of these shares. Our net proceeds from the offering amounted to $4.5 million after placement agent and other fees. Future issuances of common stock may include, but not be limited to, (i) any sale of up to $50.0 million worth of shares of our common stock pursuant to our Equity Distribution Agreement with Piper Sandler, (ii) any sale of up to $35 million worth of shares of our common stock to issue from our Purchase Agreement with Lincoln Park, (iii) the issuance of up to 350,589 remaining outstanding shares of common stock upon the exercise of warrants issued in connection with our March 2019 public offering of common stock and warrants, (iv) the issuance of up to 16,129,034 remaining outstanding shares of common stock upon the exercise of warrants issued in connection with our August 2023 public offering of common stock and warrants or (v) the issuance of common stock in a firm commitment offering or private placement. Public or bank debt financing, if available, may involve agreements that include covenants limiting or restricting our ability to take specific actions, such as incurring additional debt, making capital expenditures, pursuing acquisition opportunities, declaring dividends, our ability to acquire, sell or license intellectual property rights and other operating restrictions that could adversely impact our ability to conduct our business.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 If financing is unavailable or lost, our business, results of operations, financial condition and financial prospects would be adversely affected and we could be forced to delay, reduce the scope of or eliminate many of our planned activities.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Further, SEC regulations limit the amount of funds we can raise during any 12-month period pursuant to our shelf registration statement on Form S-</w:t>
      </w:r>
    </w:p>
    <w:p>
      <w:pPr>
        <w:spacing w:after="0" w:line="46" w:lineRule="exact"/>
        <w:rPr>
          <w:sz w:val="20"/>
          <w:szCs w:val="20"/>
          <w:color w:val="auto"/>
        </w:rPr>
      </w:pPr>
    </w:p>
    <w:p>
      <w:pPr>
        <w:jc w:val="both"/>
        <w:ind w:firstLine="8"/>
        <w:spacing w:after="0" w:line="251" w:lineRule="auto"/>
        <w:tabs>
          <w:tab w:leader="none" w:pos="1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29, 2022, we filed an amendment to the prospectus related to the Registration Statement on Form S-3 filed on December 14, 2020 pursuant to General Instruction I.B.6 of Form S-3 (General Instruction I.B.6), which updates the amount of registered shares that we are eligible to sell. So long as the aggregate market value of our common stock held by non-affiliates is less than $75 million, we will not sell any registered shares under this Form S-3 with a value of more than one-third of the aggregate market value of our common stock held by non-affiliates in any 12-month period due to the limitations of General Instruction I.B.6 of Form S-3 and the current public float of our common stock. In the last 12 months, we have sold $8.8 million worth of shares of our common stock pursuant to our Equity Distribution Agreement. The limitations of General Instruction I.B.6 do not apply to sales of our shares under our Purchase Agreement with Lincoln Park Financial LLC as those sales were committed prior to us being subject to the limitations of General Instruction I.B.6. If we are required to file a new registration statement on another form, we may incur additional costs and be subject to delays in raising capital due to review by SEC staff.</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affected by macroeconomic conditions, including rising and fluctuating inflation, interest rates, market volatility, economic uncertainty, and supply chain constraints.</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Various macroeconomic factors have in the past and could adversely affect in the future our business and the results of our operations and financial condition, including changes in inflation, interest rates and overall economic conditions and uncertainties such as those resulting from the current and future conditions in the global financial markets. For instance, inflation has negatively impacted the Company by increasing our labor costs, through higher wages and higher interest rates, and operating costs.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on favorable terms, or at all, in order to fund our operations.</w:t>
      </w:r>
    </w:p>
    <w:p>
      <w:pPr>
        <w:spacing w:after="0" w:line="5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are susceptible to changes in the U.S. economy. The U.S. economy has been affected from time to time by economic downturns or recessions, supply chain constraints, rising and fluctuating inflation and interest rates, restricted credit, poor liquidity, reduced corporate profitability, volatility in credit, equity and foreign exchange markets, bankruptcies and overall uncertainty with respect to the economy. For example, on March 10 and March 12, 2023, the Federal Deposit Insurance Corporation (“FDIC”) took control and was appointed receiver of Silicon Valley Bank (“SVB”) and Signature Bank, respectively, after each bank was unable to continue their operations. These events exposed vulnerabilities in the banking sector, including legal uncertainties, significant volatility and contagion risk, and caused market prices of regional bank stocks to plummet. As of the date of this filing, we don’t have any exposure to SVB and Signature Bank, however, we are unable to predict the extent or nature of the impacts of these evolving circumstances at this time. If, for example, other banks and financial institutions enter receivership or become insolvent in the future in response to financial conditions affecting the banking system and financial markets, our ability to access our existing cash, cash equivalents and investments may be threatened. While it is not possible at this time to predict the extent of the impact that the failure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SVB and Signature Bank or the high market volatility and instability of the banking sector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spacing w:after="0" w:line="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addition, any further deterioration in the U.S. economy would likely affect the operation of our business and ability to raise capital. In addition, U.S. debt ceiling and budget deficit concerns have increased the possibility of additional credit-rating downgrades and economic slowdowns, or a recession in the United States. Although U.S. lawmakers passed legislation to raise the federal debt ceiling on multiple occasions,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Similarly, these macroeconomic factors could affect the ability of our third-party suppliers and manufacturers to manufacture clinical trial materials for our product candidates.</w:t>
      </w:r>
    </w:p>
    <w:p>
      <w:pPr>
        <w:spacing w:after="0" w:line="200" w:lineRule="exact"/>
        <w:rPr>
          <w:sz w:val="20"/>
          <w:szCs w:val="20"/>
          <w:color w:val="auto"/>
        </w:rPr>
      </w:pP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Actions of activist stockholders against us have been and could be disruptive and costly and may cause uncertainty about the strategic direction of our business.</w:t>
      </w:r>
    </w:p>
    <w:p>
      <w:pPr>
        <w:spacing w:after="0" w:line="6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Stockholders have in the past and may, from time to time, engage in proxy solicitations or advance stockholder proposals, or otherwise attempt to effect changes and assert influence on our board of directors and management. For example, on February 9, 2021, Tang Capital Partners LP, Tang Capital Management, LLC and Kevin Tang (collectively, “Tang”) submitted an advisory stockholder proposal for consideration at our 2021 annual meeting of stockholders to commence a process to sell Aptevo to the highest bidder ("Tang Proposal"). Activist campaigns that contest or conflict with our strategic direction or seek changes in the composition of our board of directors or management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a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income will depend, in part, on the ability of Medexus to successfully further develop, market and commercialize IXINITY, resulting in milestone payments to the Company by Medexus.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 xml:space="preserve">On February 28, 2020, we entered into a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were earned at the rate of 2% of net revenue through June 2022. As of June 30, 2022, the royalty rate on net revenue of IXINITY increased to 5%. On March 29, 2023, we entered into and closed a Purchase Agreement with XOMA pursuant to which we sold to XOMA our right, title, and interest to all future deferred payments from Medexus and a portion of potential milestones. As consideration, we received $9.6 million at closing from XOMA and an additional $0.05 million post-closing payment. We accounted for the $9.6 million Closing Payment and the $0.05 million post-closing payment from XOMA as other income in accordance with ASC 610-20 </w:t>
      </w:r>
      <w:r>
        <w:rPr>
          <w:rFonts w:ascii="Arial" w:cs="Arial" w:eastAsia="Arial" w:hAnsi="Arial"/>
          <w:sz w:val="17"/>
          <w:szCs w:val="17"/>
          <w:i w:val="1"/>
          <w:iCs w:val="1"/>
          <w:color w:val="auto"/>
        </w:rPr>
        <w:t>Other Income - Gains and Losses from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Derecognition of Nonfinancial Assets </w:t>
      </w:r>
      <w:r>
        <w:rPr>
          <w:rFonts w:ascii="Arial" w:cs="Arial" w:eastAsia="Arial" w:hAnsi="Arial"/>
          <w:sz w:val="17"/>
          <w:szCs w:val="17"/>
          <w:color w:val="auto"/>
        </w:rPr>
        <w:t>in the first quarter of 2023.</w:t>
      </w:r>
    </w:p>
    <w:p>
      <w:pPr>
        <w:spacing w:after="0" w:line="7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Medexus’ ability to continue to successfully commercialize the IXINITY business may be affected, and we may experience potential impacts on our future milestone payments from Medexus due to the macroeconomic and geopolitical environment. The failure of Medexus to successfully market and commercialize IXINITY, including because of factors outside of Medexus’ control, could result in lower than expected milestone payments to us and negatively impact our future financial and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unpredictable and may fluctuate.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as a result of a variety of factors, including: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ind w:left="1340" w:hanging="373"/>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and timing of any milestone payments with respect to sales of IXINITY by Medexus;</w:t>
      </w:r>
    </w:p>
    <w:p>
      <w:pPr>
        <w:spacing w:after="0" w:line="117" w:lineRule="exact"/>
        <w:rPr>
          <w:rFonts w:ascii="Arial" w:cs="Arial" w:eastAsia="Arial" w:hAnsi="Arial"/>
          <w:sz w:val="18"/>
          <w:szCs w:val="18"/>
          <w:color w:val="auto"/>
        </w:rPr>
      </w:pPr>
    </w:p>
    <w:p>
      <w:pPr>
        <w:ind w:left="1340" w:hanging="373"/>
        <w:spacing w:after="0"/>
        <w:tabs>
          <w:tab w:leader="none" w:pos="1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and to what extent future milestone payments are received under our Amendment to Royalty Purchase Agreement with HCR;</w:t>
      </w:r>
    </w:p>
    <w:p>
      <w:pPr>
        <w:spacing w:after="0" w:line="140" w:lineRule="exact"/>
        <w:rPr>
          <w:rFonts w:ascii="Arial" w:cs="Arial" w:eastAsia="Arial" w:hAnsi="Arial"/>
          <w:sz w:val="16"/>
          <w:szCs w:val="16"/>
          <w:color w:val="auto"/>
        </w:rPr>
      </w:pPr>
    </w:p>
    <w:p>
      <w:pPr>
        <w:jc w:val="both"/>
        <w:ind w:left="1340" w:hanging="373"/>
        <w:spacing w:after="0" w:line="263" w:lineRule="auto"/>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75" w:lineRule="exact"/>
        <w:rPr>
          <w:rFonts w:ascii="Arial" w:cs="Arial" w:eastAsia="Arial" w:hAnsi="Arial"/>
          <w:sz w:val="18"/>
          <w:szCs w:val="18"/>
          <w:color w:val="auto"/>
        </w:rPr>
      </w:pPr>
    </w:p>
    <w:p>
      <w:pPr>
        <w:ind w:left="1340" w:hanging="373"/>
        <w:spacing w:after="0" w:line="277" w:lineRule="auto"/>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cost, and level of investment in our research and development and clinical activities as well as expenditures we will or may incur to acquire or develop additional technologies, products and product candidates.</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Due to the macroeconomic and geopolitical environment, we may experience delays in opportunities to partner our product candidates, due to financial and other impacts on potential partners. Additionally, we may experience potential impacts on our future milestone payments from Medexus, which may impact Medexus’ ability to continue to successfully commercialize the IXINITY businesses. These and other factors may have a material adverse effect on our business, results of operations and financial condition.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future cash flow will depend, in part, on the ability of Pfizer to successfully sell RUXIENCE and our receipt of milestone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5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On June 25, 2020, we announced that we were entitled to royalty payments from Pfizer related to sales of a rituximab biosimilar product, RUXIENCE (Rituximab-pvvr), which was approved by the U.S. Food and Drug Administration in July 2019 and launched by Pfizer in the United States and Japan in early 2020, and the European Union in the third quarter of 2020. The payments from Pfizer relate to a Collaboration and License Agreement acquired by us as part of our spin-off from Emergent in 2016, which applies a fixed royalty rate of 2.5% on global net sales of RUXIENCE. The agreement was originally executed by Trubion Pharmaceuticals (which was subsequently acquired by Emergent) and Wyeth (a wholly-owned subsidiary of Pfizer).</w:t>
      </w:r>
    </w:p>
    <w:p>
      <w:pPr>
        <w:spacing w:after="0" w:line="5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March 30, 2021, we entered into and closed a Royalty Purchase Agreement with HCR pursuant to which we sold to HCR the right to receive royalty payments made by Pfizer in respect of global net sales of RUXIENCE. Under the terms of the Royalty Purchase Agreement, we have received $47.5 million through June 30, 2023 ($35 million at closing and $12.5 million in milestone payments) and we are eligible to receive an additional $10 million based on the achievement of sales milestone 2023.</w:t>
      </w:r>
    </w:p>
    <w:p>
      <w:pPr>
        <w:spacing w:after="0" w:line="7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have no control over the sales of RUXIENCE and are therefore dependent on the efforts and ability of Pfizer to generate net sales of RUXIENCE sufficient for us to receive Milestone Payments under the Royalty Purchase Agreement. The failure of Pfizer to successfully generate such net sales could negatively impact our future financial and operating results and our results of operations could therefore be adversely affected. Additionally, even if Pfizer is able to generate net sales of RUXIENCE sufficient for us to receive such milestone payments, if HCR breaches the Royalty Purchase Agreement (for example, by not making required payments when due, or at all), disputes or litigation may arise. Such disputes or litigation could be time-consuming and expensive and could adversely affect our business.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cannot successfully defend ourselves against future claims that our product candidates caused injuries, we may incur substantial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Regardless of merit or eventual outcome, product liability claims may result in:</w:t>
      </w:r>
    </w:p>
    <w:p>
      <w:pPr>
        <w:spacing w:after="0" w:line="103" w:lineRule="exact"/>
        <w:rPr>
          <w:sz w:val="20"/>
          <w:szCs w:val="20"/>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or withdrawal of an approved product;</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commercialize products that we may develop.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both"/>
        <w:ind w:firstLine="509"/>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Operating Officer, Jeffrey G. Lamothe, our Chief Financial Officer, Daphne Taylor, our General Counsel, SoYoung Kwon,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completed a Section 382 study and have concluded that we experienced an “ownership change” as defined in Section 382 of the U.S. Internal Revenue Code of 1986, as amended (the "Code"), and thus the tax benefits of our pre-“ownership change” net operating loss carryforwards and certain other tax attributes will be subject to an annual limitation under Sections 382 and 383 of the Code.</w:t>
      </w:r>
    </w:p>
    <w:p>
      <w:pPr>
        <w:spacing w:after="0" w:line="5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stock owned by the 5% stockholders at any time during the applicable testing period, which is generally the rolling three-year period preceding the date of the potential ownership change testing event. Such potential ownership change testing events include changes involving a stockholder becoming a 5% stockholder or arising from a new issuance of capital stock or share repurchases by the corporation, subject to certain exceptions.</w:t>
      </w:r>
    </w:p>
    <w:p>
      <w:pPr>
        <w:spacing w:after="0" w:line="8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November 2020 is 0.89%).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8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Sections 382 and 383 of the Code in the taxable year that such built-in gains are recognized or deemed recognized (but only up to the amount of the net unrealized built-in gain), while certain built-in losses recognized during such five-year period are subject to the annual limitation under Section 382 of the Code (but only up to the amount of the net unrealized built-in loss).</w:t>
      </w:r>
    </w:p>
    <w:p>
      <w:pPr>
        <w:spacing w:after="0" w:line="84" w:lineRule="exact"/>
        <w:rPr>
          <w:sz w:val="20"/>
          <w:szCs w:val="20"/>
          <w:color w:val="auto"/>
        </w:rPr>
      </w:pPr>
    </w:p>
    <w:p>
      <w:pPr>
        <w:jc w:val="both"/>
        <w:ind w:firstLine="530"/>
        <w:spacing w:after="0" w:line="257" w:lineRule="auto"/>
        <w:rPr>
          <w:sz w:val="20"/>
          <w:szCs w:val="20"/>
          <w:color w:val="auto"/>
        </w:rPr>
      </w:pPr>
      <w:r>
        <w:rPr>
          <w:rFonts w:ascii="Arial" w:cs="Arial" w:eastAsia="Arial" w:hAnsi="Arial"/>
          <w:sz w:val="18"/>
          <w:szCs w:val="18"/>
          <w:color w:val="auto"/>
        </w:rPr>
        <w:t>As of December 31, 2022, we had approximately $156.2 million and $71.1 million of federal and state net operating loss carryforwards, respectively, available to reduce future taxable income that will begin to expire in 2037 for federal income tax purposes. We completed an IRC Section 382 study through December 31, 2021. The study concluded that we have experienced an ownership change in November of 2020 and December of 2020 and $162.6 of our NOL carry forwards are subject to an annual limitation. It is not expected that the annual limitations will result in the expiration of NOL carryforwards prior to utilization assuming sufficient income.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jc w:val="both"/>
        <w:ind w:firstLine="509"/>
        <w:spacing w:after="0" w:line="259" w:lineRule="auto"/>
        <w:rPr>
          <w:sz w:val="20"/>
          <w:szCs w:val="20"/>
          <w:color w:val="auto"/>
        </w:rPr>
      </w:pPr>
      <w:r>
        <w:rPr>
          <w:rFonts w:ascii="Arial" w:cs="Arial" w:eastAsia="Arial" w:hAnsi="Arial"/>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7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change to the deductibility of our research and development expenditures enacted under the Tax Cuts and Jobs Act ("TCJA") could increase the amount of taxes to which we are subject and our effective tax rate.</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Beginning in 2022, the TCJA eliminates the option to deduct research and development expenditures currently and requires taxpayers to capitalize and amortize these expenditures over five or fifteen years depending on the type of research and development expenditure pursuant to Section 174 of the Code. Such change to the deductibility of our research and development expenditures could increase the amount of taxes to which we are subject and our effective tax rate.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investments are subject to market and credit risks that could diminish their value and these risks could be greater during periods of extreme volatility or disruption in the financial and credit markets, which could adversely impact our business, financial condition, results of operations, liquidity and cash flows.</w:t>
      </w:r>
    </w:p>
    <w:p>
      <w:pPr>
        <w:spacing w:after="0" w:line="7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Our investments are subject to risks of credit defaults and changes in market values. Periods of macroeconomic weakness or recession, heightened volatility or disruption in the financial and credit markets, such as the current macroeconomic environment, increase these risks, potentially resulting in other-than-temporary impairment of assets in our investment portfolio. The impact of geopolitical tension, such as a deterioration in the bilateral relationship between the US and China or Russia’s invasion of Ukraine, including any additional sanctions, export controls or other restrictive actions that may be imposed by the United States and/or other countries against governmental or other entities in, for example, Russia, also could lead to disruption, instability and volatility in the global markets, which may have an impact on our investments across negatively impacted sectors or geographies.</w:t>
      </w:r>
    </w:p>
    <w:p>
      <w:pPr>
        <w:spacing w:after="0" w:line="1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COVID-19 pandemic, reoccurrences of COVID-19 or other pandemics, or other future widespread public health epidemics could adversely impact our business, including our clinical trials.</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The COVID-19 pandemic caused severe global economic and societal disruptions and uncertainties. Although the COVID-19 pandemic has ended, reoccurrences of COVID-19 or other pandemics, or other future widespread public health epidemics may cause disruptions that could severely impact our business, such as delays or difficulties to the financing environment and raising capital due to economic uncertainty or volatility; supply constraints; delays in opportunities to partner our product candidates, due to financial and other impacts on potential partners; diversion of healthcare resources away from the conduct of clinical trials; potential impacts on our future milestone payments from Medexus due to the environment which may impact Medexus’ ability to continue to successfully commercialize the IXINITY business or Pfizer to successfully commercialize RUXIENCE; and negative impacts on suppliers and licensees. The ultimate impact of COVID-19 reoccurrences or other pandemics on our business, results of operations, financial condition and cash flows is dependent on future developments, including the duration of any pandemic and the related length of its impact on the United States and global economies, which are uncertain and cannot be predicted at this time. The impact of the COVID-19 pandemic, recurrences, or future other pandemics may also exacerbate many of the other risks described in this “Risk Factors” section. Despite our efforts to manage these impacts, their ultimate impact depends on factors beyond our knowledge or control, including the duration and severity of any outbreak and actions taken to contain its spread and mitigate its public health effects. The foregoing and other continued disruptions in our business as a result of COVID-19 could result in a material adverse effect on our business, results of operations, financial condition, prospects and the trading prices of our securities in the near-term and beyond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3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The results of our current and planned preclinical studies and clinical trials may not satisfy the requirements of the FDA or non-U.S. regulatory authorities. Results from early preclinical studies and clinical trials may not be predictive of results from later-stage or other trials and interim or top line data may be subject to change or qualification based on the complete analysis of data.</w:t>
      </w:r>
    </w:p>
    <w:p>
      <w:pPr>
        <w:spacing w:after="0" w:line="5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concluded enrollment in our Phase 1b clinical trial with APVO436 and are in the process of initiating a Phase 2 study in the second half of 2023. Additionally, we initiated a first-in-human Phase 1 clinical study of ALG.APV-527 in the first quarter of 2023. None of our other product candidates have entered clinical development. Clinical failure can occur at any stage of preclinical or clinical development. Preclinical studies and clinical trials may produce inconsistent, negative or inconclusive results. The FDA or a non-US regulatory authority may require us to conduct additional clinical or preclinical testing. Success in early preliminary data, preclinical studies and clinical trials does not mean that future larger registration clinical trials will be successful and interim results of a clinical trial do not necessarily predict final results. Product candidates in later-stage clinical trials may fail to demonstrate sufficient safety and efficacy to the satisfaction of the FDA and non-U.S. regulatory authorities despite having progressed through initial clinical trials.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6"/>
          <w:szCs w:val="16"/>
          <w:color w:val="auto"/>
        </w:rPr>
        <w:t>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adherence to the dosing regimen and other clinical trial protocols and the rate of 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Any of these events could limit the commercial potential of our product candidates and have a material adverse effect on our business, prospects, financial condition and results of operations.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6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addition, our APVO436 clinical trial is an open-label study and is conducted at a limited number of clinical sites on a limited number of patients. An “open-label” clinical trial is one where both the patient and investigator know whether the patient is receiving the investigational product candidate or an existing approved drug. Most typically, open-label clinical trials test only the investigational product candidate and sometimes may do so at different dose levels or in combination with other drugs.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these clinical trials may not be predictive of future clinical trial results with APVO436 or other product candidates. In addition, although the FDA issued a “may proceed” notification which allowed us and Alligator to initiate our Phase 1 clinical trial of ALG.APV-527, we cannot guarantee that this trial or future trials of ALG.APV-527 will show the desired safety and efficacy.</w:t>
      </w:r>
    </w:p>
    <w:p>
      <w:pPr>
        <w:spacing w:after="0" w:line="74"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For example, we released preliminary data regarding our APVO436 Phase 1b clinical trial study which may change or be inconsistent with future results. Even in situations where a clinical stage candidate appears to be benefiting a patient, that benefit may not be of a permanent nature.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6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76" w:lineRule="exact"/>
        <w:rPr>
          <w:sz w:val="20"/>
          <w:szCs w:val="20"/>
          <w:color w:val="auto"/>
        </w:rPr>
      </w:pPr>
    </w:p>
    <w:p>
      <w:pPr>
        <w:jc w:val="both"/>
        <w:ind w:left="1260" w:hanging="368"/>
        <w:spacing w:after="0" w:line="263"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75"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contract research organizations ("CROs");</w:t>
      </w:r>
    </w:p>
    <w:p>
      <w:pPr>
        <w:spacing w:after="0" w:line="62" w:lineRule="exact"/>
        <w:rPr>
          <w:rFonts w:ascii="Arial" w:cs="Arial" w:eastAsia="Arial" w:hAnsi="Arial"/>
          <w:sz w:val="18"/>
          <w:szCs w:val="18"/>
          <w:color w:val="auto"/>
        </w:rPr>
      </w:pPr>
    </w:p>
    <w:p>
      <w:pPr>
        <w:ind w:left="1260" w:hanging="368"/>
        <w:spacing w:after="0" w:line="342"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regulators may require us to perform additional or unanticipated clinical trials to obtain approval or we may be subject to additional post-marketing testing, surveillance, or Risk Evaluation and Mitigation Strategy ("REMS") requirements to maintain regulatory approval;</w:t>
      </w:r>
    </w:p>
    <w:p>
      <w:pPr>
        <w:spacing w:after="0" w:line="15" w:lineRule="exact"/>
        <w:rPr>
          <w:rFonts w:ascii="Arial" w:cs="Arial" w:eastAsia="Arial" w:hAnsi="Arial"/>
          <w:sz w:val="16"/>
          <w:szCs w:val="16"/>
          <w:color w:val="auto"/>
        </w:rPr>
      </w:pPr>
    </w:p>
    <w:p>
      <w:pPr>
        <w:ind w:left="1260" w:hanging="368"/>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or our studies may fail to reach the necessary level of statistical significance;</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marketing approval policies, laws, regulations, or the regulatory review process during the development period rendering our data insufficient to obtain marketing approval;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ind w:left="1260" w:hanging="368"/>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fail to reach an agreement with regulators or IRBs regarding the scope, design, or implementation of our clinical trials;</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spacing w:after="0" w:line="62" w:lineRule="exact"/>
        <w:rPr>
          <w:rFonts w:ascii="Arial" w:cs="Arial" w:eastAsia="Arial" w:hAnsi="Arial"/>
          <w:sz w:val="18"/>
          <w:szCs w:val="18"/>
          <w:color w:val="auto"/>
        </w:rPr>
      </w:pPr>
    </w:p>
    <w:p>
      <w:pPr>
        <w:ind w:left="1260" w:hanging="368"/>
        <w:spacing w:after="0" w:line="308" w:lineRule="auto"/>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spacing w:after="0" w:line="38" w:lineRule="exact"/>
        <w:rPr>
          <w:rFonts w:ascii="Arial" w:cs="Arial" w:eastAsia="Arial" w:hAnsi="Arial"/>
          <w:sz w:val="17"/>
          <w:szCs w:val="17"/>
          <w:color w:val="auto"/>
        </w:rPr>
      </w:pPr>
    </w:p>
    <w:p>
      <w:pPr>
        <w:ind w:left="1260" w:hanging="368"/>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not accept data from studies with clinical trial sites in foreign countries;</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regulatory authorities may disagree with our intended indications;</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The regulatory authorities and policies governing the development of our product candidates may also change at any time.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6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submitted an IND for ALG.APV-527 to the FDA in the second half of 2022 for which we received a “may proceed” notification from the FDA. However, we may not be able to file future INDs for our product candidates on the timelines we expect. For example, we may experience manufacturing delays or other delays with IND-enabling studies. Moreover, we cannot be sure that submission of future INDs will result in the FDA allowing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APVO436 has received orphan drug designation for acute myelogenous leukemia and thus has a relatively small patient population. Also, the eligibility criteria of our clinical trials may further limit the pool of available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study participants as we require that patients have specific characteristics that we can measure to assure their disease is either severe enough or not too advanced to include them in a study.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7" w:lineRule="exact"/>
        <w:rPr>
          <w:sz w:val="20"/>
          <w:szCs w:val="20"/>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of the clinical trial, including the patient eligibility criteria for the study in question;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reporting of preliminary results of any of our clinical trial sites;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inability to enroll a sufficient number of patients for clinical trials could result in significant delays and could require us to abandon one or more clinical trials altogether. Site initiation and enrollment delays in our clinical trials may result in increased development costs for our product candidates, delays in the availability of preliminary or final results, and delays to commercially launching our product candidates, if approved, which may cause the value of our company to decline and limit our ability to obtain additional financing.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7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Serious adverse events or undesirable side effects caused by, or other unexpected properties of any of our product candidates, either when used alone or in combination with other approved or investigational therapies, could cause us or regulatory authorities to interrupt, delay or halt our development activities and manufacturing and distribution operations and could result in a more restrictive label, the imposition of a clinical hold, suspension,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5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the FDA or comparable foreign regulatory authorities could suspend or terminate a clinical trial or deny approval of our product candidates. Furthermore, we are currently and may in the future evaluate our product candidates in combination with approved and/or experimental therapies. These combinations may have additional or more severe side effects than caused by our product candidate as monotherapies. The uncertainty resulting from the use of our product candidate in combination with other therapies may make it difficult to accurately predict side effects or efficacy in potential future clinical trials. If our product candidates receive marketing approval and we or others later identify undesirable side effects caused by such products, a number of potentially significant negative consequences may result, including:</w:t>
      </w:r>
    </w:p>
    <w:p>
      <w:pPr>
        <w:spacing w:after="0" w:line="64" w:lineRule="exact"/>
        <w:rPr>
          <w:sz w:val="20"/>
          <w:szCs w:val="20"/>
          <w:color w:val="auto"/>
        </w:rPr>
      </w:pPr>
    </w:p>
    <w:p>
      <w:pPr>
        <w:ind w:left="1260" w:hanging="368"/>
        <w:spacing w:after="0"/>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regulatory authorities may require us to conduct additional clinical trials or abandon our research efforts for our other product candidates;</w:t>
      </w:r>
    </w:p>
    <w:p>
      <w:pPr>
        <w:spacing w:after="0" w:line="140" w:lineRule="exact"/>
        <w:rPr>
          <w:rFonts w:ascii="Arial" w:cs="Arial" w:eastAsia="Arial" w:hAnsi="Arial"/>
          <w:sz w:val="16"/>
          <w:szCs w:val="16"/>
          <w:color w:val="auto"/>
        </w:rPr>
      </w:pPr>
    </w:p>
    <w:p>
      <w:pPr>
        <w:ind w:left="1260" w:hanging="368"/>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jc w:val="both"/>
        <w:ind w:left="1260" w:hanging="368"/>
        <w:spacing w:after="0" w:line="286" w:lineRule="auto"/>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authorities may require implementation of a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57" w:lineRule="exact"/>
        <w:rPr>
          <w:rFonts w:ascii="Arial" w:cs="Arial" w:eastAsia="Arial" w:hAnsi="Arial"/>
          <w:sz w:val="17"/>
          <w:szCs w:val="17"/>
          <w:color w:val="auto"/>
        </w:rPr>
      </w:pPr>
    </w:p>
    <w:p>
      <w:pPr>
        <w:ind w:left="1260" w:hanging="368"/>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approval and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do not have the ability to independently conduct the clinical and preclinical trials required to obtain regulatory approval for our product candidates. We depend on third parties, such as independent clinical investigators, research sites, contract research organizations, or CROs, and other third-party service providers to conduct the clinical and preclinical trials of our product candidates, and we expect to continue to do so. For example, Dr. Dirk Huebner, Chief Medical Officer, is providing clinical trial and medical affairs oversight duties as an independent consultant. We rely heavily on Dr. Huebner and these other third parties for successful execution and oversight of our clinical and non-clinical trials, but we do not exercise day to day control over their activities.</w:t>
      </w:r>
    </w:p>
    <w:p>
      <w:pPr>
        <w:spacing w:after="0" w:line="8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circumstances out of our control,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w:t>
      </w:r>
    </w:p>
    <w:p>
      <w:pPr>
        <w:spacing w:after="0" w:line="8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 In addition, our clinical trials must be conducted with product produced under GMP and similar regulations outside of the United States. Our failure, or the failure of our product candidate manufacturers, to comply with these regulations may require us to repeat or redesign clinical trials, or conduct additional trials, which would increase our development costs and delay or impact the conduct of our preclinical studies, clinical trials, and the likelihood of regulatory approval.</w:t>
      </w:r>
    </w:p>
    <w:p>
      <w:pPr>
        <w:spacing w:after="0" w:line="6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6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both"/>
        <w:spacing w:after="0" w:line="257" w:lineRule="auto"/>
        <w:rPr>
          <w:sz w:val="20"/>
          <w:szCs w:val="20"/>
          <w:color w:val="auto"/>
        </w:rPr>
      </w:pPr>
      <w:r>
        <w:rPr>
          <w:rFonts w:ascii="Arial" w:cs="Arial" w:eastAsia="Arial" w:hAnsi="Arial"/>
          <w:sz w:val="18"/>
          <w:szCs w:val="18"/>
          <w:color w:val="auto"/>
        </w:rPr>
        <w:t>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8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Manufacture of our product candidates, especially in large quantities, is complex and time consuming. The loss of any of our third-party manufacturers, or delays or problems in the manufacture of our product candidates, could result in product shortages and/or delays in clinical development.</w:t>
      </w:r>
    </w:p>
    <w:p>
      <w:pPr>
        <w:spacing w:after="0" w:line="7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do not have manufacturing capabilities and do not plan to develop such capacity in the foreseeable future. We depend on a limited number of third-party suppliers for the production of our product candidates. Accordingly, our ability to develop and deliver product candidates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8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5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If these third-party manufacturers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6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w:t>
      </w:r>
    </w:p>
    <w:p>
      <w:pPr>
        <w:spacing w:after="0" w:line="41"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In some cases, the technical skills required to manufacture our products or product candidates may be unique or proprietary to the original manufacturer and we may have difficulty, or there may be contractual restrictions prohibiting us from, transferring such skills to an alternate supplier in a timely fashion if at all. The addition of a new or alternative manufacturer may also require FDA approvals and may have a material adverse effect on our business.</w:t>
      </w:r>
    </w:p>
    <w:p>
      <w:pPr>
        <w:spacing w:after="0" w:line="5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jc w:val="both"/>
        <w:ind w:firstLine="509"/>
        <w:spacing w:after="0" w:line="273" w:lineRule="auto"/>
        <w:rPr>
          <w:sz w:val="20"/>
          <w:szCs w:val="20"/>
          <w:color w:val="auto"/>
        </w:rPr>
      </w:pPr>
      <w:r>
        <w:rPr>
          <w:rFonts w:ascii="Arial" w:cs="Arial" w:eastAsia="Arial" w:hAnsi="Arial"/>
          <w:sz w:val="17"/>
          <w:szCs w:val="17"/>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7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5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7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Additionally, we may be unable to contract with alternative manufacturers on favorable or reasonable terms. Any new manufacturers would need to either obtain or develop the necessary manufacturing know-how, and obtain the necessary equipment and materials, which may take substantial time and investment.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jc w:val="both"/>
        <w:spacing w:after="0" w:line="254" w:lineRule="auto"/>
        <w:rPr>
          <w:sz w:val="20"/>
          <w:szCs w:val="20"/>
          <w:color w:val="auto"/>
        </w:rPr>
      </w:pPr>
      <w:r>
        <w:rPr>
          <w:rFonts w:ascii="Arial" w:cs="Arial" w:eastAsia="Arial" w:hAnsi="Arial"/>
          <w:sz w:val="18"/>
          <w:szCs w:val="18"/>
          <w:color w:val="auto"/>
        </w:rPr>
        <w:t>submitted to the FDA or any 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produce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must also receive FDA approval for the use of any new manufacturers for commercial supply.</w:t>
      </w:r>
    </w:p>
    <w:p>
      <w:pPr>
        <w:spacing w:after="0" w:line="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cost-effective manner, and as a result, our development programs will be delayed, our financial performance will be adversely impacted and we will be unable to meet our long-term goals.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7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7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5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4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93"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by the FDA for a product candidate that we develop, and we may be unsuccessful. If we are successful, the designation may not lead to a faster development or regulatory review or approval process, and it does not increase the likelihood that our product candidates will receive marketing approval.</w:t>
      </w:r>
    </w:p>
    <w:p>
      <w:pPr>
        <w:spacing w:after="0" w:line="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the product candidates we develop qualify as breakthrough therapies, the FDA may later decide that the drugs no longer meet the conditions for qualification and rescind the designation.</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seek designation for our ADAPTIR and ADAPTIR-FLEX platform technologies as a designated platform technology, but we might not receive such designation, and even if we do, such designation may not lead to a faster development, regulatory review or approval process.</w:t>
      </w:r>
    </w:p>
    <w:p>
      <w:pPr>
        <w:spacing w:after="0" w:line="16"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may seek designation for our ADAPTIR and ADAPTIR-FLEX platform technologies as a designated platform technology. Under the FDORA, a platform technology incorporated within or utilized by a biologic is eligible for designation as a designated platform technology if (1) the platform technology is incorporated in, or utilized by, a product approved under a BLA; (2) preliminary evidence submitted by the sponsor of the approved or licensed product, or a sponsor that has been granted a right of reference to data submitted in the application for such product, demonstrates that the platform technology has the potential to be incorporated in, or utilized by, more than one product without an adverse effect on quality, manufacturing, or safety; and</w:t>
      </w:r>
    </w:p>
    <w:p>
      <w:pPr>
        <w:spacing w:after="0" w:line="2" w:lineRule="exact"/>
        <w:rPr>
          <w:sz w:val="20"/>
          <w:szCs w:val="20"/>
          <w:color w:val="auto"/>
        </w:rPr>
      </w:pPr>
    </w:p>
    <w:p>
      <w:pPr>
        <w:jc w:val="both"/>
        <w:ind w:firstLine="8"/>
        <w:spacing w:after="0" w:line="287" w:lineRule="auto"/>
        <w:tabs>
          <w:tab w:leader="none" w:pos="259" w:val="left"/>
        </w:tabs>
        <w:numPr>
          <w:ilvl w:val="0"/>
          <w:numId w:val="20"/>
        </w:numPr>
        <w:rPr>
          <w:rFonts w:ascii="Arial" w:cs="Arial" w:eastAsia="Arial" w:hAnsi="Arial"/>
          <w:sz w:val="16"/>
          <w:szCs w:val="16"/>
          <w:color w:val="auto"/>
        </w:rPr>
      </w:pPr>
      <w:r>
        <w:rPr>
          <w:rFonts w:ascii="Arial" w:cs="Arial" w:eastAsia="Arial" w:hAnsi="Arial"/>
          <w:sz w:val="16"/>
          <w:szCs w:val="16"/>
          <w:color w:val="auto"/>
        </w:rPr>
        <w:t>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product that incorporates or utilizes the platform technology that is the subject of the request. If so designated, the FDA may expedite the development and review of any subsequent original BLA for a product that uses or incorporates the platform technology. Even if we believe our platform technology meets the criteria for such designation, the FDA may disagree and instead determine not to grant such designation. In addition, the receipt of such designation for a platform technology does not ensure that a product will be developed more quickly or receive a faster FDA review process or ultimate FDA approval. Moreover, the FDA may revoke a designation if the FDA determines that a designated platform technology no longer meets the criteria for such designation.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 the past and may in the future conduct clinical trials for our product candidates outside the United States, and the FDA or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authorities may not accept data from such trials in the development or approval of our product candidates in those jurisdictions.</w:t>
      </w:r>
    </w:p>
    <w:p>
      <w:pPr>
        <w:spacing w:after="0" w:line="12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have in the past and may in the future conduct clinical trials outside the U.S. and the FDA and foreign regulatory authorities may not accept those data in support of the further development or approval of our product candidates. The acceptance of trial data from clinical trials conducted outside the United States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w:t>
      </w:r>
    </w:p>
    <w:p>
      <w:pPr>
        <w:spacing w:after="0" w:line="7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such foreign trials will be subject to the applicable local laws of the foreign jurisdictions where the trials are conducted. There can be no assurance that the FDA or any applicable foreign regulatory authority will accept data from trials conducted outside of the United States. If the FDA or any applicable foreign regulatory authority does not accept such data, it would result in the need to conduct additional trials beyond those we have planned, which would be costly and time-consuming and delay aspects of our business plan, and which may result in our product candidates not receiving marketing approval for commercialization in the applicable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products, we currently generate no revenues from sales of any products, and we may never be able to develop or commercialize a marketable product.</w:t>
      </w:r>
    </w:p>
    <w:p>
      <w:pPr>
        <w:spacing w:after="0" w:line="14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two clinical-stage candidates, APVO436 and ALG.APV-527, which were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 post-marketing testing requirements, surveillance requirements, or REMS. To the extent any of the foregoing should occur, our business may be materially harmed.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or ADAPTIR-FLEX platforms.</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 key element of our strategy is to expand our product pipeline of immuno-oncology candidates based on our ADAPTIR and ADAPTIR-FLEX platform technologies.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and will continue to face substantial competition and our failure to effectively compete may prevent us from achieving significant market penetration for our product candidates, if approved.</w:t>
      </w:r>
    </w:p>
    <w:p>
      <w:pPr>
        <w:spacing w:after="0" w:line="6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or macroeconomic impacts more successfully, or more effectively negotiate third-party licensing and collaborative arrangements.</w:t>
      </w:r>
    </w:p>
    <w:p>
      <w:pPr>
        <w:spacing w:after="0" w:line="5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believe that our most significant competitors in the oncology market include: AbbVie Inc., Adagene, Affimed, Agenus, ALX Oncology Holdings Inc., Alligator Bioscience, Amgen Inc., Arcellx, BioNTech, AvenCell Therapeutics, Inc., Bio-Path, Bristol Myers Squibb, Cellectis, Compass Therapeutics, CStone Pharmaceuticals, Crescendo Bioscience, Elpiscience Biopharmaceuticals, Faron Pharma, F-star Therapeutics, FutureGen BioPharma, Genentech Inc. (a subsidiary of F. Hoffmann-La Roche Ltd.), Genmab A/S, Incyte, Gilead Sciences, Inc., GlaxoSmithKline plc, Harpoon Therapeutics, ImmunoGen, Inc., InhibRX Inc., Innate Pharma, Innovent Biotech, invoX Pharma, Janssen BioTech Inc (a subsidiary of Johnson &amp; Johnson), LAVA Therapeutics, Macrogenics, Inc., Merus N.V. and its subsidiary Merus US, Inc., Molecular Partners, Novartis, Numab, Pieris Pharmaceuticals, Inc., Regeneron Pharma, Sanofi-Aventis US LLC, Shattuck Labs, Syros Pharmaceuticals, Inc., Pfizer Inc., Servier Laboratories, Takeda Pharmaceuticals U.S.A., Inc. Menarini Group, University of Pennsylvania, University of North Carolina ,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healthcare reform measures may have a material adverse effect on our business and results of operations.</w:t>
      </w:r>
    </w:p>
    <w:p>
      <w:pPr>
        <w:spacing w:after="0" w:line="1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On June 17, 2021, the U.S. Supreme Court dismissed the most recent judicial challenge to the ACA brought by several states without specifically ruling on the constitutionality of the ACA. It is unclear how other healthcare reform measures of the Biden administration or other efforts, if any, to challenge, repeal or replace the ACA will impact our business. In addition, other legislative changes have been proposed and adopted in the United States since the ACA was enacted:</w:t>
      </w:r>
    </w:p>
    <w:p>
      <w:pPr>
        <w:spacing w:after="0" w:line="64" w:lineRule="exact"/>
        <w:rPr>
          <w:sz w:val="20"/>
          <w:szCs w:val="20"/>
          <w:color w:val="auto"/>
        </w:rPr>
      </w:pPr>
    </w:p>
    <w:p>
      <w:pPr>
        <w:jc w:val="both"/>
        <w:ind w:left="1260" w:hanging="368"/>
        <w:spacing w:after="0" w:line="275" w:lineRule="auto"/>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occurred beginning April 1, 2022 through June 30, 2022, and the 2% payment reduction will resume on July 1, 2022.</w:t>
      </w:r>
    </w:p>
    <w:p>
      <w:pPr>
        <w:spacing w:after="0" w:line="68" w:lineRule="exact"/>
        <w:rPr>
          <w:rFonts w:ascii="Arial" w:cs="Arial" w:eastAsia="Arial" w:hAnsi="Arial"/>
          <w:sz w:val="17"/>
          <w:szCs w:val="17"/>
          <w:color w:val="auto"/>
        </w:rPr>
      </w:pPr>
    </w:p>
    <w:p>
      <w:pPr>
        <w:jc w:val="both"/>
        <w:ind w:left="1260" w:hanging="368"/>
        <w:spacing w:after="0" w:line="275" w:lineRule="auto"/>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6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8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out-of-pocket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Legislative and regulatory agendas, as they relate to the healthcare and pharmaceutical industries and the economy as a whole, of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both"/>
        <w:spacing w:after="0" w:line="293" w:lineRule="auto"/>
        <w:rPr>
          <w:sz w:val="20"/>
          <w:szCs w:val="20"/>
          <w:color w:val="auto"/>
        </w:rPr>
      </w:pPr>
      <w:r>
        <w:rPr>
          <w:rFonts w:ascii="Arial" w:cs="Arial" w:eastAsia="Arial" w:hAnsi="Arial"/>
          <w:sz w:val="16"/>
          <w:szCs w:val="16"/>
          <w:color w:val="auto"/>
        </w:rPr>
        <w:t>Biden administration and the U.S. Congress currently remain uncertain. One example of President Biden’s priorities came via an executive order that he issued on July 9, 2021 directing the FDA to, among other things,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Any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spacing w:after="0" w:line="5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8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6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expensive. All of the product candidates that we are developing, or may develop in the future, require research and development, non-clinical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8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5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jc w:val="both"/>
        <w:ind w:firstLine="509"/>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84"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38"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5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6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 Manufacturers and manufacturers’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facilities are required to comply with extensive FDA, and comparable foreign regulatory authority requirements, including ensuring that quality control and manufacturing procedures conform to GMP requirements and applicable product tracking and tracing requirements.</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8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80" w:lineRule="exact"/>
        <w:rPr>
          <w:sz w:val="20"/>
          <w:szCs w:val="20"/>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modifications to promotional pieces and product labels;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 of corrective information;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requirements to conduct post-marketing studies or other clinical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requirements to establish or modify a REMS or a similar strategy;</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the way the product is administered;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warning, untitled, or cyber letters;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recalls of products;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4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For example, the current administration may implement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1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040" w:hanging="373"/>
        <w:spacing w:after="0" w:line="255"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84" w:lineRule="exact"/>
        <w:rPr>
          <w:rFonts w:ascii="Arial" w:cs="Arial" w:eastAsia="Arial" w:hAnsi="Arial"/>
          <w:sz w:val="18"/>
          <w:szCs w:val="18"/>
          <w:color w:val="auto"/>
        </w:rPr>
      </w:pPr>
    </w:p>
    <w:p>
      <w:pPr>
        <w:jc w:val="both"/>
        <w:ind w:left="1040" w:hanging="373"/>
        <w:spacing w:after="0" w:line="25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79" w:lineRule="exact"/>
        <w:rPr>
          <w:rFonts w:ascii="Arial" w:cs="Arial" w:eastAsia="Arial" w:hAnsi="Arial"/>
          <w:sz w:val="18"/>
          <w:szCs w:val="18"/>
          <w:color w:val="auto"/>
        </w:rPr>
      </w:pPr>
    </w:p>
    <w:p>
      <w:pPr>
        <w:jc w:val="both"/>
        <w:ind w:left="1040" w:hanging="373"/>
        <w:spacing w:after="0" w:line="291"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jc w:val="both"/>
        <w:ind w:left="1040" w:hanging="373"/>
        <w:spacing w:after="0" w:line="25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jc w:val="both"/>
        <w:ind w:left="1040" w:hanging="373"/>
        <w:spacing w:after="0" w:line="296"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Effective January 1,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53" w:lineRule="exact"/>
        <w:rPr>
          <w:rFonts w:ascii="Arial" w:cs="Arial" w:eastAsia="Arial" w:hAnsi="Arial"/>
          <w:sz w:val="16"/>
          <w:szCs w:val="16"/>
          <w:color w:val="auto"/>
        </w:rPr>
      </w:pPr>
    </w:p>
    <w:p>
      <w:pPr>
        <w:jc w:val="both"/>
        <w:ind w:left="1040" w:hanging="373"/>
        <w:spacing w:after="0" w:line="271"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7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7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6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6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85"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both"/>
        <w:spacing w:after="0" w:line="272" w:lineRule="auto"/>
        <w:rPr>
          <w:sz w:val="20"/>
          <w:szCs w:val="20"/>
          <w:color w:val="auto"/>
        </w:rPr>
      </w:pPr>
      <w:r>
        <w:rPr>
          <w:rFonts w:ascii="Arial" w:cs="Arial" w:eastAsia="Arial" w:hAnsi="Arial"/>
          <w:sz w:val="17"/>
          <w:szCs w:val="17"/>
          <w:color w:val="auto"/>
        </w:rPr>
        <w:t>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w:t>
      </w:r>
    </w:p>
    <w:p>
      <w:pPr>
        <w:spacing w:after="0" w:line="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on the part of employees or third parties, including computer hackers, encryption by ransomware, or may result from technological failure.</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5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customers and others, any of which could have a material adverse effect on our business, financial condition and results of operations.</w:t>
      </w:r>
    </w:p>
    <w:p>
      <w:pPr>
        <w:spacing w:after="0" w:line="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If a breach of our information technology systems occurs, we may incur additional costs related to repairing or rebuilding our internal systems, complying with breach notification laws,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in protecting our intellectual property depends significantly on our ability to:</w:t>
      </w:r>
    </w:p>
    <w:p>
      <w:pPr>
        <w:spacing w:after="0" w:line="68" w:lineRule="exact"/>
        <w:rPr>
          <w:sz w:val="20"/>
          <w:szCs w:val="20"/>
          <w:color w:val="auto"/>
        </w:rPr>
      </w:pPr>
    </w:p>
    <w:p>
      <w:pPr>
        <w:ind w:left="1260" w:hanging="368"/>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and maintain U.S. and foreign patents, that are meaningful to our products, including defending those patents against adverse claims;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jc w:val="both"/>
        <w:ind w:firstLine="509"/>
        <w:spacing w:after="0" w:line="275"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6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7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addition to patent litigation, we may be a party to adversarial proceedings before the Patent Trial and Appeal Board (PTAB) of the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7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8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4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If approved, our products regulated as biologics may face competition from biosimilars approved through an abbreviated regulatory pathway.</w:t>
      </w:r>
    </w:p>
    <w:p>
      <w:pPr>
        <w:spacing w:after="0" w:line="14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w:t>
      </w:r>
    </w:p>
    <w:p>
      <w:pPr>
        <w:spacing w:after="0" w:line="7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There is a similar abbreviated pathway for the approval of biosimilar products in the EU. Reference products in the EU benefit from an eight year data exclusivity period during which the data included in the dossier for the reference product may not be referenced for the purposes of an abbreviated biosimilar application. Following the expiration of the data exclusivity period, there is an additional two year period of market exclusivity during which a biosimilar marketing authorization application can be submitted, and the innovator’s data may be referenced, but no product can be placed on the market until the expiration of such period. The overall 10-year period can be extended to a maximum of 11 years in certain circumstances. As in the U.S., there is no guarantee that a product will qualify for the prescribed period of exclusivity and, even if a product does qualify, another company may market a competing version of the reference product if such company obtained a marketing authorization with a complete independent data package of pharmaceutical tests, preclinical tests and clinical trials.</w:t>
      </w:r>
    </w:p>
    <w:p>
      <w:pPr>
        <w:spacing w:after="0" w:line="8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Moreover, the extent to which a biosimilar, once licensed, will be substituted for any one of our reference products in a way that is similar to traditional generic substitution for non-biological products, and will depend on a number of marketplace and regulatory factors that are still developing. If competitors are able to obtain marketing approval for biosimilars referencing any of our products, if approved, our products may become subject to competition from such biosimilars, which would impair our ability to successfully commercialize and generate revenues from sales of such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5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have an application pending that covers the APTEVO THERAPEUTICS trademark and received a notice of allowance from the USPTO for the APTEVO BIOTHERAPEUTICS and APTEVO RESEARCH AND DEVELOPMENT trademarks in August 2022.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Collaborations and Other Transactions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and entering into other transactions that leverage our capabilities in pursuit of developing and commercializing our product candidates and any such collaborations and transactions, if any, could result in financial results that differ from market expectations.</w:t>
      </w:r>
    </w:p>
    <w:p>
      <w:pPr>
        <w:spacing w:after="0" w:line="76"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have been collaboratively developing ALG.APV-527, a lead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6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left="52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260" w:hanging="368"/>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macroeconomic factors, we may experience delays in opportunities to develop our product candidates, due to financial and other impacts on potential partners.</w:t>
      </w:r>
    </w:p>
    <w:p>
      <w:pPr>
        <w:spacing w:after="0" w:line="6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In addition, in the normal course of business, the Company engages in discussions with third parties regarding possible strategic alliances, joint ventures, acquisitions, divestitures and business combinations to further develop or commercialize our product candidates. As a result of such transactions, our financial results may differ from our own or the investment community's expectations in a given fiscal quarter or over the long term. Furthermore, efforts to engage in such transactions require varying levels of management resources, which may divert the Company’s attention from other business operations. Any transactions we engage in could result in our financial results differing materially from market expectations.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 and General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Our stock price has fluctuated in the past and is likely to be volatile in the future. Between August 1, 2016 and up to June 30, 2023, the reported closing price of our common stock has fluctuated between $1.30 and $83.16 per share (as adjusted to reflect our 1-for-14 reverse stock split of our outstanding common stock that was effective on March 26, 2020).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the geopolitical climate, including the war in Ukraine, and macroeconomic conditions, including rising and fluctuating inflation and interest rates and reduced consumer confidence. The market price of our common stock may fluctuate significantly due to a number of factors, some of which may be beyond our control or unrelated to our operations, including, among others:</w:t>
      </w:r>
    </w:p>
    <w:p>
      <w:pPr>
        <w:spacing w:after="0" w:line="58" w:lineRule="exact"/>
        <w:rPr>
          <w:sz w:val="20"/>
          <w:szCs w:val="20"/>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competitors, suppliers, or partners regarding their own performance;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expenses, and results of clinical and preclinical trials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 or our competitors;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 concern as to the safety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estimated or actual sales of IXINITY by Medexus;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whether and to what extent future milestone payments are received under our Amendment to Royalty Purchase Agreement with HCR;</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variations in our cash flows or results of operations;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industry and macroeconomic conditions, including domestic and global financial, economic, and geopolitical instability;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7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the event that coverage under our directors’ and officers’ liability insurance is reduced or terminated as a result of an ownership change or otherwise, our indemnification obligations and limitations of our directors’ and officers’ liability insurance may have a material adverse effect on our financial condition, results of operations and cash flows.</w:t>
      </w:r>
    </w:p>
    <w:p>
      <w:pPr>
        <w:spacing w:after="0" w:line="76"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A significant change in the Company’s risk profile, such as the Tang Proposal, could increase the cost to us of our directors’ and officers’ liability insurance coverage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maintain effective internal controls, we may not be able to accurately report our financial results and our business could be harmed.</w:t>
      </w:r>
    </w:p>
    <w:p>
      <w:pPr>
        <w:spacing w:after="0" w:line="14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In the past, we were an emerging growth company and we currently are a non-accelerated filer and have availed ourselves of the exemption from the requirement that our independent registered public accounting firm attest to the effectiveness of our internal control over financial reporting under Section 404. If we cease to be a non-accelerated filer and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jc w:val="both"/>
        <w:ind w:firstLine="509"/>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announcement of data from clinical trials by us or our collaborative partners or news of any developments related to our key pipeline product candidates has in the past caused and may in the future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common stock is currently listed on the Nasdaq Capital Market LLC (Nasdaq). Nasdaq has minimum requirements that a company must meet in order to remain listed on Nasdaq, including corporate governance standards and a requirement that we maintain a minimum closing bid price of $1.00 per share.</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April 1, 2022, the Company received a letter from Nasdaq indicating that it was not in compliance with Nasdaq Listing Rule 5550(b)(1), which requires companies listed on Nasdaq to maintain a minimum of $2,500,000 in stockholders’ equity for continued listing. On its annual report for the year ended December 31, 2021, the Company reported stockholders’ equity of $1,216,000, and, as a result, did not satisfy Listing Rule 5550(b)(1). In the second quarter of 2022, the Company regained compliance with the Nasdaq Listing Rule.</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the future, 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the future, your percentage ownership in Aptevo may be diluted because of equity issuances or securities convertible into equity for acquisitions, capital market transactions or otherwise, including, but not limited to, equity issuances under our existing Purchase Agreement with Lincoln Park, under our Equity Distribution Agreement with Piper Sandler, under our Rights Plan with Broadridge Corporate Issuer Solutions, Inc., upon the exercise of warrants issued in connection with our March 2019 public offering,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8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jc w:val="both"/>
        <w:spacing w:after="0" w:line="308" w:lineRule="auto"/>
        <w:rPr>
          <w:sz w:val="20"/>
          <w:szCs w:val="20"/>
          <w:color w:val="auto"/>
        </w:rPr>
      </w:pPr>
      <w:r>
        <w:rPr>
          <w:rFonts w:ascii="Arial" w:cs="Arial" w:eastAsia="Arial" w:hAnsi="Arial"/>
          <w:sz w:val="17"/>
          <w:szCs w:val="17"/>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3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12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 Tang is an interested stockholder for purposes of Section 203.</w:t>
      </w:r>
    </w:p>
    <w:p>
      <w:pPr>
        <w:spacing w:after="0" w:line="8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Moreover, we currently have a short-term stockholder rights agreement in effect. This rights agreement was amended on November 4, 2021 to extend the expiration date of such agreement from November 8, 2021 to November 5, 2022 and further amended on November 4, 2022 to extend the expiration of such agreement to November 4, 2023.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by-laws include a forum selection clause, which may impact your ability to bring actions against us.</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5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We may be subject to periodic litigation, which could result in losses or unexpected expenditure of time and resources.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our stockholders sell a substantial number of shares of our common stock in the public market, our market price could decline. In connection with the transaction with Lincoln Park, we registered under the Securities Act of 1933, as amended, the resale of shares of common stock that have been and may be issued under the Purchase Agreement with Lincoln Park. Any such sales or perception that such sales may occur, whether under the Lincoln Park Purchase Agreement or otherwise, could decrease the market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16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9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gridSpan w:val="4"/>
          </w:tcPr>
          <w:p>
            <w:pPr>
              <w:ind w:left="36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100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00" w:type="dxa"/>
            <w:vAlign w:val="bottom"/>
            <w:gridSpan w:val="4"/>
            <w:vMerge w:val="restart"/>
          </w:tcPr>
          <w:p>
            <w:pPr>
              <w:ind w:left="10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500" w:type="dxa"/>
            <w:vAlign w:val="bottom"/>
            <w:tcBorders>
              <w:bottom w:val="single" w:sz="8" w:color="auto"/>
            </w:tcBorders>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100" w:type="dxa"/>
            <w:vAlign w:val="bottom"/>
            <w:gridSpan w:val="8"/>
          </w:tcPr>
          <w:p>
            <w:pPr>
              <w:spacing w:after="0"/>
              <w:rPr>
                <w:rFonts w:ascii="Arial" w:cs="Arial" w:eastAsia="Arial" w:hAnsi="Arial"/>
                <w:sz w:val="18"/>
                <w:szCs w:val="18"/>
                <w:color w:val="0000FF"/>
              </w:rPr>
            </w:pPr>
            <w:hyperlink r:id="rId196">
              <w:r>
                <w:rPr>
                  <w:rFonts w:ascii="Arial" w:cs="Arial" w:eastAsia="Arial" w:hAnsi="Arial"/>
                  <w:sz w:val="18"/>
                  <w:szCs w:val="18"/>
                  <w:color w:val="0000FF"/>
                </w:rPr>
                <w:t>Series A Common Warrant, dated August 4, 2023</w:t>
              </w:r>
            </w:hyperlink>
            <w:r>
              <w:rPr>
                <w:rFonts w:ascii="Arial" w:cs="Arial" w:eastAsia="Arial" w:hAnsi="Arial"/>
                <w:sz w:val="18"/>
                <w:szCs w:val="18"/>
                <w:color w:val="00000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100" w:type="dxa"/>
            <w:vAlign w:val="bottom"/>
            <w:gridSpan w:val="8"/>
          </w:tcPr>
          <w:p>
            <w:pPr>
              <w:spacing w:after="0"/>
              <w:rPr>
                <w:rFonts w:ascii="Arial" w:cs="Arial" w:eastAsia="Arial" w:hAnsi="Arial"/>
                <w:sz w:val="18"/>
                <w:szCs w:val="18"/>
                <w:color w:val="0000FF"/>
              </w:rPr>
            </w:pPr>
            <w:hyperlink r:id="rId197">
              <w:r>
                <w:rPr>
                  <w:rFonts w:ascii="Arial" w:cs="Arial" w:eastAsia="Arial" w:hAnsi="Arial"/>
                  <w:sz w:val="18"/>
                  <w:szCs w:val="18"/>
                  <w:color w:val="0000FF"/>
                </w:rPr>
                <w:t>Series B Common Warrant, dated August 4, 2023.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3600" w:type="dxa"/>
            <w:vAlign w:val="bottom"/>
            <w:tcBorders>
              <w:top w:val="single" w:sz="8" w:color="0000FF"/>
            </w:tcBorders>
            <w:gridSpan w:val="4"/>
          </w:tcPr>
          <w:p>
            <w:pPr>
              <w:spacing w:after="0"/>
              <w:rPr>
                <w:rFonts w:ascii="Arial" w:cs="Arial" w:eastAsia="Arial" w:hAnsi="Arial"/>
                <w:sz w:val="18"/>
                <w:szCs w:val="18"/>
                <w:color w:val="0000FF"/>
              </w:rPr>
            </w:pPr>
            <w:hyperlink r:id="rId198">
              <w:r>
                <w:rPr>
                  <w:rFonts w:ascii="Arial" w:cs="Arial" w:eastAsia="Arial" w:hAnsi="Arial"/>
                  <w:sz w:val="18"/>
                  <w:szCs w:val="18"/>
                  <w:color w:val="0000FF"/>
                </w:rPr>
                <w:t>Pre-funded Warrant, dated August 4, 2023.</w:t>
              </w:r>
            </w:hyperlink>
          </w:p>
        </w:tc>
        <w:tc>
          <w:tcPr>
            <w:tcW w:w="65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100" w:type="dxa"/>
            <w:vAlign w:val="bottom"/>
            <w:gridSpan w:val="8"/>
          </w:tcPr>
          <w:p>
            <w:pPr>
              <w:spacing w:after="0"/>
              <w:rPr>
                <w:rFonts w:ascii="Arial" w:cs="Arial" w:eastAsia="Arial" w:hAnsi="Arial"/>
                <w:sz w:val="18"/>
                <w:szCs w:val="18"/>
                <w:color w:val="0000FF"/>
              </w:rPr>
            </w:pPr>
            <w:hyperlink r:id="rId199">
              <w:r>
                <w:rPr>
                  <w:rFonts w:ascii="Arial" w:cs="Arial" w:eastAsia="Arial" w:hAnsi="Arial"/>
                  <w:sz w:val="18"/>
                  <w:szCs w:val="18"/>
                  <w:color w:val="0000FF"/>
                </w:rPr>
                <w:t>Placement Agent Agreement, dated August 1, 2023, between the Company and A.G.P./Alliance Global Partners.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8060" w:type="dxa"/>
            <w:vAlign w:val="bottom"/>
            <w:tcBorders>
              <w:top w:val="single" w:sz="8" w:color="0000FF"/>
            </w:tcBorders>
            <w:gridSpan w:val="7"/>
          </w:tcPr>
          <w:p>
            <w:pPr>
              <w:spacing w:after="0"/>
              <w:rPr>
                <w:rFonts w:ascii="Arial" w:cs="Arial" w:eastAsia="Arial" w:hAnsi="Arial"/>
                <w:sz w:val="18"/>
                <w:szCs w:val="18"/>
                <w:color w:val="0000FF"/>
                <w:w w:val="89"/>
              </w:rPr>
            </w:pPr>
            <w:hyperlink r:id="rId200">
              <w:r>
                <w:rPr>
                  <w:rFonts w:ascii="Arial" w:cs="Arial" w:eastAsia="Arial" w:hAnsi="Arial"/>
                  <w:sz w:val="18"/>
                  <w:szCs w:val="18"/>
                  <w:color w:val="0000FF"/>
                  <w:w w:val="89"/>
                </w:rPr>
                <w:t>Securities Purchase Agreement, dated August 1, 2023, between the Company and the purchasers party thereto.</w:t>
              </w:r>
            </w:hyperlink>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4"/>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1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5"/>
              </w:rPr>
              <w:t>Certification of Principal Executive Officer Pursuant to Rules 13a-14(a) and 15d-14(a) under the Securities Exchange Act of 1934, as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Arial" w:cs="Arial" w:eastAsia="Arial" w:hAnsi="Arial"/>
                <w:sz w:val="18"/>
                <w:szCs w:val="18"/>
                <w:color w:val="0000FF"/>
              </w:rPr>
              <w:t>Adopted Pursuant to Section 302 of the Sarbanes 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4"/>
            <w:shd w:val="clear" w:color="auto" w:fill="0000FF"/>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1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6"/>
              </w:rPr>
              <w:t>Certification of Principal Financial Officer Pursuant to Rules 13a-14(a) and 15d-14(a) under the Securities Exchange Act of 1934, as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Arial" w:cs="Arial" w:eastAsia="Arial" w:hAnsi="Arial"/>
                <w:sz w:val="18"/>
                <w:szCs w:val="18"/>
                <w:color w:val="0000FF"/>
              </w:rPr>
              <w:t>Adopted Pursuant to Section 302 of the Sarbanes 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4"/>
            <w:shd w:val="clear" w:color="auto" w:fill="0000FF"/>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1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Arial" w:cs="Arial" w:eastAsia="Arial" w:hAnsi="Arial"/>
                <w:sz w:val="18"/>
                <w:szCs w:val="18"/>
                <w:color w:val="0000FF"/>
              </w:rPr>
              <w:t>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1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Arial" w:cs="Arial" w:eastAsia="Arial" w:hAnsi="Arial"/>
                <w:sz w:val="18"/>
                <w:szCs w:val="18"/>
                <w:color w:val="0000FF"/>
              </w:rPr>
              <w:t>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1"/>
                <w:szCs w:val="21"/>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1"/>
                <w:szCs w:val="21"/>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1"/>
                <w:szCs w:val="21"/>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1"/>
                <w:szCs w:val="21"/>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1"/>
                <w:szCs w:val="21"/>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36"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with the Form 8-K on August 7, 2023.</w:t>
      </w:r>
    </w:p>
    <w:p>
      <w:pPr>
        <w:spacing w:after="0" w:line="50" w:lineRule="exact"/>
        <w:rPr>
          <w:sz w:val="20"/>
          <w:szCs w:val="20"/>
          <w:color w:val="auto"/>
        </w:rPr>
      </w:pPr>
    </w:p>
    <w:p>
      <w:pPr>
        <w:ind w:right="20" w:firstLine="8"/>
        <w:spacing w:after="0" w:line="277" w:lineRule="auto"/>
        <w:tabs>
          <w:tab w:leader="none" w:pos="1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Schedules and other similar attachments have been omitted pursuant to Item 601(a)(5) of Regulation S-K. Aptevo will furnish copies of any such schedules and attachments to the Securities and Exchange Commission upon request.</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APTEVO THERAPEUTICS INC.</w:t>
      </w:r>
    </w:p>
    <w:p>
      <w:pPr>
        <w:spacing w:after="0" w:line="306" w:lineRule="exact"/>
        <w:rPr>
          <w:sz w:val="20"/>
          <w:szCs w:val="20"/>
          <w:color w:val="auto"/>
        </w:rPr>
      </w:pPr>
    </w:p>
    <w:p>
      <w:pPr>
        <w:ind w:left="20"/>
        <w:spacing w:after="0"/>
        <w:tabs>
          <w:tab w:leader="none" w:pos="6160" w:val="left"/>
          <w:tab w:leader="none" w:pos="820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23495</wp:posOffset>
            </wp:positionV>
            <wp:extent cx="29063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26"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Marvin L. White</w:t>
      </w:r>
    </w:p>
    <w:p>
      <w:pPr>
        <w:spacing w:after="0" w:line="36"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310" w:lineRule="exact"/>
        <w:rPr>
          <w:sz w:val="20"/>
          <w:szCs w:val="20"/>
          <w:color w:val="auto"/>
        </w:rPr>
      </w:pPr>
    </w:p>
    <w:p>
      <w:pPr>
        <w:ind w:left="20"/>
        <w:spacing w:after="0"/>
        <w:tabs>
          <w:tab w:leader="none" w:pos="6160" w:val="left"/>
          <w:tab w:leader="none" w:pos="828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23495</wp:posOffset>
            </wp:positionV>
            <wp:extent cx="29063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26"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Daphne Taylor</w:t>
      </w:r>
    </w:p>
    <w:p>
      <w:pPr>
        <w:spacing w:after="0" w:line="36"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20" w:val="left"/>
          <w:tab w:leader="none" w:pos="788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3350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Marvin L. White</w:t>
      </w:r>
    </w:p>
    <w:p>
      <w:pPr>
        <w:spacing w:after="0" w:line="3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Daphne Taylor, certify that:</w:t>
      </w:r>
    </w:p>
    <w:p>
      <w:pPr>
        <w:spacing w:after="0" w:line="225"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20" w:val="left"/>
          <w:tab w:leader="none" w:pos="796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3350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Daphne Taylor</w:t>
      </w:r>
    </w:p>
    <w:p>
      <w:pPr>
        <w:spacing w:after="0" w:line="3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In connection with the Quarterly Report of Aptevo Therapeutics Inc. on Form 10-Q for the period ending June 30, 2023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ind w:left="20"/>
        <w:spacing w:after="0"/>
        <w:tabs>
          <w:tab w:leader="none" w:pos="6680" w:val="left"/>
          <w:tab w:leader="none" w:pos="842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23495</wp:posOffset>
            </wp:positionV>
            <wp:extent cx="26574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6" w:lineRule="exact"/>
        <w:rPr>
          <w:sz w:val="20"/>
          <w:szCs w:val="20"/>
          <w:color w:val="auto"/>
        </w:rPr>
      </w:pPr>
    </w:p>
    <w:p>
      <w:pPr>
        <w:jc w:val="center"/>
        <w:ind w:left="7040"/>
        <w:spacing w:after="0"/>
        <w:rPr>
          <w:sz w:val="20"/>
          <w:szCs w:val="20"/>
          <w:color w:val="auto"/>
        </w:rPr>
      </w:pPr>
      <w:r>
        <w:rPr>
          <w:rFonts w:ascii="Arial" w:cs="Arial" w:eastAsia="Arial" w:hAnsi="Arial"/>
          <w:sz w:val="18"/>
          <w:szCs w:val="18"/>
          <w:b w:val="1"/>
          <w:bCs w:val="1"/>
          <w:color w:val="auto"/>
        </w:rPr>
        <w:t>Marvin L. White</w:t>
      </w:r>
    </w:p>
    <w:p>
      <w:pPr>
        <w:spacing w:after="0" w:line="36"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8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In connection with the Quarterly Report of Aptevo Inc. on Form 10-Q for the period ending June 30, 2023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20" w:right="62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ind w:left="20"/>
        <w:spacing w:after="0"/>
        <w:tabs>
          <w:tab w:leader="none" w:pos="6680" w:val="left"/>
          <w:tab w:leader="none" w:pos="848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23495</wp:posOffset>
            </wp:positionV>
            <wp:extent cx="26574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6" w:lineRule="exact"/>
        <w:rPr>
          <w:sz w:val="20"/>
          <w:szCs w:val="20"/>
          <w:color w:val="auto"/>
        </w:rPr>
      </w:pPr>
    </w:p>
    <w:p>
      <w:pPr>
        <w:jc w:val="center"/>
        <w:ind w:left="7040"/>
        <w:spacing w:after="0"/>
        <w:rPr>
          <w:sz w:val="20"/>
          <w:szCs w:val="20"/>
          <w:color w:val="auto"/>
        </w:rPr>
      </w:pPr>
      <w:r>
        <w:rPr>
          <w:rFonts w:ascii="Arial" w:cs="Arial" w:eastAsia="Arial" w:hAnsi="Arial"/>
          <w:sz w:val="18"/>
          <w:szCs w:val="18"/>
          <w:b w:val="1"/>
          <w:bCs w:val="1"/>
          <w:color w:val="auto"/>
        </w:rPr>
        <w:t>Daphne Taylor</w:t>
      </w:r>
    </w:p>
    <w:p>
      <w:pPr>
        <w:spacing w:after="0" w:line="36"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8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162134417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amp;"/>
      <w:numFmt w:val="bullet"/>
      <w:start w:val="1"/>
    </w:lvl>
  </w:abstractNum>
  <w:abstractNum w:abstractNumId="3">
    <w:nsid w:val="62BBD95A"/>
    <w:multiLevelType w:val="hybridMultilevel"/>
    <w:lvl w:ilvl="0">
      <w:lvlJc w:val="left"/>
      <w:lvlText w:val="\emdash "/>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3"/>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3"/>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196" Type="http://schemas.openxmlformats.org/officeDocument/2006/relationships/hyperlink" Target="https://www.sec.gov/Archives/edgar/data/1671584/000095017023038673/apvo-ex4_1.htm" TargetMode="External"/><Relationship Id="rId197" Type="http://schemas.openxmlformats.org/officeDocument/2006/relationships/hyperlink" Target="https://www.sec.gov/Archives/edgar/data/1671584/000095017023038673/apvo-ex4_2.htm" TargetMode="External"/><Relationship Id="rId198" Type="http://schemas.openxmlformats.org/officeDocument/2006/relationships/hyperlink" Target="https://www.sec.gov/Archives/edgar/data/1671584/000095017023038673/apvo-ex4_3.htm" TargetMode="External"/><Relationship Id="rId199" Type="http://schemas.openxmlformats.org/officeDocument/2006/relationships/hyperlink" Target="https://www.sec.gov/Archives/edgar/data/1671584/000095017023038673/apvo-ex10_1.htm" TargetMode="External"/><Relationship Id="rId200" Type="http://schemas.openxmlformats.org/officeDocument/2006/relationships/hyperlink" Target="https://www.sec.gov/Archives/edgar/data/1671584/000095017023038673/apvo-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2023-08-10T07:35:50Z</dcterms:created>
  <dcterms:modified xsi:type="dcterms:W3CDTF">2023-08-10T07:35:50Z</dcterms:modified>
</cp:coreProperties>
</file>