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88" w:lineRule="exact"/>
        <w:rPr>
          <w:sz w:val="24"/>
          <w:szCs w:val="24"/>
          <w:color w:val="auto"/>
        </w:rPr>
      </w:pPr>
    </w:p>
    <w:p>
      <w:pPr>
        <w:ind w:left="372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3831590</wp:posOffset>
            </wp:positionH>
            <wp:positionV relativeFrom="paragraph">
              <wp:posOffset>-5080</wp:posOffset>
            </wp:positionV>
            <wp:extent cx="9512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APTEVO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tbl>
      <w:tblPr>
        <w:tblLayout w:type="fixed"/>
        <w:tblInd w:w="1620" w:type="dxa"/>
        <w:tblCellMar>
          <w:top w:w="0" w:type="dxa"/>
          <w:left w:w="0" w:type="dxa"/>
          <w:bottom w:w="0" w:type="dxa"/>
          <w:right w:w="0" w:type="dxa"/>
        </w:tblCellMar>
      </w:tblPr>
      <w:tr>
        <w:trPr>
          <w:trHeight w:val="214"/>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81-1567056</w:t>
            </w:r>
          </w:p>
        </w:tc>
      </w:tr>
      <w:tr>
        <w:trPr>
          <w:trHeight w:val="148"/>
        </w:trPr>
        <w:tc>
          <w:tcPr>
            <w:tcW w:w="4320" w:type="dxa"/>
            <w:vAlign w:val="bottom"/>
          </w:tcPr>
          <w:p>
            <w:pPr>
              <w:jc w:val="center"/>
              <w:ind w:right="18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60" w:type="dxa"/>
            <w:vAlign w:val="bottom"/>
          </w:tcPr>
          <w:p>
            <w:pPr>
              <w:jc w:val="center"/>
              <w:ind w:left="18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8"/>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9"/>
              </w:rPr>
              <w:t>2401 4</w:t>
            </w:r>
            <w:r>
              <w:rPr>
                <w:rFonts w:ascii="Times New Roman" w:cs="Times New Roman" w:eastAsia="Times New Roman" w:hAnsi="Times New Roman"/>
                <w:sz w:val="15"/>
                <w:szCs w:val="15"/>
                <w:b w:val="1"/>
                <w:bCs w:val="1"/>
                <w:color w:val="auto"/>
                <w:w w:val="99"/>
              </w:rPr>
              <w:t>th</w:t>
            </w:r>
            <w:r>
              <w:rPr>
                <w:rFonts w:ascii="Times New Roman" w:cs="Times New Roman" w:eastAsia="Times New Roman" w:hAnsi="Times New Roman"/>
                <w:sz w:val="18"/>
                <w:szCs w:val="18"/>
                <w:b w:val="1"/>
                <w:bCs w:val="1"/>
                <w:color w:val="auto"/>
                <w:w w:val="99"/>
              </w:rPr>
              <w:t xml:space="preserve"> Avenue, Suite 1050</w:t>
            </w:r>
          </w:p>
        </w:tc>
        <w:tc>
          <w:tcPr>
            <w:tcW w:w="3060" w:type="dxa"/>
            <w:vAlign w:val="bottom"/>
          </w:tcPr>
          <w:p>
            <w:pPr>
              <w:spacing w:after="0"/>
              <w:rPr>
                <w:sz w:val="22"/>
                <w:szCs w:val="22"/>
                <w:color w:val="auto"/>
              </w:rPr>
            </w:pPr>
          </w:p>
        </w:tc>
      </w:tr>
      <w:tr>
        <w:trPr>
          <w:trHeight w:val="214"/>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8"/>
              </w:rPr>
              <w:t>Seattle, Washington</w:t>
            </w:r>
          </w:p>
        </w:tc>
        <w:tc>
          <w:tcPr>
            <w:tcW w:w="30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98121</w:t>
            </w:r>
          </w:p>
        </w:tc>
      </w:tr>
      <w:tr>
        <w:trPr>
          <w:trHeight w:val="190"/>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(206) 838-0500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484" w:right="339" w:bottom="1440" w:gutter="0" w:footer="0" w:header="0"/>
        </w:sectPr>
      </w:pPr>
    </w:p>
    <w:p>
      <w:pPr>
        <w:spacing w:after="0" w:line="77"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Trading Symbols(s)</w:t>
      </w:r>
    </w:p>
    <w:p>
      <w:pPr>
        <w:spacing w:after="0" w:line="43"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APVO</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jc w:val="cente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Name of Exchange on Which Registered The Nasdaq Stock Market LLC (The Nasdaq Capital Market)</w:t>
      </w:r>
    </w:p>
    <w:p>
      <w:pPr>
        <w:spacing w:after="0" w:line="40" w:lineRule="exact"/>
        <w:rPr>
          <w:sz w:val="24"/>
          <w:szCs w:val="24"/>
          <w:color w:val="auto"/>
        </w:rPr>
      </w:pPr>
    </w:p>
    <w:p>
      <w:pPr>
        <w:sectPr>
          <w:pgSz w:w="11900" w:h="16838" w:orient="portrait"/>
          <w:cols w:equalWidth="0" w:num="3">
            <w:col w:w="4340" w:space="720"/>
            <w:col w:w="2100" w:space="720"/>
            <w:col w:w="3360"/>
          </w:cols>
          <w:pgMar w:left="320" w:top="484" w:right="339" w:bottom="1440" w:gutter="0" w:footer="0" w:header="0"/>
          <w:type w:val="continuous"/>
        </w:sectPr>
      </w:pPr>
    </w:p>
    <w:p>
      <w:pPr>
        <w:jc w:val="both"/>
        <w:ind w:firstLine="51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firstLine="51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19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32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3" w:lineRule="exact"/>
        <w:rPr>
          <w:sz w:val="24"/>
          <w:szCs w:val="24"/>
          <w:color w:val="auto"/>
        </w:rPr>
      </w:pPr>
    </w:p>
    <w:p>
      <w:pPr>
        <w:ind w:firstLine="51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520" w:right="1220"/>
        <w:spacing w:after="0" w:line="27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12, 2022, the number of shares of the registrant’s common stock outstanding was 5,007,242.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8"/>
              </w:rPr>
              <w:t>FINANCIAL INFORMATION</w:t>
            </w:r>
          </w:p>
        </w:tc>
        <w:tc>
          <w:tcPr>
            <w:tcW w:w="7220" w:type="dxa"/>
            <w:vAlign w:val="bottom"/>
            <w:gridSpan w:val="9"/>
            <w:vMerge w:val="restart"/>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80" w:type="dxa"/>
            <w:vAlign w:val="bottom"/>
            <w:gridSpan w:val="2"/>
            <w:vMerge w:val="continue"/>
          </w:tcPr>
          <w:p>
            <w:pPr>
              <w:spacing w:after="0"/>
              <w:rPr>
                <w:sz w:val="14"/>
                <w:szCs w:val="14"/>
                <w:color w:val="auto"/>
              </w:rPr>
            </w:pPr>
          </w:p>
        </w:tc>
        <w:tc>
          <w:tcPr>
            <w:tcW w:w="2400" w:type="dxa"/>
            <w:vAlign w:val="bottom"/>
            <w:tcBorders>
              <w:bottom w:val="single" w:sz="8" w:color="0000EE"/>
            </w:tcBorders>
            <w:gridSpan w:val="9"/>
            <w:vMerge w:val="continue"/>
          </w:tcPr>
          <w:p>
            <w:pPr>
              <w:spacing w:after="0"/>
              <w:rPr>
                <w:sz w:val="14"/>
                <w:szCs w:val="14"/>
                <w:color w:val="auto"/>
              </w:rPr>
            </w:pPr>
          </w:p>
        </w:tc>
        <w:tc>
          <w:tcPr>
            <w:tcW w:w="7220" w:type="dxa"/>
            <w:vAlign w:val="bottom"/>
            <w:gridSpan w:val="9"/>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Condensed Consolidated Balance Sheets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8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w:t>
            </w:r>
          </w:p>
        </w:tc>
        <w:tc>
          <w:tcPr>
            <w:tcW w:w="3980" w:type="dxa"/>
            <w:vAlign w:val="bottom"/>
            <w:gridSpan w:val="2"/>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240" w:type="dxa"/>
            <w:vAlign w:val="bottom"/>
            <w:gridSpan w:val="3"/>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7840" w:type="dxa"/>
            <w:vAlign w:val="bottom"/>
            <w:gridSpan w:val="12"/>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3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680" w:type="dxa"/>
            <w:vAlign w:val="bottom"/>
            <w:tcBorders>
              <w:top w:val="single" w:sz="8" w:color="0000EE"/>
            </w:tcBorders>
            <w:gridSpan w:val="2"/>
          </w:tcPr>
          <w:p>
            <w:pPr>
              <w:spacing w:after="0"/>
              <w:rPr>
                <w:sz w:val="18"/>
                <w:szCs w:val="18"/>
                <w:color w:val="auto"/>
              </w:rPr>
            </w:pPr>
          </w:p>
        </w:tc>
        <w:tc>
          <w:tcPr>
            <w:tcW w:w="7600" w:type="dxa"/>
            <w:vAlign w:val="bottom"/>
            <w:gridSpan w:val="11"/>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2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280" w:type="dxa"/>
            <w:vAlign w:val="bottom"/>
            <w:gridSpan w:val="4"/>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gridSpan w:val="2"/>
          </w:tcPr>
          <w:p>
            <w:pPr>
              <w:spacing w:after="0"/>
              <w:rPr>
                <w:sz w:val="18"/>
                <w:szCs w:val="18"/>
                <w:color w:val="auto"/>
              </w:rPr>
            </w:pPr>
          </w:p>
        </w:tc>
        <w:tc>
          <w:tcPr>
            <w:tcW w:w="7300" w:type="dxa"/>
            <w:vAlign w:val="bottom"/>
            <w:gridSpan w:val="10"/>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8300" w:type="dxa"/>
            <w:vAlign w:val="bottom"/>
            <w:gridSpan w:val="14"/>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Exhibits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Quarterly Report on Form 10-Q, “we,” “our,” “us,” “Aptevo,” and “the Company” refer to Aptevo Therapeutics Inc. and, where appropriate, its consolidated subsidiaries.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unaudited)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3"/>
        </w:trPr>
        <w:tc>
          <w:tcPr>
            <w:tcW w:w="7760" w:type="dxa"/>
            <w:vAlign w:val="bottom"/>
            <w:tcBorders>
              <w:top w:val="single" w:sz="8" w:color="CFF0FC"/>
            </w:tcBorders>
            <w:shd w:val="clear" w:color="auto" w:fill="CFF0FC"/>
          </w:tcPr>
          <w:p>
            <w:pPr>
              <w:ind w:left="34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34,991</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45,044</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Royalty receivable</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52,570</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FF0FC"/>
          </w:tcPr>
          <w:p>
            <w:pPr>
              <w:spacing w:after="0"/>
              <w:rPr>
                <w:sz w:val="19"/>
                <w:szCs w:val="19"/>
                <w:color w:val="auto"/>
              </w:rPr>
            </w:pPr>
          </w:p>
        </w:tc>
      </w:tr>
      <w:tr>
        <w:trPr>
          <w:trHeight w:val="263"/>
        </w:trPr>
        <w:tc>
          <w:tcPr>
            <w:tcW w:w="77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45,184</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56,601</w:t>
            </w:r>
          </w:p>
        </w:tc>
        <w:tc>
          <w:tcPr>
            <w:tcW w:w="100" w:type="dxa"/>
            <w:vAlign w:val="bottom"/>
            <w:tcBorders>
              <w:bottom w:val="single" w:sz="8" w:color="CFF0FC"/>
            </w:tcBorders>
          </w:tcPr>
          <w:p>
            <w:pPr>
              <w:spacing w:after="0"/>
              <w:rPr>
                <w:sz w:val="22"/>
                <w:szCs w:val="22"/>
                <w:color w:val="auto"/>
              </w:rPr>
            </w:pPr>
          </w:p>
        </w:tc>
      </w:tr>
      <w:tr>
        <w:trPr>
          <w:trHeight w:val="210"/>
        </w:trPr>
        <w:tc>
          <w:tcPr>
            <w:tcW w:w="7760" w:type="dxa"/>
            <w:vAlign w:val="bottom"/>
            <w:shd w:val="clear" w:color="auto" w:fill="CFF0FC"/>
          </w:tcPr>
          <w:p>
            <w:pPr>
              <w:ind w:left="18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Liability related to the sale of royalties, net - short-term</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34,757</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Liability related to the sale of royalties, net - long-term</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15,580</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Loan payable - long-term</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51,068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55,385</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$0.001 par value; 15,000,000 shares authorized, zero shares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issued or outstanding</w:t>
            </w:r>
          </w:p>
        </w:tc>
        <w:tc>
          <w:tcPr>
            <w:tcW w:w="18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$0.001 par value; 500,000,000 shares authorized; 5,007,241 and 4,898,143 shares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at March 31, 2022 and</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215,829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215,232</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(221,760)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(214,063)</w:t>
            </w: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45,184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56,601</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unaudited)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94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96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1380" w:type="dxa"/>
            <w:vAlign w:val="bottom"/>
            <w:tcBorders>
              <w:bottom w:val="single" w:sz="8" w:color="auto"/>
            </w:tcBorders>
          </w:tcPr>
          <w:p>
            <w:pPr>
              <w:jc w:val="right"/>
              <w:ind w:right="3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400" w:type="dxa"/>
            <w:vAlign w:val="bottom"/>
            <w:tcBorders>
              <w:bottom w:val="single" w:sz="8" w:color="auto"/>
            </w:tcBorders>
          </w:tcPr>
          <w:p>
            <w:pPr>
              <w:jc w:val="right"/>
              <w:ind w:right="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8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Royalty revenue</w:t>
            </w:r>
          </w:p>
        </w:tc>
        <w:tc>
          <w:tcPr>
            <w:tcW w:w="13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21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2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(4,866)</w:t>
            </w:r>
          </w:p>
        </w:tc>
        <w:tc>
          <w:tcPr>
            <w:tcW w:w="14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(5,362)</w:t>
            </w:r>
          </w:p>
        </w:tc>
        <w:tc>
          <w:tcPr>
            <w:tcW w:w="0" w:type="dxa"/>
            <w:vAlign w:val="bottom"/>
          </w:tcPr>
          <w:p>
            <w:pPr>
              <w:spacing w:after="0"/>
              <w:rPr>
                <w:sz w:val="1"/>
                <w:szCs w:val="1"/>
                <w:color w:val="auto"/>
              </w:rPr>
            </w:pPr>
          </w:p>
        </w:tc>
      </w:tr>
      <w:tr>
        <w:trPr>
          <w:trHeight w:val="229"/>
        </w:trPr>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(3,859)</w:t>
            </w:r>
          </w:p>
        </w:tc>
        <w:tc>
          <w:tcPr>
            <w:tcW w:w="14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(3,947)</w:t>
            </w:r>
          </w:p>
        </w:tc>
        <w:tc>
          <w:tcPr>
            <w:tcW w:w="0" w:type="dxa"/>
            <w:vAlign w:val="bottom"/>
          </w:tcPr>
          <w:p>
            <w:pPr>
              <w:spacing w:after="0"/>
              <w:rPr>
                <w:sz w:val="1"/>
                <w:szCs w:val="1"/>
                <w:color w:val="auto"/>
              </w:rPr>
            </w:pPr>
          </w:p>
        </w:tc>
      </w:tr>
      <w:tr>
        <w:trPr>
          <w:trHeight w:val="223"/>
        </w:trPr>
        <w:tc>
          <w:tcPr>
            <w:tcW w:w="4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36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expense from continuing operations, net</w:t>
            </w:r>
          </w:p>
        </w:tc>
        <w:tc>
          <w:tcPr>
            <w:tcW w:w="13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(2,264)</w:t>
            </w:r>
          </w:p>
        </w:tc>
        <w:tc>
          <w:tcPr>
            <w:tcW w:w="14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360" w:type="dxa"/>
            <w:vAlign w:val="bottom"/>
            <w:tcBorders>
              <w:bottom w:val="single" w:sz="8" w:color="CFF0FC"/>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21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300" w:type="dxa"/>
            <w:vAlign w:val="bottom"/>
            <w:tcBorders>
              <w:bottom w:val="single" w:sz="8" w:color="CFF0FC"/>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2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3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2740" w:type="dxa"/>
            <w:vAlign w:val="bottom"/>
            <w:gridSpan w:val="2"/>
          </w:tcPr>
          <w:p>
            <w:pPr>
              <w:jc w:val="right"/>
              <w:ind w:right="121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00" w:type="dxa"/>
            <w:vAlign w:val="bottom"/>
          </w:tcPr>
          <w:p>
            <w:pPr>
              <w:spacing w:after="0"/>
              <w:rPr>
                <w:sz w:val="19"/>
                <w:szCs w:val="19"/>
                <w:color w:val="auto"/>
              </w:rPr>
            </w:pPr>
          </w:p>
        </w:tc>
        <w:tc>
          <w:tcPr>
            <w:tcW w:w="1400" w:type="dxa"/>
            <w:vAlign w:val="bottom"/>
          </w:tcPr>
          <w:p>
            <w:pPr>
              <w:jc w:val="right"/>
              <w:ind w:right="12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ind w:right="121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ind w:right="12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from continuing operations per share</w:t>
            </w:r>
          </w:p>
        </w:tc>
        <w:tc>
          <w:tcPr>
            <w:tcW w:w="27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tcBorders>
              <w:bottom w:val="single" w:sz="8" w:color="CFF0FC"/>
            </w:tcBorders>
            <w:vMerge w:val="continue"/>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121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00" w:type="dxa"/>
            <w:vAlign w:val="bottom"/>
            <w:tcBorders>
              <w:bottom w:val="single" w:sz="8" w:color="CFF0FC"/>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12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9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income from discontinued operations</w:t>
            </w:r>
          </w:p>
        </w:tc>
        <w:tc>
          <w:tcPr>
            <w:tcW w:w="13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 share</w:t>
            </w:r>
          </w:p>
        </w:tc>
        <w:tc>
          <w:tcPr>
            <w:tcW w:w="2740" w:type="dxa"/>
            <w:vAlign w:val="bottom"/>
            <w:gridSpan w:val="2"/>
            <w:shd w:val="clear" w:color="auto" w:fill="CFF0FC"/>
          </w:tcPr>
          <w:p>
            <w:pPr>
              <w:jc w:val="right"/>
              <w:ind w:right="121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0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12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Basic and diluted net loss per basic share</w:t>
            </w:r>
          </w:p>
        </w:tc>
        <w:tc>
          <w:tcPr>
            <w:tcW w:w="1360" w:type="dxa"/>
            <w:vAlign w:val="bottom"/>
            <w:tcBorders>
              <w:bottom w:val="single" w:sz="8" w:color="CFF0FC"/>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21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00" w:type="dxa"/>
            <w:vAlign w:val="bottom"/>
            <w:tcBorders>
              <w:bottom w:val="single" w:sz="8" w:color="CFF0FC"/>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2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9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Weighted-average shares used to compute per</w:t>
            </w:r>
          </w:p>
        </w:tc>
        <w:tc>
          <w:tcPr>
            <w:tcW w:w="13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 calculations</w:t>
            </w:r>
          </w:p>
        </w:tc>
        <w:tc>
          <w:tcPr>
            <w:tcW w:w="136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4,937,456</w:t>
            </w:r>
          </w:p>
        </w:tc>
        <w:tc>
          <w:tcPr>
            <w:tcW w:w="30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4,418,472</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52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55"/>
        </w:trPr>
        <w:tc>
          <w:tcPr>
            <w:tcW w:w="772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(7,697)</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(7,256)</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Non-cash interest expense and other</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Royalty receivable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 accrued compensation and other liabilities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(798)</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(2,110)</w:t>
            </w: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(241)</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Payments of long-term debt, including exit and other fees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(10,767)</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(10,550)</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under liability related to sale of royalties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(3,665)</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royalties</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costs from sale of royalties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(1,100)</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of equity awards withheld for tax liability</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milestones related to sale of royalties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 for milestones related to sale of royalties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(10,053)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46,303</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42,534</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36,250</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58,781</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 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3"/>
        </w:trPr>
        <w:tc>
          <w:tcPr>
            <w:tcW w:w="3920" w:type="dxa"/>
            <w:vAlign w:val="bottom"/>
          </w:tcPr>
          <w:p>
            <w:pPr>
              <w:spacing w:after="0"/>
              <w:rPr>
                <w:sz w:val="15"/>
                <w:szCs w:val="15"/>
                <w:color w:val="auto"/>
              </w:rPr>
            </w:pPr>
          </w:p>
        </w:tc>
        <w:tc>
          <w:tcPr>
            <w:tcW w:w="2440" w:type="dxa"/>
            <w:vAlign w:val="bottom"/>
            <w:tcBorders>
              <w:bottom w:val="single" w:sz="8" w:color="auto"/>
            </w:tcBorders>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56"/>
        </w:trPr>
        <w:tc>
          <w:tcPr>
            <w:tcW w:w="3920" w:type="dxa"/>
            <w:vAlign w:val="bottom"/>
          </w:tcPr>
          <w:p>
            <w:pPr>
              <w:spacing w:after="0"/>
              <w:rPr>
                <w:sz w:val="13"/>
                <w:szCs w:val="13"/>
                <w:color w:val="auto"/>
              </w:rPr>
            </w:pPr>
          </w:p>
        </w:tc>
        <w:tc>
          <w:tcPr>
            <w:tcW w:w="1480" w:type="dxa"/>
            <w:vAlign w:val="bottom"/>
            <w:gridSpan w:val="2"/>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3"/>
                <w:szCs w:val="13"/>
                <w:color w:val="auto"/>
              </w:rPr>
            </w:pPr>
          </w:p>
        </w:tc>
        <w:tc>
          <w:tcPr>
            <w:tcW w:w="136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Equity (Deficit)</w:t>
            </w: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4,898,143</w:t>
            </w:r>
          </w:p>
        </w:tc>
        <w:tc>
          <w:tcPr>
            <w:tcW w:w="2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215,232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(214,063)</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Borders>
              <w:top w:val="single" w:sz="8" w:color="CFF0FC"/>
            </w:tcBorders>
            <w:shd w:val="clear" w:color="auto" w:fill="CFF0FC"/>
          </w:tcPr>
          <w:p>
            <w:pPr>
              <w:spacing w:after="0"/>
              <w:rPr>
                <w:sz w:val="19"/>
                <w:szCs w:val="19"/>
                <w:color w:val="auto"/>
              </w:rPr>
            </w:pPr>
          </w:p>
        </w:tc>
      </w:tr>
      <w:tr>
        <w:trPr>
          <w:trHeight w:val="205"/>
        </w:trPr>
        <w:tc>
          <w:tcPr>
            <w:tcW w:w="3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Common stock issued upon vesting of</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1"/>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shares issued pursuant to Lincoln</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Park Purchase Agreement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99,276</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(7,697)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(7,697)</w:t>
            </w: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5,007,241</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215,829</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(221,760)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10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0"/>
        </w:trPr>
        <w:tc>
          <w:tcPr>
            <w:tcW w:w="3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3"/>
        </w:trPr>
        <w:tc>
          <w:tcPr>
            <w:tcW w:w="3920" w:type="dxa"/>
            <w:vAlign w:val="bottom"/>
          </w:tcPr>
          <w:p>
            <w:pPr>
              <w:spacing w:after="0"/>
              <w:rPr>
                <w:sz w:val="15"/>
                <w:szCs w:val="15"/>
                <w:color w:val="auto"/>
              </w:rPr>
            </w:pPr>
          </w:p>
        </w:tc>
        <w:tc>
          <w:tcPr>
            <w:tcW w:w="2440" w:type="dxa"/>
            <w:vAlign w:val="bottom"/>
            <w:tcBorders>
              <w:bottom w:val="single" w:sz="8" w:color="auto"/>
            </w:tcBorders>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56"/>
        </w:trPr>
        <w:tc>
          <w:tcPr>
            <w:tcW w:w="3920" w:type="dxa"/>
            <w:vAlign w:val="bottom"/>
          </w:tcPr>
          <w:p>
            <w:pPr>
              <w:spacing w:after="0"/>
              <w:rPr>
                <w:sz w:val="13"/>
                <w:szCs w:val="13"/>
                <w:color w:val="auto"/>
              </w:rPr>
            </w:pPr>
          </w:p>
        </w:tc>
        <w:tc>
          <w:tcPr>
            <w:tcW w:w="1480" w:type="dxa"/>
            <w:vAlign w:val="bottom"/>
            <w:gridSpan w:val="2"/>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3"/>
                <w:szCs w:val="13"/>
                <w:color w:val="auto"/>
              </w:rPr>
            </w:pPr>
          </w:p>
        </w:tc>
        <w:tc>
          <w:tcPr>
            <w:tcW w:w="136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4,410,909</w:t>
            </w:r>
          </w:p>
        </w:tc>
        <w:tc>
          <w:tcPr>
            <w:tcW w:w="2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202,154</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(185,606)</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16,594</w:t>
            </w:r>
          </w:p>
        </w:tc>
        <w:tc>
          <w:tcPr>
            <w:tcW w:w="100" w:type="dxa"/>
            <w:vAlign w:val="bottom"/>
            <w:tcBorders>
              <w:top w:val="single" w:sz="8" w:color="CFF0FC"/>
            </w:tcBorders>
            <w:shd w:val="clear" w:color="auto" w:fill="CFF0FC"/>
          </w:tcPr>
          <w:p>
            <w:pPr>
              <w:spacing w:after="0"/>
              <w:rPr>
                <w:sz w:val="19"/>
                <w:szCs w:val="19"/>
                <w:color w:val="auto"/>
              </w:rPr>
            </w:pPr>
          </w:p>
        </w:tc>
      </w:tr>
      <w:tr>
        <w:trPr>
          <w:trHeight w:val="205"/>
        </w:trPr>
        <w:tc>
          <w:tcPr>
            <w:tcW w:w="3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Proceeds from exercise of stock</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10,685</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0"/>
                <w:szCs w:val="20"/>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27,828</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FF0FC"/>
          </w:tcPr>
          <w:p>
            <w:pPr>
              <w:spacing w:after="0"/>
              <w:rPr>
                <w:sz w:val="19"/>
                <w:szCs w:val="19"/>
                <w:color w:val="auto"/>
              </w:rPr>
            </w:pPr>
          </w:p>
        </w:tc>
      </w:tr>
      <w:tr>
        <w:trPr>
          <w:trHeight w:val="22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19"/>
                <w:szCs w:val="19"/>
                <w:color w:val="auto"/>
              </w:rPr>
            </w:pPr>
          </w:p>
        </w:tc>
      </w:tr>
      <w:tr>
        <w:trPr>
          <w:trHeight w:val="229"/>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(7,256)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(7,256)</w:t>
            </w: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4,449,422</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203,320</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(192,862)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10,504</w:t>
            </w:r>
          </w:p>
        </w:tc>
        <w:tc>
          <w:tcPr>
            <w:tcW w:w="10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 Nature of Business and 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Organization and Liquidity</w:t>
      </w:r>
    </w:p>
    <w:p>
      <w:pPr>
        <w:spacing w:after="0" w:line="12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Aptevo Therapeutics Inc. (Aptevo, we, us, or the Company) is a clinical-stage, research and development biotechnology company focused on developing novel immunotherapeutic candidates for the treatment of different forms of cancer. We have developed two versatile and enabling platform technologies for rational design of precision immune stimulatory drugs. Our lead clinical candidate, APVO436, and preclinical candidates, ALG.APV-527 and APVO603, were developed using our ADAPTIR™ modular protein technology platform. Our preclinical candidate APVO442 was developed using our ADAPTIR-FLEX™ modular protein technology platform.</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currently trading on the Nasdaq Capital Market under the symbol “APVO.”</w:t>
      </w:r>
    </w:p>
    <w:p>
      <w:pPr>
        <w:spacing w:after="0" w:line="117"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basis that assumes we will continue as a going concern and which contemplates the realization of assets and satisfaction of liabilities and commitments in the normal course of business. For the three months ended March 31, 2022 and 2021, we had a net loss of $7.7 million and $7.3 million, respectively. We had an accumulated deficit of $221.8 million as of March 31, 2022. For the three months ended March 31, 2022, net cash used in our operating activities was $5.1 million. We have suffered recurring losses from operations and negative cash flows from operating activities. We believe that our existing cash resources, the Investment Amount and Milestone Amounts related to Royalty Purchase Agreement with HCR, Purchase Agreement with Lincoln Park, the cash to be generated from future deferred payments and milestones, release of restricted cash securing letters of credit, and funds available to us from the remaining principal balance of the Credit Agreement with MidCap Financial will be sufficient to meet our projected operating requirements and debt service for at least twelve months from the date of issuance of these financial statements. We may choose to raise additional funds to support our operating and capital needs in the future.</w:t>
      </w:r>
    </w:p>
    <w:p>
      <w:pPr>
        <w:spacing w:after="0" w:line="80"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We continue to face significant challenges and uncertainties and, as a result, our available capital resources may be consumed more rapidly than currently expected due to: (a) changes we may make to the business that affect ongoing operating expenses; (b) changes we may make in our business strategy; (c) changes we may make in our research and development spending plans; (d) potential decreases in our expected milestone and deferred payments from Medexus Pharmaceuticals Inc. (Medexus) with respect to IXINITY; (e) whether and to what extent future proceeds are received under our Royalty Purchase Agreement; and (f) other items affecting our forecasted level of expenditures and use of cash resources. We may attempt to obtain additional funding through our existing equity sales agreement with Lincoln Park or our Equity Distribution Agreement with Piper Sandler &amp; Co (Piper Sandler), or other public or private financing, collaborative arrangements with strategic partners, or through credit lines or other debt financing sources to increase the funds available to fund operations. However, we may not be able to secure such funding in a timely manner or on favorable terms, if at all. Furthermore, if we issue equity or debt securities to raise additional funds, our existing stockholders may experience dilution, and the new equity or debt securities may have rights, preferences, and privileges senior to those of our existing stockholders. If we raise additional funds through collaboration, licensing, or other similar arrangements, it may be necessary to relinquish valuable rights to our potential products or proprietary technologies, or grant licenses on terms that are not favorable to us. Without additional funds, we may be forced to delay, scale back, or eliminate some of our research and development activities or other operations and potentially delay product development in an effort to provide sufficient funds to continue our operations. If any of these events occurs, our ability to achieve our development and commercialization goals may be adversely affected. Given the global economic and geopolitical climate and additional or unforeseen effects from the ongoing COVID-19 pandemic, we may experience delays or difficulties in the financing environment and raising capital due to economic uncertainty.</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(GAAP). These unaudited condensed consolidated financial statements include all adjustments, which include normal recurring adjustments, necessary for the fair presentation of the Company’s financial position. These unaudited interim consolidated financial statements should be read in conjunction with the audited consolidated financial statements as of and for the year ended December 31, 2021, and the notes thereto, which are included in the Company’s Annual Report on Form 10-K for the year ended December 31, 2021.</w:t>
      </w:r>
    </w:p>
    <w:p>
      <w:pPr>
        <w:spacing w:after="0" w:line="75"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 and changes in these estimates are recorded when known.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our wholly owned subsidiaries: Aptevo Research and Development LLC and Aptevo BioTherapeutics LLC (for the period prior to its sale on February 28, 2020). All intercompany balances and transactions have been eliminated.</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estimates and assumptions that affect the reported amounts of assets and liabilities, revenues and expenses, and related disclosures of contingent liabilities in the unaudited condensed consolidated financial statements and accompanying notes. Estimates are used for, but not limited to, forecasted royalties, effective interest rates, clinical accruals, useful lives of equipment, commitments and contingencies, and stock-based compensation. Given the global economic and geopolitical climate and additional or unforeseen effects from the ongoing COVID-19 pandemic, these estimates are becoming more challenging, and actual results could differ materially from those estimates.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Liability Related to Sale of Royalties and Non-Cash Interest Expense</w:t>
      </w:r>
    </w:p>
    <w:p>
      <w:pPr>
        <w:spacing w:after="0" w:line="121"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On March 30, 2021, the Company entered into and closed a Royalty Purchase Agreement (the Royalty Purchase Agreement) with an entity managed by HealthCare Royalty Management, LLC (HCR) pursuant to which the Company sold to HCR the right to receive royalty payments made by Pfizer Inc. (Pfizer) in respect of net sales of RUXIENCE. Under the terms of the Royalty Purchase Agreement, the Company received $35 million (the Investment Amount) at closing and the Company is eligible to receive additional payments in the aggregate of up to an additional $32.5 million based on the achievement of sales milestones in 2021, 2022 and 2023 (collectively, the Milestone Amounts). The Company received the 2021 milestone payments in the collective amount of $10 million on March 8, 2022. The proceeds from these milestone payments, net of transaction costs, were recorded as an additional liability related to the sale of royalties on the consolidated balance sheet as of March 31, 2022. The Company is eligible to receive additional payments in the aggregate of up to $22.5 million based on achievement of sales milestones in 2022 and 2023. The Royalty Purchase Agreement further provides that, once HCR reaches aggregate royalty payments totaling 190% of the Investment Amount plus the Milestone Amounts to the extent paid by HCR to the Company, Aptevo will be entitled to receive 50% of royalty interest payments thereafter.</w:t>
      </w:r>
    </w:p>
    <w:p>
      <w:pPr>
        <w:spacing w:after="0" w:line="86"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We treat the Royalty Purchase Agreement with HCR (see Note 7) as a debt-like instrument, amortized under the effective interest rate method over the life of the related expected royalty stream. The liabilities related to the sale of royalties and the debt amortization are based on our current estimates of royalties expected to be paid over the life of the arrangement. To the extent total royalties collected are an amount less than the liability, the Company is not obligated to fund any such shortfall. We will periodically assess the expected royalty payments using projections from external sources. To the extent our estimates of royalty payments are greater or less than previous estimates or the estimated timing of such payments is materially different than previous estimates, we will adjust the effective interest rate and recognize related non-cash interest expense on a retrospective basis. We are not obligated to repay the proceeds received under the Royalty Purchase Agreement with HCR. Due to the nature of the transaction, which includes a cap on HCR’s return from royalties, constituting continuing involvement under the Collaboration and License Agreement originally between Trubion and Wyeth, we continue to recognize royalty revenue on net sales of RUXIENCE and record the royalty payments to HCR as a reduction of the liability when paid. As such payments are made to HCR, the balance of the liability will be effectively repaid over the life of the Royalty Purchase Agreement.</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Debt Modification</w:t>
      </w:r>
    </w:p>
    <w:p>
      <w:pPr>
        <w:spacing w:after="0" w:line="12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 xml:space="preserve">On March 30, 2021, we amended our Credit Agreement with MidCap Financial and used $10 million of the proceeds received from the Royalty Purchase Agreement to pay down the outstanding principal under the Credit Agreement from $25 million to $15 million. The amended Credit Agreement was accounted for under ASC 470-50, </w:t>
      </w:r>
      <w:r>
        <w:rPr>
          <w:rFonts w:ascii="Times New Roman" w:cs="Times New Roman" w:eastAsia="Times New Roman" w:hAnsi="Times New Roman"/>
          <w:sz w:val="18"/>
          <w:szCs w:val="18"/>
          <w:i w:val="1"/>
          <w:iCs w:val="1"/>
          <w:color w:val="auto"/>
        </w:rPr>
        <w:t>Debt Modifications and Extinguishments</w:t>
      </w:r>
      <w:r>
        <w:rPr>
          <w:rFonts w:ascii="Times New Roman" w:cs="Times New Roman" w:eastAsia="Times New Roman" w:hAnsi="Times New Roman"/>
          <w:sz w:val="18"/>
          <w:szCs w:val="18"/>
          <w:color w:val="auto"/>
        </w:rPr>
        <w:t xml:space="preserve"> as a debt modification, rather than an extinguishment, based on a comparison of the present value of the cash flows under the terms of the debt immediately before and after the amendment, which resulted in a change of less than 10%. Unamortized issuance costs as of the date of modification will be amortized to interest expense using the effective interest method over the repayment term.</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Other Significant Accounting Policies</w:t>
      </w:r>
    </w:p>
    <w:p>
      <w:pPr>
        <w:spacing w:after="0" w:line="121" w:lineRule="exact"/>
        <w:rPr>
          <w:sz w:val="20"/>
          <w:szCs w:val="20"/>
          <w:color w:val="auto"/>
        </w:rPr>
      </w:pPr>
    </w:p>
    <w:p>
      <w:pPr>
        <w:jc w:val="both"/>
        <w:ind w:right="20" w:firstLine="510"/>
        <w:spacing w:after="0" w:line="282" w:lineRule="auto"/>
        <w:rPr>
          <w:sz w:val="20"/>
          <w:szCs w:val="20"/>
          <w:color w:val="auto"/>
        </w:rPr>
      </w:pPr>
      <w:r>
        <w:rPr>
          <w:rFonts w:ascii="Times New Roman" w:cs="Times New Roman" w:eastAsia="Times New Roman" w:hAnsi="Times New Roman"/>
          <w:sz w:val="18"/>
          <w:szCs w:val="18"/>
          <w:color w:val="auto"/>
        </w:rPr>
        <w:t>Our other significant accounting policies were reported in our Annual Report on Form 10-K for the year ended December 31, 2021 that was filed with the SEC on March 24, 2022. Our other significant accounting policies have not changed materially from the policies previously reported.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2. Discontinued Operations</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include discontinued operations from two separate transactions: the sale of our hyperimmune business in 2017, from which we received a payment in March 2021 related to the collection of a certain accounts receivable, and the sale of our Aptevo BioTherapeutics LLC business in February 2020.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 w:name="page9"/>
    <w:bookmarkEnd w:id="8"/>
    <w:p>
      <w:pPr>
        <w:jc w:val="both"/>
        <w:ind w:firstLine="510"/>
        <w:spacing w:after="0" w:line="281" w:lineRule="auto"/>
        <w:rPr>
          <w:sz w:val="20"/>
          <w:szCs w:val="20"/>
          <w:color w:val="auto"/>
        </w:rPr>
      </w:pPr>
      <w:r>
        <w:rPr>
          <w:rFonts w:ascii="Times New Roman" w:cs="Times New Roman" w:eastAsia="Times New Roman" w:hAnsi="Times New Roman"/>
          <w:sz w:val="18"/>
          <w:szCs w:val="18"/>
          <w:color w:val="auto"/>
        </w:rPr>
        <w:t>On February 28, 2020, we entered into an LLC Purchase Agreement with Medexus, pursuant to which we sold all of the issued and outstanding limited liability company interests of Aptevo BioTherapeutics LLC, a wholly owned subsidiary of Aptevo. As a result of the transaction, Medexus obtained all rights, title and interest to the IXINITY product and the related Hemophilia B business and intellectual property.</w:t>
      </w:r>
    </w:p>
    <w:p>
      <w:pPr>
        <w:spacing w:after="0" w:line="56"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components attributable to income from discontinued operations in the unaudited condensed consolidated statements of operations (in thousands):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68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6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179"/>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contingent consideration from Saol</w:t>
            </w: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FF0FC"/>
          </w:tcPr>
          <w:p>
            <w:pPr>
              <w:spacing w:after="0"/>
              <w:rPr>
                <w:sz w:val="19"/>
                <w:szCs w:val="19"/>
                <w:color w:val="auto"/>
              </w:rPr>
            </w:pPr>
          </w:p>
        </w:tc>
      </w:tr>
      <w:tr>
        <w:trPr>
          <w:trHeight w:val="229"/>
        </w:trPr>
        <w:tc>
          <w:tcPr>
            <w:tcW w:w="6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payment from Medexus</w:t>
            </w: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4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CFF0FC"/>
            </w:tcBorders>
          </w:tcPr>
          <w:p>
            <w:pPr>
              <w:spacing w:after="0"/>
              <w:rPr>
                <w:sz w:val="19"/>
                <w:szCs w:val="19"/>
                <w:color w:val="auto"/>
              </w:rPr>
            </w:pPr>
          </w:p>
        </w:tc>
      </w:tr>
      <w:tr>
        <w:trPr>
          <w:trHeight w:val="223"/>
        </w:trPr>
        <w:tc>
          <w:tcPr>
            <w:tcW w:w="6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960" w:type="dxa"/>
            <w:vAlign w:val="bottom"/>
            <w:tcBorders>
              <w:bottom w:val="single" w:sz="8" w:color="auto"/>
            </w:tcBorders>
            <w:shd w:val="clear" w:color="auto" w:fill="CFF0FC"/>
          </w:tcPr>
          <w:p>
            <w:pPr>
              <w:jc w:val="right"/>
              <w:ind w:right="80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4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510"/>
        <w:spacing w:after="0" w:line="271" w:lineRule="auto"/>
        <w:rPr>
          <w:sz w:val="20"/>
          <w:szCs w:val="20"/>
          <w:color w:val="auto"/>
        </w:rPr>
      </w:pPr>
      <w:r>
        <w:rPr>
          <w:rFonts w:ascii="Times New Roman" w:cs="Times New Roman" w:eastAsia="Times New Roman" w:hAnsi="Times New Roman"/>
          <w:sz w:val="18"/>
          <w:szCs w:val="18"/>
          <w:color w:val="auto"/>
        </w:rPr>
        <w:t>The LLC Purchase Agreement with Medexus entitles us to future deferred payments and milestones. For the three months ended March 31, 2022, we collected $0.2 million in deferred payment from Medexus related to IXINITY sales. For the three months ended March 31, 2021, we collected $0.2 million related to the sale of hyperimmune business to Saol as a result of the collection of certain accounts receivable and a deferred payment of $0.2 million received from Medexus related to IXINITY sales.</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3. Collaboration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Alligator Bioscience AB</w:t>
      </w:r>
    </w:p>
    <w:p>
      <w:pPr>
        <w:spacing w:after="0" w:line="119"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On July 20, 2017, our wholly owned subsidiary Aptevo Research and Development LLC (Aptevo R&amp;D), entered into a collaboration and option agreement (the Collaboration Agreement) with Alligator Bioscience AB (Alligator), pursuant to which Aptevo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w:t>
      </w:r>
    </w:p>
    <w:p>
      <w:pPr>
        <w:spacing w:after="0" w:line="72"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We assessed the arrangement in accordance with ASC 606 and concluded that the contract counterparty, Alligator, is not a customer. As such the arrangement is not in the scope of ASC 606 and is instead treated as a collaborative agreement under ASC 808 – Collaborative Arrangements (ASC 808). In accordance with ASC 808, we concluded that because the Collaboration Agreement is a cost sharing agreement, there is no revenue.</w:t>
      </w:r>
    </w:p>
    <w:p>
      <w:pPr>
        <w:spacing w:after="0" w:line="68"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and March 31, 2021, we recorded approximately $0.2 million and $0.1 million in our research and development expense related to the Collaboration Agreement, respectively.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The Company’s estimates of fair value for financial assets and financial liabilities are based on the framework established in the fair value accounting guidance. The framework is based on the inputs used in valuation, it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and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Inputs other than quoted prices in active markets that are either directly or indirectly observable; and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 of the assets or liabilities.</w:t>
      </w:r>
    </w:p>
    <w:p>
      <w:pPr>
        <w:spacing w:after="0" w:line="117"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At March 31, 2022 and December 31, 2021, we had $32.0 million and $41.2 million in Level 1 money market funds, respectively. The carrying amounts of our money market funds approximate their fair value. At March 31, 2022 and December 31, 2021, we did not have any Level 2 or Level 3 assets.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8"/>
          <w:szCs w:val="18"/>
          <w:b w:val="1"/>
          <w:bCs w:val="1"/>
          <w:color w:val="auto"/>
        </w:rPr>
        <w:t>Note 5. Cash, Cash Equivalents, and Restricted Cash</w:t>
      </w:r>
    </w:p>
    <w:p>
      <w:pPr>
        <w:spacing w:after="0" w:line="135"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The Company’s cash equivalents are highly liquid investments with a maturity of 90 days or less at the date of purchase and include time deposits and investments in money market funds. Restricted cash, which are time deposits, includes $1.3 million securing letters of credit.</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our cash, cash equivalents and current restricted cash as of March 31, 2022 and December 31, 2021:</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r>
      <w:tr>
        <w:trPr>
          <w:trHeight w:val="223"/>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120" w:type="dxa"/>
            <w:vAlign w:val="bottom"/>
            <w:shd w:val="clear" w:color="auto" w:fill="CFF0FC"/>
          </w:tcPr>
          <w:p>
            <w:pPr>
              <w:spacing w:after="0"/>
              <w:rPr>
                <w:sz w:val="19"/>
                <w:szCs w:val="19"/>
                <w:color w:val="auto"/>
              </w:rPr>
            </w:pPr>
          </w:p>
        </w:tc>
      </w:tr>
      <w:tr>
        <w:trPr>
          <w:trHeight w:val="22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41,203</w:t>
            </w:r>
          </w:p>
        </w:tc>
        <w:tc>
          <w:tcPr>
            <w:tcW w:w="120" w:type="dxa"/>
            <w:vAlign w:val="bottom"/>
          </w:tcPr>
          <w:p>
            <w:pPr>
              <w:spacing w:after="0"/>
              <w:rPr>
                <w:sz w:val="19"/>
                <w:szCs w:val="19"/>
                <w:color w:val="auto"/>
              </w:rPr>
            </w:pPr>
          </w:p>
        </w:tc>
      </w:tr>
      <w:tr>
        <w:trPr>
          <w:trHeight w:val="229"/>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20" w:type="dxa"/>
            <w:vAlign w:val="bottom"/>
            <w:shd w:val="clear" w:color="auto" w:fill="CFF0FC"/>
          </w:tcPr>
          <w:p>
            <w:pPr>
              <w:spacing w:after="0"/>
              <w:rPr>
                <w:sz w:val="19"/>
                <w:szCs w:val="19"/>
                <w:color w:val="auto"/>
              </w:rPr>
            </w:pPr>
          </w:p>
        </w:tc>
      </w:t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36,250</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46,303</w:t>
            </w:r>
          </w:p>
        </w:tc>
        <w:tc>
          <w:tcPr>
            <w:tcW w:w="12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21"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On August 5, 2020, we entered into a Credit and Security Agreement (the Credit Agreement), with MidCap Financial. The Credit Agreement provided us with up to $25.0 million of available borrowing capacity under a term loan facility. The full $25.0 million was drawn on the closing date of the Credit Agreement. The term loan facility has a 48 month term, is interest-only for the first 18 months, with straight-line amortization for the remaining 30 months and bears interest at a rate of one month LIBOR plus 6.25% per annum, subject to a 1.50% LIBOR floor and a 2.50% LIBOR cap. Certain assets of the Company are pledged as collateral under the terms of the Credit Agreement. The United Kingdom’s Financial Conduct Authority (FCA), which regulates LIBOR, phased out one-week and two-month US Dollar LIBOR settings on December 31, 2021. All other US Dollar LIBOR settings, including the overnight, one-month, three-month, six-month and twelve-month, will be phased out on June 30, 2023. It is unclear if at that time LIBOR will cease to exist or if new methods of calculating LIBOR will be established such that it continues to exist after 2023. Our Credit Agreement with MidCap Financial currently references one-month LIBOR and also provides that we may amend the Credit Agreement to reflect an alternative rate of interest upon the phase out of LIBOR.</w:t>
      </w:r>
    </w:p>
    <w:p>
      <w:pPr>
        <w:spacing w:after="0" w:line="86"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On November 6, 2020, Kevin Tang and his related entities filed a statement on Schedule 13D to report the purchase of 1,760,000 shares of the Company’s common stock, which at the time represented approximately 54% of the Company’s issued and outstanding shares of the Company’s common stock. This acquisition of voting stock triggered a change in control, resulting in an Event of Default under Section 10.1(a)(ii) of the Credit Agreement. On November 10, 2020, the Company obtained a waiver from MidCap Financial pursuant to which, among other things, MidCap Financial waived such Event of Default and MidCap Financial and the Company agreed that an immediate event of default under the Credit Agreement will be deemed to have occurred in the event that (a) a majority of the seats on the Company’s board of directors are occupied by persons who were neither (i) nominated by the Company’s board of directors nor (ii) appointed by the directors so nominated, and (b) Tang has appointed the majority of the Company’s board of directors. No other events of default have occurred with respect to the Credit Agreement.</w:t>
      </w:r>
    </w:p>
    <w:p>
      <w:pPr>
        <w:spacing w:after="0" w:line="84"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On March 30, 2021, we amended our Credit Agreement with MidCap Financial and used $10.0 million of the proceeds received from the Royalty Purchase Agreement to pay down the outstanding principal under the Credit Agreement from $25.0 million to $15.0 million. $10.0 million of the remaining $15.0 million principal balance was paid on March 29, 2022. Beginning March 1, 2022, monthly repayment of the remaining $5.0 million of principal commenced and will continue for the final 30 months of the loan term. The term loan facility includes additional payment provisions if milestones related to IXINITY under the LLC Purchase Agreement with Medexus or royalties related to RUXIENCE under the Royalty Purchase Agreement with HCR are sold during the term of the loan. If the Company sells the IXINITY deferred payment stream and milestones prior to full repayment of this $5.0 million principal amount, under the agreement with MidCap Financial, we will be required to use the proceeds from the sale to pay down the outstanding loan principal balance. MidCap Financial also released its security interest in the RUXIENCE royalty payments. A fee of $0.6 million was paid by the Company to MidCap Financial in connection with the amendment in lieu of the formula-based fee previously required.</w:t>
      </w:r>
    </w:p>
    <w:p>
      <w:pPr>
        <w:spacing w:after="0" w:line="80"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amended Credit Agreement was accounted for as a debt modification, rather than an extinguishment, based on a comparison of the present value of the cash flows under the terms of the debt immediately before and after the amendment, which resulted in a change of less than 10%. Unamortized issuance costs as of the date of modification will be amortized to interest expense using the effective interest method over the repayment term.</w:t>
      </w:r>
    </w:p>
    <w:p>
      <w:pPr>
        <w:spacing w:after="0" w:line="68"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As of March 31, 2022, we classified $2.0 million of the remaining $4.8 million principal of the amended Credit Agreement to current portion of long-term debt on the unaudited condensed consolidated balance sheet.</w:t>
      </w:r>
    </w:p>
    <w:p>
      <w:pPr>
        <w:spacing w:after="0" w:line="54" w:lineRule="exact"/>
        <w:rPr>
          <w:sz w:val="20"/>
          <w:szCs w:val="20"/>
          <w:color w:val="auto"/>
        </w:rPr>
      </w:pPr>
    </w:p>
    <w:p>
      <w:pPr>
        <w:jc w:val="both"/>
        <w:ind w:right="20" w:firstLine="510"/>
        <w:spacing w:after="0" w:line="282" w:lineRule="auto"/>
        <w:rPr>
          <w:sz w:val="20"/>
          <w:szCs w:val="20"/>
          <w:color w:val="auto"/>
        </w:rPr>
      </w:pPr>
      <w:r>
        <w:rPr>
          <w:rFonts w:ascii="Times New Roman" w:cs="Times New Roman" w:eastAsia="Times New Roman" w:hAnsi="Times New Roman"/>
          <w:sz w:val="18"/>
          <w:szCs w:val="18"/>
          <w:color w:val="auto"/>
        </w:rPr>
        <w:t>This facility is subject to a subjective acceleration clause that could be invoked by MidCap Financial upon the occurrence of any event MidCap Financial deems to have a material adverse effect on our ability to repay the lender.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8"/>
          <w:szCs w:val="18"/>
          <w:b w:val="1"/>
          <w:bCs w:val="1"/>
          <w:color w:val="auto"/>
        </w:rPr>
        <w:t>Note 7. Liability Related to Sale of Royalties</w:t>
      </w:r>
    </w:p>
    <w:p>
      <w:pPr>
        <w:spacing w:after="0" w:line="121"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In March 2021, we entered into and closed the Royalty Purchase Agreement with HCR pursuant to which we sold to HCR the right to receive royalty payments made by Pfizer in respect of global net sales of RUXIENCE. Under the terms of the agreement, we received $35.0 million at closing and we are eligible to receive additional payments in aggregate of up to an additional $32.5 million based on the achievement of sales milestones in 2021, 2022 and 2023. The Company received the 2021 milestone payments in the collective amount of $10.0 million on March 8, 2022. The proceeds from these milestone payments, net of transaction costs, were recorded as an additional liability related to the sale of royalties on the consolidated balance sheet as of March 31, 2022. The Company is eligible to receive additional payments in aggregate of up to $22.5 million based on achievement of sales milestones in 2022 and 2023. The Royalty Purchase Agreement further provides that, once HCR reaches aggregate royalty payments totaling 190% of the amount paid at closing plus Milestone Amounts to the extent paid by HCR to the Company, Aptevo will be entitled to receive 50% of royalty interest payments thereafter.</w:t>
      </w:r>
    </w:p>
    <w:p>
      <w:pPr>
        <w:spacing w:after="0" w:line="84"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The proceeds received from HCR of $35.0 million were recorded as a liability, net of transaction costs of $1.1 million, which will be amortized over the life of the arrangement using the effective interest method. In order to determine the amortization of the liability, we are required to estimate the total amount of royalty payments to be received by HCR over the life of the arrangement. The total amount of royalty payments received by HCR under the Royalty Purchase Agreement, less the net proceeds we received of $33.9 million, is recorded as non-cash interest expense over the life of the arrangement using the effective interest method. We retain certain rights unrelated to the royalties under the Definitive Agreement originally between Trubion and Wyeth, with the exception of the cash flows of the RUXIENCE royalty payments and related rights purchased by HCR. Due to the nature of the transaction, which includes a cap on HCR’s return from royalties, constituting continuing involvement under the Collaboration and License Agreement originally between Trubion and Wyeth, we continue to recognize royalty revenue on net sales of RUXIENCE and record the royalty payments to HCR as a reduction of the liability when paid. As such payments are made to HCR, the balance of the liability will be effectively repaid over the life of the Royalty Purchase Agreement. To the extent total royalties collected are an amount less than the liability, the Company is not obligated to fund any such shortfall.</w:t>
      </w:r>
    </w:p>
    <w:p>
      <w:pPr>
        <w:spacing w:after="0" w:line="86"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We estimate the effective interest rate used to record non-cash interest expense under the Royalty Purchase Agreement based on the estimate of royalty payments to be received by HCR. As of March 31, 2022, the estimated effective interest rate under the agreement was 23.0%. Over the life of the arrangement, the actual effective interest rate will be affected by the amount and timing of the royalty payments received by HCR and changes in our forecasted royalties. Periodically, we will reassess our estimate of total royalty payments to be received by HCR, and retrospectively adjust the effective interest rate and amortization of the liability as necessary.</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changes in the liability in the quarter related to the sale of royalties under the Royalty Purchase Agreement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HCR (in thousands):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8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9"/>
        </w:trPr>
        <w:tc>
          <w:tcPr>
            <w:tcW w:w="5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62"/>
        </w:trPr>
        <w:tc>
          <w:tcPr>
            <w:tcW w:w="5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5420" w:type="dxa"/>
            <w:vAlign w:val="bottom"/>
            <w:tcBorders>
              <w:bottom w:val="single" w:sz="8" w:color="CFF0FC"/>
            </w:tcBorders>
          </w:tcPr>
          <w:p>
            <w:pPr>
              <w:spacing w:after="0"/>
              <w:rPr>
                <w:sz w:val="15"/>
                <w:szCs w:val="15"/>
                <w:color w:val="auto"/>
              </w:rPr>
            </w:pPr>
          </w:p>
        </w:tc>
        <w:tc>
          <w:tcPr>
            <w:tcW w:w="15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FF0FC"/>
            </w:tcBorders>
          </w:tcPr>
          <w:p>
            <w:pPr>
              <w:spacing w:after="0"/>
              <w:rPr>
                <w:sz w:val="15"/>
                <w:szCs w:val="15"/>
                <w:color w:val="auto"/>
              </w:rPr>
            </w:pPr>
          </w:p>
        </w:tc>
      </w:tr>
      <w:tr>
        <w:trPr>
          <w:trHeight w:val="223"/>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related to sale of royalties, beginning balance</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31,045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sale of royalties</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Pr>
          <w:p>
            <w:pPr>
              <w:spacing w:after="0"/>
              <w:rPr>
                <w:sz w:val="19"/>
                <w:szCs w:val="19"/>
                <w:color w:val="auto"/>
              </w:rPr>
            </w:pPr>
          </w:p>
        </w:tc>
      </w:tr>
      <w:tr>
        <w:trPr>
          <w:trHeight w:val="230"/>
        </w:trPr>
        <w:tc>
          <w:tcPr>
            <w:tcW w:w="5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transaction costs</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(1,100)</w:t>
            </w:r>
          </w:p>
        </w:tc>
      </w:tr>
      <w:tr>
        <w:trPr>
          <w:trHeight w:val="230"/>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Milestone payment received, net of transaction costs</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19"/>
                <w:szCs w:val="19"/>
                <w:color w:val="auto"/>
              </w:rPr>
            </w:pPr>
          </w:p>
        </w:tc>
      </w:tr>
      <w:tr>
        <w:trPr>
          <w:trHeight w:val="230"/>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RUXIENCE royalties paid to HCR</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(3,665)</w:t>
            </w:r>
          </w:p>
        </w:tc>
        <w:tc>
          <w:tcPr>
            <w:tcW w:w="18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related to sale of royalties, ending balance</w:t>
            </w:r>
          </w:p>
        </w:tc>
        <w:tc>
          <w:tcPr>
            <w:tcW w:w="15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38,660</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33,920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liability related to sale of royalties</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(15,318)</w:t>
            </w:r>
          </w:p>
        </w:tc>
        <w:tc>
          <w:tcPr>
            <w:tcW w:w="18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(11,748)</w:t>
            </w:r>
          </w:p>
        </w:tc>
      </w:tr>
      <w:tr>
        <w:trPr>
          <w:trHeight w:val="223"/>
        </w:trPr>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related to sale of royalties, non-current</w:t>
            </w: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Office Space Lease - Operating</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We have an operating lease related to our office and laboratory space in Seattle, Washington. This lease was amended and extended in March 2019. The term of the amended lease is through April 2030 and we have two options to extend the lease term, each by five years, as well as a one-time option to terminate the lease in April 2023.</w:t>
      </w:r>
    </w:p>
    <w:p>
      <w:pPr>
        <w:spacing w:after="0" w:line="68" w:lineRule="exact"/>
        <w:rPr>
          <w:sz w:val="20"/>
          <w:szCs w:val="20"/>
          <w:color w:val="auto"/>
        </w:rPr>
      </w:pPr>
    </w:p>
    <w:p>
      <w:pPr>
        <w:jc w:val="both"/>
        <w:ind w:right="20" w:firstLine="51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and March 31, 2021, we recorded $0.2 million and $0.2 million, respectively, related to variable expenses.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Equipment Leases - Operating</w:t>
      </w:r>
    </w:p>
    <w:p>
      <w:pPr>
        <w:spacing w:after="0" w:line="121"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As of March 31, 2022, we have operating leases for one piece of lab equipment and four copiers in our Seattle, Washington headquarters. The future expense for these leases will be straight-line and will include any variable expenses that arise.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Equipment Lease – Financing</w:t>
      </w:r>
    </w:p>
    <w:p>
      <w:pPr>
        <w:spacing w:after="0" w:line="121" w:lineRule="exact"/>
        <w:rPr>
          <w:sz w:val="20"/>
          <w:szCs w:val="20"/>
          <w:color w:val="auto"/>
        </w:rPr>
      </w:pPr>
    </w:p>
    <w:p>
      <w:pPr>
        <w:jc w:val="both"/>
        <w:ind w:right="20" w:firstLine="510"/>
        <w:spacing w:after="0" w:line="266" w:lineRule="auto"/>
        <w:rPr>
          <w:sz w:val="20"/>
          <w:szCs w:val="20"/>
          <w:color w:val="auto"/>
        </w:rPr>
      </w:pPr>
      <w:r>
        <w:rPr>
          <w:rFonts w:ascii="Times New Roman" w:cs="Times New Roman" w:eastAsia="Times New Roman" w:hAnsi="Times New Roman"/>
          <w:sz w:val="18"/>
          <w:szCs w:val="18"/>
          <w:color w:val="auto"/>
        </w:rPr>
        <w:t>As of March 31, 2022, we had one equipment lease classified as a financing lease as the lease transferred ownership of the underlying asset to us at the end of the lease term in 2020. The lease has no remaining expense obligation. There were no financing lease payments in the three months ended March 31, 2022.</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Components of lease expense:</w:t>
      </w:r>
    </w:p>
    <w:p>
      <w:pPr>
        <w:spacing w:after="0" w:line="224"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use assets acquired under operating leases:</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 excluding Seattle office lease</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Seattle office lease, including amendment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leases</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3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Lease payments:</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4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 operating leases</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The long-term portion of the lease liabilities included in the amounts above is $1.1 million and the remainder of our lease liabilities are included in other current liabilities on our unaudited condensed consolidated balance sheets.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2022, the weighted average remaining lease term and weighted average discount rate for operating leases was 1.08 years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14.45%. As of March 31, 2021, the weighted average remaining lease term and weighted average discount rate for operating leases was 2.05 years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14.50%.</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9. Net Income (Loss) per Share</w:t>
      </w:r>
    </w:p>
    <w:p>
      <w:pPr>
        <w:spacing w:after="0" w:line="12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Basic net income (loss) per share is calculated by dividing the net income (loss) by the weighted average number of common shares outstanding for the period. Diluted net income (loss) per share is computed by dividing the net income (loss) by the weighted average number of common share equivalents outstanding for the period using the as-if converted method. For the purpose of this calculation, warrants, stock options and restricted stock units (RSUs) are only included in the calculation of diluted net income (loss) per share when their effect is dilutive.</w:t>
      </w:r>
    </w:p>
    <w:p>
      <w:pPr>
        <w:spacing w:after="0" w:line="72"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We utilize the control number concept in the computation of diluted earnings per share to determine whether potential common stock instruments are dilutive. The control number used is loss from continuing operations or income from discontinued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 Therefore, no dilutive effect has been recognized in the calculation of income from discontinued operations per share.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Common stock equivalents include warrants, stock options and unvested RSUs.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income (loss) per share (in thousands, except share and per share amounts):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56"/>
        </w:trPr>
        <w:tc>
          <w:tcPr>
            <w:tcW w:w="5780" w:type="dxa"/>
            <w:vAlign w:val="bottom"/>
            <w:tcBorders>
              <w:bottom w:val="single" w:sz="8" w:color="CFF0FC"/>
            </w:tcBorders>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20" w:type="dxa"/>
            <w:vAlign w:val="bottom"/>
            <w:shd w:val="clear" w:color="auto" w:fill="CFF0FC"/>
          </w:tcPr>
          <w:p>
            <w:pPr>
              <w:spacing w:after="0"/>
              <w:rPr>
                <w:sz w:val="19"/>
                <w:szCs w:val="19"/>
                <w:color w:val="auto"/>
              </w:rPr>
            </w:pPr>
          </w:p>
        </w:tc>
      </w:tr>
      <w:tr>
        <w:trPr>
          <w:trHeight w:val="229"/>
        </w:trPr>
        <w:tc>
          <w:tcPr>
            <w:tcW w:w="5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bottom w:val="single" w:sz="8" w:color="CFF0FC"/>
            </w:tcBorders>
          </w:tcPr>
          <w:p>
            <w:pPr>
              <w:spacing w:after="0"/>
              <w:rPr>
                <w:sz w:val="19"/>
                <w:szCs w:val="19"/>
                <w:color w:val="auto"/>
              </w:rPr>
            </w:pPr>
          </w:p>
        </w:tc>
      </w:tr>
      <w:tr>
        <w:trPr>
          <w:trHeight w:val="223"/>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1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5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bottom w:val="single" w:sz="8" w:color="CFF0FC"/>
            </w:tcBorders>
          </w:tcPr>
          <w:p>
            <w:pPr>
              <w:spacing w:after="0"/>
              <w:rPr>
                <w:sz w:val="19"/>
                <w:szCs w:val="19"/>
                <w:color w:val="auto"/>
              </w:rPr>
            </w:pPr>
          </w:p>
        </w:tc>
      </w:tr>
      <w:tr>
        <w:trPr>
          <w:trHeight w:val="22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1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shd w:val="clear" w:color="auto" w:fill="CFF0FC"/>
          </w:tcPr>
          <w:p>
            <w:pPr>
              <w:spacing w:after="0"/>
              <w:rPr>
                <w:sz w:val="19"/>
                <w:szCs w:val="19"/>
                <w:color w:val="auto"/>
              </w:rPr>
            </w:pPr>
          </w:p>
        </w:tc>
      </w:tr>
      <w:tr>
        <w:trPr>
          <w:trHeight w:val="263"/>
        </w:trPr>
        <w:tc>
          <w:tcPr>
            <w:tcW w:w="5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per basic share</w:t>
            </w:r>
          </w:p>
        </w:tc>
        <w:tc>
          <w:tcPr>
            <w:tcW w:w="11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bottom w:val="single" w:sz="8" w:color="CFF0FC"/>
            </w:tcBorders>
          </w:tcPr>
          <w:p>
            <w:pPr>
              <w:spacing w:after="0"/>
              <w:rPr>
                <w:sz w:val="22"/>
                <w:szCs w:val="22"/>
                <w:color w:val="auto"/>
              </w:rPr>
            </w:pPr>
          </w:p>
        </w:tc>
      </w:tr>
      <w:tr>
        <w:trPr>
          <w:trHeight w:val="210"/>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used to compute per share calculations</w:t>
            </w:r>
          </w:p>
        </w:tc>
        <w:tc>
          <w:tcPr>
            <w:tcW w:w="1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4,937,456</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4,418,472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represents all potentially dilutive shares, which were all anti-dilutive and therefore excluded from the calculation of diluted net loss per share:</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1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56"/>
        </w:trPr>
        <w:tc>
          <w:tcPr>
            <w:tcW w:w="6940" w:type="dxa"/>
            <w:vAlign w:val="bottom"/>
            <w:gridSpan w:val="2"/>
            <w:vMerge w:val="continue"/>
          </w:tcPr>
          <w:p>
            <w:pPr>
              <w:spacing w:after="0"/>
              <w:rPr>
                <w:sz w:val="13"/>
                <w:szCs w:val="13"/>
                <w:color w:val="auto"/>
              </w:rPr>
            </w:pPr>
          </w:p>
        </w:tc>
        <w:tc>
          <w:tcPr>
            <w:tcW w:w="1500" w:type="dxa"/>
            <w:vAlign w:val="bottom"/>
            <w:tcBorders>
              <w:top w:val="single" w:sz="8" w:color="auto"/>
            </w:tcBorders>
          </w:tcPr>
          <w:p>
            <w:pPr>
              <w:jc w:val="right"/>
              <w:ind w:right="57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47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16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351</w:t>
            </w:r>
          </w:p>
        </w:tc>
        <w:tc>
          <w:tcPr>
            <w:tcW w:w="16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5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15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10. Equity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Equity Distribution Agreement</w:t>
      </w:r>
    </w:p>
    <w:p>
      <w:pPr>
        <w:spacing w:after="0" w:line="133"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On December 14, 2020, we entered into an Equity Distribution Agreement (the Equity Distribution Agreement) with Piper Sandler. The Equity Distribution Agreement provides that, upon the terms and subject to the conditions set forth therein, we may issue and sell through Piper Sandler, acting as sales agent, shares of our common stock, $0.001 par value per share having an aggregate offering price of up to $50.0 million. This offering supersedes and replaces the program we commenced in December 2017. We have no obligation to sell any such shares under the Equity Distribution Agreement. The sale of such shares of common stock by Piper Sandler will be effected pursuant to a Registration Statement on Form S-3 which we filed on December 14, 2020. We did not issue any shares under the Equity Distribution Agreement in the three months ended March 31, 2022 and 2021.</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Lincoln Park Purchase Agreement</w:t>
      </w:r>
    </w:p>
    <w:p>
      <w:pPr>
        <w:spacing w:after="0" w:line="119"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On December 20, 2018, we entered into a Purchase Agreement and a Registration Rights Agreement, with Lincoln Park (the Purchase Agreement), both of which expired in March 2022. Pursuant to the Purchase Agreement, Lincoln Park has committed to purchase up to $35.0 million worth of our common stock over a 36-month period commencing on February 13, 2019, the date the registration statement covering the resale of the shares was declared effective by the SEC. Under the Purchase Agreement, on any business day selected by us, we may direct Lincoln Park to purchase shares of our common stock provided that Lincoln Park’s maximum commitment on any single day does not exceed $2.0 million. The purchase price per share will be based off of prevailing market prices of our common stock immediately preceding the time of sale; provided, however, that we cannot direct any such purchase if the prevailing market price is less than $1.00.</w:t>
      </w:r>
    </w:p>
    <w:p>
      <w:pPr>
        <w:spacing w:after="0" w:line="81"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On February 16, 2022, the Company entered into a new Purchase Agreement and a Registration Rights Agreement with Lincoln Park. Under the new Purchase Agreement, Lincoln Park committed to purchase up to $35.0 million of our common stock over a 36-month period commencing after the satisfaction of certain conditions, which are within our control, as set forth in the Purchase Agreement. The purchase price per share will be based on prevailing market price; provided, however, that the prevailing market price is not below $1.00. The Company agreed to issue 99,276 shares of our common stock to Lincoln Park for no cash consideration as an initial fee for its commitment to purchase shares of our common stock under the Purchase Agreement. The Company did not issue any shares of common stock for cash consideration to Lincoln Park under the Purchase Agreement in the three months ended March 31, 2022.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Rights Plan</w:t>
      </w:r>
    </w:p>
    <w:p>
      <w:pPr>
        <w:spacing w:after="0" w:line="119"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On November 8, 2020, our Board of Directors (Board) approved and adopted a Rights Agreement, dated as of November 8, 2020, by and between the Company and Broadridge Corporate Issuer Solutions, Inc., as rights agent, pursuant to which the Board declared a dividend of one preferred share purchase right (each, a Right) for each outstanding share of the Company’s common stock held by stockholders as of the close of business on November 23, 2020. When exercisable, each right initially would represent the right to purchase from the Company one one-thousandth of a share of a newly-designated series of preferred stock, Series A Junior Participating Preferred Stock, par value $0.001 per share, of the Company, at an exercise price of $400.00 per one one-thousandth of a Series A Junior Participating Preferred Share, subject to adjustment. Subject to various exceptions, the Rights become exercisable in the event any person (excluding certain exempted or grandfathered persons) becomes the beneficial owner of ten percent (10%) or more of the Company’s common stock without the approval of the Board. The Rights Agreement was amended on November 4, 2021 to extend the expiration date of such agreement from November 8, 2021 to November 5, 2022.</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i w:val="1"/>
          <w:iCs w:val="1"/>
          <w:u w:val="single" w:color="auto"/>
          <w:color w:val="auto"/>
        </w:rPr>
        <w:t>onverted Equity Awards Incentive Plan</w:t>
      </w:r>
    </w:p>
    <w:p>
      <w:pPr>
        <w:spacing w:after="0" w:line="119"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In connection with the spin-off from Emergent BioSolutions, Inc. (Emergent) in August 2016, we adopted the Converted Equity Awards Incentive Plan (Converted Plan) and outstanding equity awards of Emergent held by Aptevo employees were converted into or replaced with equity awards of Aptevo (Conversion Awards). A total of 0.1 million shares of Aptevo common stock have been authorized for issuance under the Converted Plan.</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2016 Stock Incentive Plan</w:t>
      </w:r>
    </w:p>
    <w:p>
      <w:pPr>
        <w:spacing w:after="0" w:line="119"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On August 1, 2016, the Company adopted the 2016 Stock Incentive Plan (the 2016 SIP). A total of 0.2 million shares of Aptevo common stock have been authorized for issuance under the 2016 SIP in the form of equity stock options.</w:t>
      </w:r>
    </w:p>
    <w:p>
      <w:pPr>
        <w:spacing w:after="0" w:line="54"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On May 31, 2017, at the 2017 Annual Meeting of Stockholders (Annual Meeting), the Company’s stockholders approved the amendment and restatement of the Company’s 2016 SIP (Restated 2016 Plan) to, among other things, increase the number of authorized shares issuable by 0.1 million shares of Aptevo common stock. The Restated 2016 Plan was previously approved, subject to stockholder approval, by the Board of Directors of the Company.</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2018 Stock Incentive Plan</w:t>
      </w:r>
    </w:p>
    <w:p>
      <w:pPr>
        <w:spacing w:after="0" w:line="133"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On June 1, 2018, at the 2018 Annual Meeting of the Stockholders, the Company’s stockholders approved a new 2018 Stock Incentive Plan (2018 SIP), which replaced the Restated 2016 Plan on a go-forward basis. All stock options, RSUs or other equity awards granted subsequent to June 1, 2018 have been and will be issued out of the 2018 SIP, which has 0.3 million shares of Aptevo common stock authorized for issuance. The 2018 Plan became effective immediately upon stockholder approval at the 2018 Annual Meeting of the Stockholders. Any shares subject to outstanding stock awards granted under the 2016 SIP that (a) expire or terminate for any reason prior to exercise or settlement; (b) are forfeited because of the failure to meet a contingency or condition required to vest such shares or otherwise return to the Company; or (c) otherwise would have returned to the 2016 SIP for future grant pursuant to the terms of the 2016 Plan (such shares, the “Returning Shares”) will immediately be added to the share reserve under the 2018 SIP as and when such shares become Returning Shares, up to a maximum of 0.3 million shares. As of March 31, 2022, there are less than 0.1 million shares available to be granted under the 2018 SIP.</w:t>
      </w:r>
    </w:p>
    <w:p>
      <w:pPr>
        <w:spacing w:after="0" w:line="80"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Stock options and RSUs under the 2018 SIP generally vest pro rata over a three-year period. Stock options terminate ten years from the grant date, though the specific terms of each grant are determined individually. The Company’s executive officers and certain other employees may be awarded options and/or RSUs with different vesting criteria, and awards granted to non-employee directors also vest over a three-year period. Option exercise and RSU grant prices for new awards granted by the Company equal the closing price of the Company’s common stock on the Nasdaq Capital Market on the date of grant.</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includes amortization of stock options and RSUs granted to employees and non-employees and has been reported in our unaudited condensed consolidated statements of operations as follows: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55"/>
        </w:trPr>
        <w:tc>
          <w:tcPr>
            <w:tcW w:w="68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49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The Company accounts for stock-based compensation by measuring the cost of employee services received in exchange for all equity awards granted based on the fair value of the award as of the grant date. The Company recognizes the compensation expense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over the vesting period. All assumptions used to calculate the grant date fair value of nonemployee options are generally consistent with the assumptions used for options granted to employees. In the event the Company terminates any of its consulting agreements, the unvested options underlying the agreements would also be cancelled.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119"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Aptevo utilizes the Black-Scholes valuation model for estimating the fair value of all stock options granted. Set forth below are the assumptions used in valuing the stock options granted:</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312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55"/>
        </w:trPr>
        <w:tc>
          <w:tcPr>
            <w:tcW w:w="6980" w:type="dxa"/>
            <w:vAlign w:val="bottom"/>
            <w:tcBorders>
              <w:bottom w:val="single" w:sz="8" w:color="CFF0FC"/>
            </w:tcBorders>
          </w:tcPr>
          <w:p>
            <w:pPr>
              <w:spacing w:after="0"/>
              <w:rPr>
                <w:sz w:val="13"/>
                <w:szCs w:val="13"/>
                <w:color w:val="auto"/>
              </w:rPr>
            </w:pPr>
          </w:p>
        </w:tc>
        <w:tc>
          <w:tcPr>
            <w:tcW w:w="1460" w:type="dxa"/>
            <w:vAlign w:val="bottom"/>
            <w:tcBorders>
              <w:top w:val="single" w:sz="8" w:color="auto"/>
              <w:bottom w:val="single" w:sz="8" w:color="auto"/>
            </w:tcBorders>
          </w:tcPr>
          <w:p>
            <w:pPr>
              <w:jc w:val="center"/>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FF0FC"/>
            </w:tcBorders>
          </w:tcPr>
          <w:p>
            <w:pPr>
              <w:spacing w:after="0"/>
              <w:rPr>
                <w:sz w:val="13"/>
                <w:szCs w:val="13"/>
                <w:color w:val="auto"/>
              </w:rPr>
            </w:pPr>
          </w:p>
        </w:tc>
        <w:tc>
          <w:tcPr>
            <w:tcW w:w="142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60" w:type="dxa"/>
            <w:vAlign w:val="bottom"/>
            <w:shd w:val="clear" w:color="auto" w:fill="CFF0FC"/>
          </w:tcPr>
          <w:p>
            <w:pPr>
              <w:jc w:val="center"/>
              <w:ind w:right="36"/>
              <w:spacing w:after="0"/>
              <w:rPr>
                <w:sz w:val="20"/>
                <w:szCs w:val="20"/>
                <w:color w:val="auto"/>
              </w:rPr>
            </w:pPr>
            <w:r>
              <w:rPr>
                <w:rFonts w:ascii="Times New Roman" w:cs="Times New Roman" w:eastAsia="Times New Roman" w:hAnsi="Times New Roman"/>
                <w:sz w:val="18"/>
                <w:szCs w:val="18"/>
                <w:color w:val="auto"/>
                <w:w w:val="98"/>
              </w:rPr>
              <w:t>0.00%</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shd w:val="clear" w:color="auto" w:fill="CFF0FC"/>
          </w:tcPr>
          <w:p>
            <w:pPr>
              <w:spacing w:after="0"/>
              <w:rPr>
                <w:sz w:val="19"/>
                <w:szCs w:val="19"/>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60" w:type="dxa"/>
            <w:vAlign w:val="bottom"/>
          </w:tcPr>
          <w:p>
            <w:pPr>
              <w:jc w:val="center"/>
              <w:ind w:right="36"/>
              <w:spacing w:after="0"/>
              <w:rPr>
                <w:sz w:val="20"/>
                <w:szCs w:val="20"/>
                <w:color w:val="auto"/>
              </w:rPr>
            </w:pPr>
            <w:r>
              <w:rPr>
                <w:rFonts w:ascii="Times New Roman" w:cs="Times New Roman" w:eastAsia="Times New Roman" w:hAnsi="Times New Roman"/>
                <w:sz w:val="18"/>
                <w:szCs w:val="18"/>
                <w:color w:val="auto"/>
              </w:rPr>
              <w:t>106.30%</w:t>
            </w:r>
          </w:p>
        </w:tc>
        <w:tc>
          <w:tcPr>
            <w:tcW w:w="1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99.80%</w:t>
            </w:r>
          </w:p>
        </w:tc>
        <w:tc>
          <w:tcPr>
            <w:tcW w:w="100" w:type="dxa"/>
            <w:vAlign w:val="bottom"/>
          </w:tcPr>
          <w:p>
            <w:pPr>
              <w:spacing w:after="0"/>
              <w:rPr>
                <w:sz w:val="19"/>
                <w:szCs w:val="19"/>
                <w:color w:val="auto"/>
              </w:rPr>
            </w:pPr>
          </w:p>
        </w:tc>
      </w:tr>
      <w:tr>
        <w:trPr>
          <w:trHeight w:val="23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60" w:type="dxa"/>
            <w:vAlign w:val="bottom"/>
            <w:shd w:val="clear" w:color="auto" w:fill="CFF0FC"/>
          </w:tcPr>
          <w:p>
            <w:pPr>
              <w:jc w:val="center"/>
              <w:ind w:right="36"/>
              <w:spacing w:after="0"/>
              <w:rPr>
                <w:sz w:val="20"/>
                <w:szCs w:val="20"/>
                <w:color w:val="auto"/>
              </w:rPr>
            </w:pPr>
            <w:r>
              <w:rPr>
                <w:rFonts w:ascii="Times New Roman" w:cs="Times New Roman" w:eastAsia="Times New Roman" w:hAnsi="Times New Roman"/>
                <w:sz w:val="18"/>
                <w:szCs w:val="18"/>
                <w:color w:val="auto"/>
                <w:w w:val="98"/>
              </w:rPr>
              <w:t>1.60%</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0.48%</w:t>
            </w:r>
          </w:p>
        </w:tc>
        <w:tc>
          <w:tcPr>
            <w:tcW w:w="100" w:type="dxa"/>
            <w:vAlign w:val="bottom"/>
            <w:shd w:val="clear" w:color="auto" w:fill="CFF0FC"/>
          </w:tcPr>
          <w:p>
            <w:pPr>
              <w:spacing w:after="0"/>
              <w:rPr>
                <w:sz w:val="19"/>
                <w:szCs w:val="19"/>
                <w:color w:val="auto"/>
              </w:rPr>
            </w:pP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Expected average life of options</w:t>
            </w:r>
          </w:p>
        </w:tc>
        <w:tc>
          <w:tcPr>
            <w:tcW w:w="1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5 years</w:t>
            </w:r>
          </w:p>
        </w:tc>
        <w:tc>
          <w:tcPr>
            <w:tcW w:w="15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220"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Management has applied an estimated forfeiture rate of 29% for the three months ended March 31, 2022 and 26% for the three months ended March 31, 2021. Expected volatility increased as our stock price fluctuated from a low of $4.48 to a high of $6.96 for the three months ended March 31, 2022, compared to a low of $27.86 to a high of $40.59 for the three months ended March 31, 2021.</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option activity for the three months ended March 31,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4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4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Remaining Term</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334,412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19.17</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8.70</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64,088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6.97</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(31,986)</w:t>
            </w:r>
          </w:p>
        </w:tc>
        <w:tc>
          <w:tcPr>
            <w:tcW w:w="1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18.19</w:t>
            </w:r>
          </w:p>
        </w:tc>
        <w:tc>
          <w:tcPr>
            <w:tcW w:w="14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366,429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16.20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8.21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March 31, 2022</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161,985</w:t>
            </w:r>
          </w:p>
        </w:tc>
        <w:tc>
          <w:tcPr>
            <w:tcW w:w="24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13.29</w:t>
            </w:r>
          </w:p>
        </w:tc>
        <w:tc>
          <w:tcPr>
            <w:tcW w:w="140" w:type="dxa"/>
            <w:vAlign w:val="bottom"/>
            <w:tcBorders>
              <w:bottom w:val="single" w:sz="8" w:color="CFF0FC"/>
            </w:tcBorders>
          </w:tcPr>
          <w:p>
            <w:pPr>
              <w:spacing w:after="0"/>
              <w:rPr>
                <w:sz w:val="21"/>
                <w:szCs w:val="21"/>
                <w:color w:val="auto"/>
              </w:rPr>
            </w:pPr>
          </w:p>
        </w:tc>
        <w:tc>
          <w:tcPr>
            <w:tcW w:w="1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7.02</w:t>
            </w:r>
          </w:p>
        </w:tc>
        <w:tc>
          <w:tcPr>
            <w:tcW w:w="1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at March 31, 2022</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285,706</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15.75</w:t>
            </w:r>
          </w:p>
        </w:tc>
        <w:tc>
          <w:tcPr>
            <w:tcW w:w="1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7.90</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As of March 31, 2022, we had $2.6 million of unrecognized compensation expense related to options expected to vest over a weighted average term of 2.0 years. As of March 31, 2022, the weighted average remaining term of outstanding and exercisable options was 7.02 years. For the three months ended March 31, 2022, 31,986 shares were forfeited, compared to 292 shares forfeited for the three months ended March 31, 2021. The weighted-average grant date fair value per share of options granted during the quarters ended March 31, 2022 and 2021 was $4.43 and $25.09, respectively. The aggregate intrinsic value of options exercised for the three months ended March 31, 2022 and 2021 was $0 and $0.2 million, respectively. The total fair value of stock options vested for the three months ended March 31, 2022 and 2021 was $0.9 million and $0.3 million, respectively.</w:t>
      </w:r>
    </w:p>
    <w:p>
      <w:pPr>
        <w:spacing w:after="0" w:line="79"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closing stock price of Aptevo’s common stock on the last trading day of March 2022 and the exercise price, multiplied by the number of in the money options) that would have been received by the option holders had all the option holders exercised their options on the last trading day of the quarter.</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RSU activity for the three months ended March 31,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6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6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 per Unit</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58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56,810</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3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33,151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42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(10,582)</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4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(9,601)</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and expected to vest at March 31, 2022</w:t>
            </w:r>
          </w:p>
        </w:tc>
        <w:tc>
          <w:tcPr>
            <w:tcW w:w="258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69,778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580" w:type="dxa"/>
            <w:vAlign w:val="bottom"/>
            <w:vMerge w:val="restart"/>
          </w:tcPr>
          <w:p>
            <w:pPr>
              <w:jc w:val="right"/>
              <w:ind w:right="1710"/>
              <w:spacing w:after="0"/>
              <w:rPr>
                <w:sz w:val="20"/>
                <w:szCs w:val="20"/>
                <w:color w:val="auto"/>
              </w:rPr>
            </w:pPr>
            <w:r>
              <w:rPr>
                <w:rFonts w:ascii="Times New Roman" w:cs="Times New Roman" w:eastAsia="Times New Roman" w:hAnsi="Times New Roman"/>
                <w:sz w:val="18"/>
                <w:szCs w:val="18"/>
                <w:color w:val="auto"/>
              </w:rPr>
              <w:t>15</w:t>
            </w: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5" w:name="page16"/>
    <w:bookmarkEnd w:id="15"/>
    <w:p>
      <w:pPr>
        <w:jc w:val="both"/>
        <w:ind w:right="20" w:firstLine="510"/>
        <w:spacing w:after="0" w:line="282" w:lineRule="auto"/>
        <w:rPr>
          <w:sz w:val="20"/>
          <w:szCs w:val="20"/>
          <w:color w:val="auto"/>
        </w:rPr>
      </w:pPr>
      <w:r>
        <w:rPr>
          <w:rFonts w:ascii="Times New Roman" w:cs="Times New Roman" w:eastAsia="Times New Roman" w:hAnsi="Times New Roman"/>
          <w:sz w:val="18"/>
          <w:szCs w:val="18"/>
          <w:color w:val="auto"/>
        </w:rPr>
        <w:t>As of March 31, 2022, there was $1.2 million unrecognized stock-based compensation expense related to unvested RSUs expected to vest over the weighted average period of 2.1 years.</w:t>
      </w:r>
    </w:p>
    <w:p>
      <w:pPr>
        <w:spacing w:after="0" w:line="54" w:lineRule="exact"/>
        <w:rPr>
          <w:sz w:val="20"/>
          <w:szCs w:val="20"/>
          <w:color w:val="auto"/>
        </w:rPr>
      </w:pPr>
    </w:p>
    <w:p>
      <w:pPr>
        <w:jc w:val="both"/>
        <w:ind w:right="20" w:firstLine="510"/>
        <w:spacing w:after="0" w:line="282" w:lineRule="auto"/>
        <w:rPr>
          <w:sz w:val="20"/>
          <w:szCs w:val="20"/>
          <w:color w:val="auto"/>
        </w:rPr>
      </w:pPr>
      <w:r>
        <w:rPr>
          <w:rFonts w:ascii="Times New Roman" w:cs="Times New Roman" w:eastAsia="Times New Roman" w:hAnsi="Times New Roman"/>
          <w:sz w:val="18"/>
          <w:szCs w:val="18"/>
          <w:color w:val="auto"/>
        </w:rPr>
        <w:t>The fair value of each RSU has been determined to be the closing trading price of the Company’s common stock on the date of grant as quoted on the Nasdaq Capital Market.</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Warrants</w:t>
      </w:r>
    </w:p>
    <w:p>
      <w:pPr>
        <w:spacing w:after="0" w:line="119"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 xml:space="preserve">In March 2019, as part of a public offering, we issued warrants to purchase up to 1,725,000 shares of our common stock, 1,571,429 of which have an exercise price of $18.20 per share and have a five-year life, and 153,571 of pre-funded warrants with an exercise price of $0.14 per share. The pre-funded warrants had a ten-year life and would have expired on March 11, 2029; however, all of the pre-funded warrants were exercised in March 2019. We determined the warrants do not meet liability classification pursuant to ASC 480 –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These are therefore included within equity on our unaudited condensed consolidated balance sheet. For the three months ended March 31, 2022, the Company did not have any of its warrants exercised. For the three months ended March 31, 2021, certain holders of the Company’s warrants exercised warrants with strike price of $18.20 per share, resulting in the issuance of approximately 27,828 shares of the Company’s common stock and aggregate proceeds to the Company of approximately $0.5 million. As of March 31, 2022 and 2021, there were warrants to purchase 350,589 and 376,866 shares of common stock outstanding, respectively.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includes “forward-looking statements” within the meaning of Section 27A of the Securities Act of 1933, as amended, and Section 21E of the Securities Exchange Act of 1934, as amended (the Exchange Act). All statements in this Quarterly Report on Form 10-Q other than statements of historical facts, including statements regarding our strategy, future operations, future financial position, future revenues, royalty payments, the achievement of milestones, projected costs, prospects, plans, intentions, expectations, and objectives could be forward-looking statements. The words “anticipates,” “believes,” “could,” “designed,” “estimates,” “expects,” “goal,” “intends,” “may,” “plans,” “projects,” “pursuing,” “will,” “would” and similar expressions (including the negatives thereof) are intended to identify forward-looking statements, although not all forward-looking statements contain these identifying words.</w:t>
      </w:r>
    </w:p>
    <w:p>
      <w:pPr>
        <w:spacing w:after="0" w:line="75"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We have based these forward-looking statements largely on our current assumptions, expectations, projections, intentions, objectives and/or beliefs about future events or occurrences and these forward-looking statements are subject to a number of risks, uncertainties and assumptions, including, but not limited to, those described in Part II, Item 1A, “Risk Factors” in this Quarterly Report on Form 10-Q.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The timing of certain events and circumstances and known and unknown risks and uncertainties could cause actual results to differ materially from those anticipated or implied in the forward-looking statements that we make. Therefore, you should not place undue reliance on our forward-looking statements.</w:t>
      </w:r>
    </w:p>
    <w:p>
      <w:pPr>
        <w:spacing w:after="0" w:line="75" w:lineRule="exact"/>
        <w:rPr>
          <w:sz w:val="20"/>
          <w:szCs w:val="20"/>
          <w:color w:val="auto"/>
        </w:rPr>
      </w:pPr>
    </w:p>
    <w:p>
      <w:pPr>
        <w:jc w:val="both"/>
        <w:ind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Our forward-looking statements in this Quarterly Report on Form 10-Q are based on current information and we do not assume any obligation to update any forward-looking statements expect as required by the federal securities laws.</w:t>
      </w:r>
    </w:p>
    <w:p>
      <w:pPr>
        <w:spacing w:after="0" w:line="50"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Management’s Discussion and Analysis of Financial Condition and Results of Operations (this MD&amp;A) together with the unaudited condensed consolidated financial statements and the related notes thereto included in this Quarterly Report on Form 10-Q. This MD&amp;A contains forward-looking statements that are subject to risks and uncertainties, such as those set forth in the sections of this Quarterly Report on Form 10-Q captioned “Cautionary Note Regarding Forward-Looking Statements,” “Risk Factors” and elsewhere. As a result, our actual results may differ materially from those anticipated in these forward-looking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We are a clinical-stage, research and development biotechnology company focused on developing novel immunotherapeutic candidates for the treatment of different forms of cancer. We have developed two versatile and enabling platform technologies for rational design of precision immune modulatory drugs. Our lead clinical candidate, APVO436, and preclinical candidates, ALG.APV-527 and APVO603, were developed using our ADAPTIR™ modular protein technology platform. Our preclinical candidate, APVO442, was developed using our ADAPTIR-FLEX™ modular protein technology platform. Currently, APVO436 is being evaluated in an open-label, multi-center, multi-cohort Phase 1b expansion trial in the U.S.</w:t>
      </w:r>
    </w:p>
    <w:p>
      <w:pPr>
        <w:spacing w:after="0" w:line="75"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The versatile and robust ADAPTIR and ADAPTIR-FLEX platforms are designed to generate monospecific, bispecific, and multi-specific antibody candidates that are capable of enhancing the human immune system against cancer cells. ADAPTIR and ADAPTIR-FLEX are both modular platforms, which gives us the flexibility to generate immunotherapeutic candidates with a variety of mechanisms of action. This flexibility in design allows us to potentially generate novel therapeutic candidates that may provide the foundation for the establishment of effective strategies against difficult to treat, as well as advanced forms of cancer. We have successfully designed and constructed numerous investigational-stage prototype product candidates based on our ADAPTIR platform. The ADAPTIR platform technology is designed to generate monospecific and bispecific immunotherapeutic proteins that specifically bind to one or more targets, for example, bispecific therapeutic molecules, which may have structural and functional advantages over monoclonal antibodies. The structural differences of ADAPTIR molecules over monoclonal antibodies allow for the development of ADAPTIR immunotherapeutics that are designed to engage immune effector cells and disease targets in a novel manner to produce unique signaling responses and ultimately kill tumors or modulate the immune system to kill tumors.</w:t>
      </w:r>
    </w:p>
    <w:p>
      <w:pPr>
        <w:spacing w:after="0" w:line="86"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We are skilled at candidate generation, validation, and subsequent preclinical and clinical development using the ADAPTIR platform and have added the ADAPTIR-FLEX platform to generate multi-specific candidates or other candidates to our platform capabilities. We have developed preclinical candidate based on the ADAPTIR-FLEX platform which is advancing in our pipeline. We are developing our ADAPTIR and ADAPTIR-FLEX molecules by way of our protein engineering, preclinical development, process development, and clinical development capabilities.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Through the date of this filing, Aptevo has reported that two patients in its Phase 1b expansion trial achieved substantial blast count reduction and clinical benefit and were able to proceed to allogeneic stem cell transplant:</w:t>
      </w:r>
    </w:p>
    <w:p>
      <w:pPr>
        <w:spacing w:after="0" w:line="54" w:lineRule="exact"/>
        <w:rPr>
          <w:sz w:val="20"/>
          <w:szCs w:val="20"/>
          <w:color w:val="auto"/>
        </w:rPr>
      </w:pPr>
    </w:p>
    <w:p>
      <w:pPr>
        <w:jc w:val="both"/>
        <w:ind w:left="1000" w:hanging="493"/>
        <w:spacing w:after="0" w:line="257"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9, 2022, the Company announced that a patient in Cohort 1 who achieved complete remission in its Phase 1b multi-center, multi-cohort expansion trial in November 2021 remained in remission and proceeded to transplant. Additionally, the Company reported that MD Anderson Cancer Center joined the APVO436 trial as an additional clinical trial site.</w:t>
      </w:r>
    </w:p>
    <w:p>
      <w:pPr>
        <w:spacing w:after="0" w:line="1" w:lineRule="exact"/>
        <w:rPr>
          <w:rFonts w:ascii="Times New Roman" w:cs="Times New Roman" w:eastAsia="Times New Roman" w:hAnsi="Times New Roman"/>
          <w:sz w:val="18"/>
          <w:szCs w:val="18"/>
          <w:color w:val="auto"/>
        </w:rPr>
      </w:pPr>
    </w:p>
    <w:p>
      <w:pPr>
        <w:jc w:val="both"/>
        <w:ind w:left="1000" w:hanging="493"/>
        <w:spacing w:after="0" w:line="255"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29, 2022, the Company announced that a patient with relapsed/refractory AML treated with APVO436 in the monotherapy arm of its Phase 1b multi-center, multi-cohort expansion trial, has received an allogeneic stem cell transplant subsequent to receiving APVO436 and experienced significant reduction in bone marrow blasts.</w:t>
      </w:r>
    </w:p>
    <w:p>
      <w:pPr>
        <w:spacing w:after="0" w:line="78"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On March 8, 2022, the Company received a $10 million milestone payment related to 2021 sales of RUXIENCE under the terms of the Royalty Purchase Agreement with HCR. The proceeds were used to pay down our MidCap Financial term loan to $5 million, further strengthening the Company’s balance sheet.</w:t>
      </w:r>
    </w:p>
    <w:p>
      <w:pPr>
        <w:spacing w:after="0" w:line="68"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On April 1, 2022, the Company received a letter from The Nasdaq Stock Market LLC (“Nasdaq”) indicating that it is not in compliance with Nasdaq Listing Rule 5550(b)(1), which requires companies listed on The Nasdaq Capital Market to maintain a minimum of $2,500,000 in stockholders’ equity for continued listing. On its annual report for the year ended December 31, 2021, the Company reported stockholders’ equity of $1,216,000, and, as a result, does not currently satisfy Listing Rule 5550(b)(1).</w:t>
      </w:r>
    </w:p>
    <w:p>
      <w:pPr>
        <w:spacing w:after="0" w:line="72"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Nasdaq’s letter has no immediate impact on the listing of the Company’s common stock, which will continue to be listed and traded on Nasdaq, subject to the Company’s compliance with the other continued listing requirements. Nasdaq’s letter provides the Company 45 calendar days, or until May 16, 2022, to submit a plan to regain compliance. If the plan is accepted, the Company can be granted up to 180 calendar days from April 1, 2022, to evidence compliance. There can be no assurance that the Company will be able to regain compliance with all applicable continued listing requirements or that its plan will be accepted by the Nasdaq staff. In the event the plan is not accepted by the Nasdaq staff, or in the event the plan is granted but the Company fails to regain compliance within the plan period, the Company would have the right to a hearing before an independent panel. The hearing request would stay any suspension or delisting action pending the conclusion of the hearing process and the expiration of any additional extension period granted by the panel following the hearing.</w:t>
      </w:r>
    </w:p>
    <w:p>
      <w:pPr>
        <w:spacing w:after="0" w:line="84"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Company intends to take all reasonable measures available to regain compliance under the Nasdaq Listing Rules and remain listed on Nasdaq. The Company is currently evaluating its available options to resolve the deficiency and regain compliance with the Nasdaq minimum stockholders’ equity requirement. The Company intends to submit the compliance plan by the Nasdaq deadline.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Except as otherwise stated below, the following discussions of our results of operations reflect the results of our continuing operations, excluding the results related to Aptevo BioTherapeutics LLC (Aptevo BioTherapeutics), which was sold in February 2020 to Medexus and has been separated from continuing operations and reflected as a discontinued operation. See Note 2 – Discontinued Operations to the accompanying financial statements for additional information.</w:t>
      </w:r>
    </w:p>
    <w:p>
      <w:pPr>
        <w:spacing w:after="0" w:line="176" w:lineRule="exact"/>
        <w:rPr>
          <w:sz w:val="20"/>
          <w:szCs w:val="20"/>
          <w:color w:val="auto"/>
        </w:rPr>
      </w:pPr>
    </w:p>
    <w:p>
      <w:pPr>
        <w:ind w:left="520" w:right="4860"/>
        <w:spacing w:after="0" w:line="378" w:lineRule="auto"/>
        <w:rPr>
          <w:sz w:val="20"/>
          <w:szCs w:val="20"/>
          <w:color w:val="auto"/>
        </w:rPr>
      </w:pPr>
      <w:r>
        <w:rPr>
          <w:rFonts w:ascii="Times New Roman" w:cs="Times New Roman" w:eastAsia="Times New Roman" w:hAnsi="Times New Roman"/>
          <w:sz w:val="18"/>
          <w:szCs w:val="18"/>
          <w:b w:val="1"/>
          <w:bCs w:val="1"/>
          <w:color w:val="auto"/>
        </w:rPr>
        <w:t>Comparison of the three Months Ended March 31, 2022 and March 31, 2021 Royalty Revenue</w:t>
      </w: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For the three months ended March 31, 2022, royalty revenue increased by $0.7 million, or 29%, to $3.1 million from $2.4 million for March 31, 2021. The payment from Pfizer relates to a Collaboration and License Agreement (Definitive Agreement) acquired by Aptevo as part of our spin-off from Emergent in 2016. The agreement was originally executed by Trubion Pharmaceuticals, which was subsequently acquired by Emergent, and Wyeth, a wholly-own subsidiary of Pfizer. The royalty term runs through January 2027, which is the seventh anniversary of the first commercial sale of the CD20 biosimilar. On March 30, 2021, we entered into the Royalty Purchase Agreement pursuant to which we sold to HCR the right to receive royalty payments made by Pfizer in respect of net sales of RUXIENCE. We retain certain rights unrelated to the royalties under the Definitive Agreement originally between Trubion and Wyeth, with the exception of the cash flows of the RUXIENCE royalty payments and related rights purchased by HCR. Due to the nature of the transaction, which includes a cap on HCR’s return from royalties, constituting continuing involvement under the Collaboration and License Agreement originally between Trubion and Wyeth, we continue to recognize royalty revenue on net sales of RUXIENCE and record the royalty payments to HCR as a reduction of the liability when paid. As such payments are made to HCR, the balance of the liability will be effectively repaid over the life of the Royalty Purchase Agreement. To the extent total royalties collected are an amount less than the liability, the Company is not obligated to fund any such shortfall.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We expense research and development costs as incurred. These expenses consist primarily of the costs associated with our research and development activities, including conducting non-clinical studies and clinical trials, fees to professional service providers for analytical testing, consulting costs, independent monitoring or other administration of our clinical trials and obtaining and evaluating data from our clinical trials and non-clinical studies, as well as costs of contract manufacturing services for clinical trial material, and costs of materials used in clinical trials and research and development. Our research and development expenses include:</w:t>
      </w:r>
    </w:p>
    <w:p>
      <w:pPr>
        <w:spacing w:after="0" w:line="75" w:lineRule="exact"/>
        <w:rPr>
          <w:sz w:val="20"/>
          <w:szCs w:val="20"/>
          <w:color w:val="auto"/>
        </w:rPr>
      </w:pPr>
    </w:p>
    <w:p>
      <w:pPr>
        <w:ind w:left="1000" w:hanging="493"/>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salaries and related expenses, including stock-based compensation and benefits for our employees involved in our drug discovery and development activities;</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 incurred under agreements with third-party contract research organizations (CRO’s) and investigative sites;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material expense for third-party manufacturing;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overhead costs such as rent, utilities and depreciation.</w:t>
      </w:r>
    </w:p>
    <w:p>
      <w:pPr>
        <w:spacing w:after="0" w:line="117"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We may experience interruption of key clinical trial activities, such as patient enrollment and clinical trial site monitoring, and key non-clinical activities due to the ongoing COVID-19 pandemic. While the majority of our programs are still in the preclinical trial phase, we do not provide a breakdown of the initial associated expenses as we are often evaluating multiple product candidates simultaneously. Costs are reported in preclinical research and discovery until the program enters the clinic.</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research and development expenses by program for the three months ended March 31, 2022 and 2021 are shown in the following table:</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32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300" w:type="dxa"/>
            <w:vAlign w:val="bottom"/>
          </w:tcPr>
          <w:p>
            <w:pPr>
              <w:spacing w:after="0"/>
              <w:rPr>
                <w:sz w:val="15"/>
                <w:szCs w:val="15"/>
                <w:color w:val="auto"/>
              </w:rPr>
            </w:pPr>
          </w:p>
        </w:tc>
        <w:tc>
          <w:tcPr>
            <w:tcW w:w="13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020" w:type="dxa"/>
            <w:vAlign w:val="bottom"/>
            <w:gridSpan w:val="2"/>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53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3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programs:</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APVO436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58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clinical programs</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Preclinical program, general research and discovery</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firstLine="51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research and development expenses decreased by $0.5 million, to $4.9 million from $5.4 million for March 31, 2021. The decrease was primarily due to lower spending on preclinical projects and employee costs. The decrease was partially offset by higher spending on our APVO436 clinical trial as we continue to advance that trial and continue to dose patients in our Phase 1b Expansion program.</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and professional fees in support of our executive, business development, finance, accounting, information technology, legal and human resource functions. Other costs include facility costs not otherwise included in research and development expenses.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months ended March 31, 2022 and 2021, general and administrative expenses were $3.9 million.</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12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Other expense, net consists primarily of gains or losses realized on foreign currency revaluation, costs related to debt extinguishment, accrued exit fees on debt, non-cash interest on financing agreements, and interest on debt. Other expense, net was $2.3 million for the three months ended March 31, 2022 and $0.8 million for the three months ended March 31, 2021. The increase in other expense, net is primarily related non-cash interest expense for the Royalty Purchase Agreement. The increase was partially offset by lower interest expense for the MidCap Credit Agreement due to principal paydown.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discontinued operations from two separate transactions: the sale of hyperimmune business to Saol International Limited in September 2017, from which we received a payment in 2021 related to the collection of a certain accounts receivable, and the sale of Aptevo BioTherapeutics in 2020.</w:t>
      </w:r>
    </w:p>
    <w:p>
      <w:pPr>
        <w:spacing w:after="0" w:line="68"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components attributable to income from discontinued operations in the unaudited condensed consolidated statements of operations (in thousands):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68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6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179"/>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contingent consideration from Saol</w:t>
            </w: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FF0FC"/>
          </w:tcPr>
          <w:p>
            <w:pPr>
              <w:spacing w:after="0"/>
              <w:rPr>
                <w:sz w:val="19"/>
                <w:szCs w:val="19"/>
                <w:color w:val="auto"/>
              </w:rPr>
            </w:pPr>
          </w:p>
        </w:tc>
      </w:tr>
      <w:tr>
        <w:trPr>
          <w:trHeight w:val="229"/>
        </w:trPr>
        <w:tc>
          <w:tcPr>
            <w:tcW w:w="6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payment from Medexus</w:t>
            </w: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4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CFF0FC"/>
            </w:tcBorders>
          </w:tcPr>
          <w:p>
            <w:pPr>
              <w:spacing w:after="0"/>
              <w:rPr>
                <w:sz w:val="19"/>
                <w:szCs w:val="19"/>
                <w:color w:val="auto"/>
              </w:rPr>
            </w:pPr>
          </w:p>
        </w:tc>
      </w:tr>
      <w:tr>
        <w:trPr>
          <w:trHeight w:val="223"/>
        </w:trPr>
        <w:tc>
          <w:tcPr>
            <w:tcW w:w="6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960" w:type="dxa"/>
            <w:vAlign w:val="bottom"/>
            <w:tcBorders>
              <w:bottom w:val="single" w:sz="8" w:color="auto"/>
            </w:tcBorders>
            <w:shd w:val="clear" w:color="auto" w:fill="CFF0FC"/>
          </w:tcPr>
          <w:p>
            <w:pPr>
              <w:jc w:val="right"/>
              <w:ind w:right="80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4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2022 we collected $0.2 million in deferred payments from Medexus related to IXINITY sales. For the three months ended March 31, 2021, we collected $0.2 million related to the sale of the hyperimmune business to Saol as a result of the collection of certain accounts receivable and a deferred payment of $0.2 million received from Medexus related IXINITY sales. Pursuant to our LLC Purchase Agreement, the rate for deferred payments will increase from 2% to 5% of net sales no later than June 30,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The preparation of our unaudited condensed consolidated financial statements in conformity with accounting principles generally accepted in the United States (GAAP) requires management to make estimates and assumptions that affect the amounts reported in the financial statements and accompanying notes. We base our estimates on historical experience and on various other factors. Although we believe that our judgments and estimates are appropriate, actual results may differ materially from our estimates and changes in these estimates are recorded when known. An accounting policy is considered critical if it is important to a company’s financial condition and results of operations and if it requires the exercise of significant judgment and the use of estimates on the part of management in its application.</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Note 1 for discussion of our accounting policies, significant judgments, and estimates.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provides information regarding our cash flows for the three months ended March 31, </w:t>
      </w:r>
      <w:r>
        <w:rPr>
          <w:rFonts w:ascii="Times New Roman" w:cs="Times New Roman" w:eastAsia="Times New Roman" w:hAnsi="Times New Roman"/>
          <w:sz w:val="18"/>
          <w:szCs w:val="18"/>
          <w:color w:val="231F20"/>
        </w:rPr>
        <w:t>2022 and 2021:</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55"/>
        </w:trPr>
        <w:tc>
          <w:tcPr>
            <w:tcW w:w="68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49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(5,117)</w:t>
            </w: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(7,504)</w:t>
            </w:r>
          </w:p>
        </w:tc>
        <w:tc>
          <w:tcPr>
            <w:tcW w:w="0" w:type="dxa"/>
            <w:vAlign w:val="bottom"/>
          </w:tcPr>
          <w:p>
            <w:pPr>
              <w:spacing w:after="0"/>
              <w:rPr>
                <w:sz w:val="1"/>
                <w:szCs w:val="1"/>
                <w:color w:val="auto"/>
              </w:rPr>
            </w:pPr>
          </w:p>
        </w:tc>
      </w:tr>
      <w:tr>
        <w:trPr>
          <w:trHeight w:val="22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of $5.1 million for the three months ended March 31, 2022 was primarily due to our net loss of $7.7 million and changes in working capital accounts. Net cash used in operating activities of $7.5 million for the three months ended March 31, 2021, was primarily due to our net loss of $7.3 million and changes in working capital accounts.</w:t>
      </w:r>
    </w:p>
    <w:p>
      <w:pPr>
        <w:spacing w:after="0" w:line="68"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2022 and 2021, was due to purchases of property and equipment. The Company had immaterial purchase of property and equipment for the three months ended March 31, 2022 and $0.2 million purchase of property and equipment for the three months ended March 31, 2021.</w:t>
      </w:r>
    </w:p>
    <w:p>
      <w:pPr>
        <w:spacing w:after="0" w:line="68"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2022 was primarily due to the $10.7 million of partial repayments of the MidCap Financial term loan and $3.7 million royalties received by HCR pursuant to our Royalty Purchase Agreement. This was offset by the $10 million milestone received from HCR related to the sale of royalties, net of $0.5 million transaction costs. Net cash provided by financing activities for the three months ended March 31, 2021, was primarily due to the $35 million received from HCR related to the Royalty Purchase Agreement, net of $1.1 million transaction costs. This was offset by the $10.5 million partial repayment of the MidCap Financial term loan.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Royalty Purchase Agreement and Milestone Payments</w:t>
      </w:r>
    </w:p>
    <w:p>
      <w:pPr>
        <w:spacing w:after="0" w:line="119"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On March 30, 2021, we entered into Royalty Purchase Agreement with HCR pursuant to which we sold HCR the right to receive royalty payments made by Pfizer in respect to net sale of RUXIENCE. Under the Royalty Purchase Agreement, we received $35 million at closing and incurred $1.1 million in transaction costs. We are eligible to receive additional payments in aggregate of up to an additional $32.5 million based on achievement of sales milestones in 2021, 2022 and 2023. The Royalty Purchase Agreement further provides that, once HCR reaches aggregate royalty payments totaling 190% of the Investment Amount plus the Milestone Amounts to the extent paid to us by HCR, we will be entitled to receive 50% of any additional royalty payments by Pfizer thereafter. The Company received the 2021 milestone payments in the collective amount of $10 million in March, 2022 and is eligible to receive additional payments in aggregate of up to $22.5 million based on achievement of sales milestones in 2022 and 2023.</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IXINITY Royalty Payments</w:t>
      </w:r>
    </w:p>
    <w:p>
      <w:pPr>
        <w:spacing w:after="0" w:line="119"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On February 28, 2020, Aptevo entered into an LLC Purchase Agreement with Medexus, pursuant to which we sold all of the issued and outstanding limited liability company interests of Aptevo BioTherapeutics LLC, a wholly owned subsidiary of Aptevo. In addition to the payment received at closing, the Company receives deferred payments based on quarterly net sales of IXINITY and may also earn milestones from Medexus in the future. Pursuant to our LLC Purchase Agreement, the rate for deferred payments will increase from 2% to 5% of net sales no later than June 30, 2022. For the three months ended March 31, 2022, Aptevo received $0.2 million in deferred payments from Medexus related to IXINITY sales in the quarter ended December 31, 2021.</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Equity Distribution Agreement</w:t>
      </w:r>
    </w:p>
    <w:p>
      <w:pPr>
        <w:spacing w:after="0" w:line="119"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On December 14, 2020, we entered into an Equity Distribution Agreement with Piper Sandler &amp; Co (Piper Sandler). The Equity Distribution Agreement provides that, upon the terms and subject to the conditions set forth therein, we may issue and sell through Piper Sandler, acting as sales agent, shares of our common stock having an aggregate offering price of up to $50 million. We have no obligation to sell any such shares under the Equity Distribution Agreement. The sale of the shares of our common stock by Piper Sandler, if any, will be effected pursuant to a Registration Statement on Form S-3 which we filed on December 14, 2020. We did not issue any shares under the Equity Distribution Agreement in the three months ended March 31, 2022.</w:t>
      </w:r>
    </w:p>
    <w:p>
      <w:pPr>
        <w:spacing w:after="0" w:line="79"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The Equity Distribution Agreement will terminate upon the issuance and sale of all shares under the Equity Distribution Agreement or upon the earlier termination thereof at any time by us or Piper Sandler upon notice to the other party.</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Registration Statement</w:t>
      </w:r>
    </w:p>
    <w:p>
      <w:pPr>
        <w:spacing w:after="0" w:line="119"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On December 14, 2020, we filed a Registration Statement on Form S-3 covering the offering, issuance, and sale up to $200 million in common stock, preferred stock, and various series of debt securities and/or warrants to purchase any of such securities, which included the unsold securities from the Prior Registration Statement. On March 29, 2022, we filed an amendment to the prospectus supplement to the Registration Statement on Form S-3 filed on December 14, 2020 pursuant to General Instruction I.B.6 of Form S-3 (General Instruction I.B.6), which updates the amount of shares that we are eligible to sell under the Equity Distribution Agreement. So long as the aggregate market value of our common stock held by non-affiliates is less than $75 million, we will not sell shares under the Equity Distribution Agreement with a value of more than one-third of the aggregate market value of our common stock held by non-affiliates in any 12-month period due to the limitations of General Instruction I.B.6 of Form S-3 and the current public float of our common stock. If our public float increases such that we may sell additional amounts under the Equity Distribution Agreement and the prospectus, we will file another amendment to the prospectus supplement prior to making additional sales. The limitations of General Instruction I.B.6 do not apply to sales of our shares under our Purchase Agreement with Lincoln Park Financial LLC as those sales were committed prior to us being subject to the limitations of General Instruction I.B.6.</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Lincoln Park Purchase Agreement</w:t>
      </w:r>
    </w:p>
    <w:p>
      <w:pPr>
        <w:spacing w:after="0" w:line="133"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On December 20, 2018, we entered into a Purchase Agreement and a Registration Rights Agreement with Lincoln Park Financial LLC (Lincoln Park). Pursuant to the purchase agreement, Lincoln Park has committed to purchase up to $35.0 million worth of our common stock over a 36-month period commencing on February 13, 2019, the date the registration statement covering the resale of the shares was declared effective by the SEC.</w:t>
      </w:r>
    </w:p>
    <w:p>
      <w:pPr>
        <w:spacing w:after="0" w:line="68"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8"/>
          <w:szCs w:val="18"/>
          <w:color w:val="auto"/>
        </w:rPr>
        <w:t>Under the Purchase Agreement, on any business day selected by us, we may direct Lincoln Park to purchase shares of our common stock provided that Lincoln Park’s maximum commitment on any single day does not exceed $2.0 million. The purchase price per share will be based off of prevailing market prices of our common stock immediately preceding the time of sale; provided, however, that we cannot direct any such purchase if the prevailing market price is less than $1.00. In addition, we may also direct Lincoln Park to purchase other amounts as accelerated purchases or as additional accelerated purchases if the closing sale price of our common stock exceeds certain threshold prices as set forth in the Purchase Agreement. Our 2018 Purchase Agreement and Registration Rights Agreement with Lincoln Park expired in March 2022.</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 w:name="page22"/>
    <w:bookmarkEnd w:id="21"/>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On February 16, 2022, the Company entered into a new Purchase Agreement and a Registration Rights Agreement with Lincoln Park. Under the new Purchase Agreement, Lincoln Park committed to purchase up to $35.0 million worth of our common stock over a 36-month period commencing after the satisfaction of certain conditions, which are within our control, as set forth in the Purchase Agreement. The purchase price per share will be based on prevailing market price; provided, however, that the prevailing market price is not below $1.00. The Company agreed to issue 99,276 shares of our common stock to Lincoln Park for no cash consideration as an initial fee for its commitment to purchase shares of our common stock under the Purchase Agreement. The Company did not issue any shares of common stock for cash consideration to Lincoln Park under the Purchase Agreement in the three months ended March 31, 2022.</w:t>
      </w:r>
    </w:p>
    <w:p>
      <w:pPr>
        <w:spacing w:after="0" w:line="8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Actual sales of shares of our common stock to Lincoln Park under the Purchase Agreement will occur at our discretion from time to time and depend on a variety of factors, including, among others, market conditions, the trading price of our common stock and additional determinations as to the appropriate sources of funding for our operations. Lincoln Park has no right to require any sales, but is obligated to make purchases as we direct, in accordance with the Purchase Agreement.</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Warrants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March 11, 2019, we completed a public offering of common stock and warrants, as follows:</w:t>
      </w:r>
    </w:p>
    <w:p>
      <w:pPr>
        <w:spacing w:after="0" w:line="117" w:lineRule="exact"/>
        <w:rPr>
          <w:sz w:val="20"/>
          <w:szCs w:val="20"/>
          <w:color w:val="auto"/>
        </w:rPr>
      </w:pPr>
    </w:p>
    <w:p>
      <w:pPr>
        <w:ind w:left="1000" w:hanging="493"/>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combined public offering price of $14.00 per share of common stock and related warrants, 1,417,857 shares of common stock and related warrants with a 5-year life to purchase up to 1,417,857 shares of common stock at an exercise price of $18.20 per share,</w:t>
      </w:r>
    </w:p>
    <w:p>
      <w:pPr>
        <w:spacing w:after="0" w:line="67"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combined public offering price of $13.86 per pre-funded warrant and related warrant, pre-funded warrants with a 10-year life to purchase up to 153,571 shares of common stock at an exercise price of $0.14 per share and related warrants with a 5-year life to purchase up to 153,571 shares of common stock at an exercise price of $18.20 per share. These pre-funded warrants were exercised on March 21, 2019.</w:t>
      </w:r>
    </w:p>
    <w:p>
      <w:pPr>
        <w:spacing w:after="0" w:line="68"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2022, the Company did not have any of its warrants exercised. For the three months ended March 31, 2021, certain holders of the Company’s warrants exercised warrants with strike price of $18.20 per share, resulting in the issuance of 27,828 shares of the Company’s common stock and aggregate proceeds to the Company of approximately $0.5 million. As of March 31, 2022 and 2021, there were warrants to purchase 350,589 and 376,866 shares of common stock outstanding, respectively.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We have financed our operations to date primarily through revenue generated from our commercial products, the Royalty Purchase Agreement with HCR, royalty payments from Pfizer, deferred payments from Medexus, the sale of our hyperimmune products business in September 2017, the sale of Aptevo BioTherapeutics on February 28, 2020, public offerings of our common stock, loan proceeds, milestone payments, research and development funding from strategic partners, and funds received at the date of our spin-off from Emergent. We had a net loss of $7.7 million and $7.3 million for the three months ended March 31, 2022 and 2021, respectively. We had cash and cash equivalents of $35.0 million, restricted cash of $1.3 million and an accumulated deficit of $221.8 million as of March 31, 2022.</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months ended March 31, 2022, net cash used in our operating activities was $5.1 million.</w:t>
      </w:r>
    </w:p>
    <w:p>
      <w:pPr>
        <w:spacing w:after="0" w:line="117"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Our future success is dependent on our ability to develop our product candidates and ultimately upon our ability to attain profitable operations. We anticipate that we will continue to incur significant operating losses for the next several years as we incur expenses to continue to execute on our development strategy to advance our preclinical and clinical stage assets. We will not generate revenues from our development stage product candidates unless and/or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We will require substantial additional funds to continue our development programs and to fulfill our planned operating goals.</w:t>
      </w:r>
    </w:p>
    <w:p>
      <w:pPr>
        <w:spacing w:after="0" w:line="80"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Due to the ongoing COVID-19 pandemic, we may experience delays in opportunities to partner our product candidates, due to financial and other impacts on potential partners. Additionally, we may experience potential impacts on our future deferred payments and milestones from Medexus due to effects of the ongoing COVID-19 pandemic, which may impact Medexus’ ability to continue to successfully commercialize the IXINITY businesses. Additionally, we may experience potential impacts on our future milestones, which are based on global net sales of RUXIENCE, from HCR due to the effects of the ongoing COVID-19 pandemic, which may impact Pfizer’s ability to continue to successfully commercialize the RUXIENCE business. We believe that our existing cash resources, the Investment Amount received pursuant to the Royalty Purchase Agreement with HCR, the cash to be generated from future IXINITY deferred payments, release of restricted cash securing letters of credit, and funds available to us from the remaining principal balance of the Credit Agreement with MidCap Financial, will be sufficient to meet our projected operating requirements and debt service for at least twelve months from the date of filing this Quarterly Report on Form 10-Q.</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2" w:name="page23"/>
    <w:bookmarkEnd w:id="22"/>
    <w:p>
      <w:pPr>
        <w:ind w:firstLine="510"/>
        <w:spacing w:after="0" w:line="282" w:lineRule="auto"/>
        <w:rPr>
          <w:sz w:val="20"/>
          <w:szCs w:val="20"/>
          <w:color w:val="auto"/>
        </w:rPr>
      </w:pPr>
      <w:r>
        <w:rPr>
          <w:rFonts w:ascii="Times New Roman" w:cs="Times New Roman" w:eastAsia="Times New Roman" w:hAnsi="Times New Roman"/>
          <w:sz w:val="18"/>
          <w:szCs w:val="18"/>
          <w:color w:val="auto"/>
        </w:rPr>
        <w:t>There are numerous risks and uncertainties associated with research, development, and commercialization of pharmaceutical products. Accordingly, our future funding requirements may vary from our current expectations and will depend on many factors, including, but not limited to:</w:t>
      </w:r>
    </w:p>
    <w:p>
      <w:pPr>
        <w:spacing w:after="0" w:line="54" w:lineRule="exact"/>
        <w:rPr>
          <w:sz w:val="20"/>
          <w:szCs w:val="20"/>
          <w:color w:val="auto"/>
        </w:rPr>
      </w:pPr>
    </w:p>
    <w:p>
      <w:pPr>
        <w:ind w:left="1000" w:hanging="493"/>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compliance with NASDAQ’s continued listing requirements;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the product candidates we pursue;</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and of conducting preclinical and clinical trials;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clearance to commence clinical trials for product candidates;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completing our clinical trials, and obtaining regulatory approvals for our product candidates;</w:t>
      </w:r>
    </w:p>
    <w:p>
      <w:pPr>
        <w:spacing w:after="0" w:line="144"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our product candidates are approved for sale, including marketing, sales, and distribution costs;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and any products we successfully commercialize;</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attracting and retaining skilled personnel;</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to what extent future proceeds are received under our Royalty Purchase Agreement with HCR; and,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any milestone payments and deferred payments from Medexus with respect to IXINITY.</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are unable to raise substantial additional capital in the next year, whether on terms that are acceptable to us or at all, then we may be required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99" w:lineRule="exact"/>
        <w:rPr>
          <w:sz w:val="20"/>
          <w:szCs w:val="20"/>
          <w:color w:val="auto"/>
        </w:rPr>
      </w:pPr>
    </w:p>
    <w:p>
      <w:pPr>
        <w:ind w:left="1000" w:hanging="493"/>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clinical trials or other development activities for one or more of our product candidates; and/or,</w:t>
      </w:r>
    </w:p>
    <w:p>
      <w:pPr>
        <w:spacing w:after="0" w:line="144"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establishment of other activities that may be necessary to commercialize our product candidates, if approved.</w:t>
      </w:r>
    </w:p>
    <w:p>
      <w:pPr>
        <w:spacing w:after="0" w:line="54"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The sale of additional equity or convertible debt securities may result in additional dilution to our stockholders. If we raise additional funds through the issuance of debt securities or preferred stock or through credit facilities, these securities and/or the loans under credit facilities could provide for rights senior to those of our common stock and could contain covenants that would restrict our operations. Additional funds may not be available when we need them, on terms that are acceptable to us, or at all. We also expect to seek additional funds through arrangements with collaborators, licensees or other third parties. These arrangements would generally require us to relinquish or encumber rights to some of our technologies or drug candidates, and we may not be able to enter into such arrangements on acceptable terms, if at all. Due to the ongoing COVID-19 pandemic, we may experience delays in clinical trials and non-clinical work, and opportunities to partner our product candidates, due to financial and other impacts on potential partners.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We have an operating lease related to our office and laboratory space in Seattle, Washington. This lease was amended and extended in March 2019. The term of the amended lease is through April 2030 and we have two options to extend the lease term, each by five years, as well as a one-time option to terminate the lease in April 2023.</w:t>
      </w:r>
    </w:p>
    <w:p>
      <w:pPr>
        <w:spacing w:after="0" w:line="68"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In January 2020, we entered into a contract with The Leukemia &amp; Lymphoma Society (LLS) to be part of an ongoing national AML master clinical trial called the ‘Beat AML Master Clinical Trial.’ The Beat AML Master Clinical Trial provides access to leading academic cancer centers and allows us to study APVO436 in a front-line AML setting. Once we begin participation in the Beat AML Master Clinical Trial, our purchase obligation for the Beat AML Master Clinical Trial may total up to $8.1 million over four years. As of March 31, 2022, we have not begun participation in the Beat AML Master Clinical Trial and we do not currently intend to participate under the current trial design. The Clinical Trial Participation Agreement contains a termination for convenience clause where we may terminate the agreement with 180 days prior written notice. We may re-assess our participation in the master clinical trial as Part 2 (expansion phase) of our Phase 1b APVO436 clinical trial progresses.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color w:val="auto"/>
        </w:rPr>
        <w:t>On August 5, 2020, we entered into a new Credit and Security Agreement (Credit Agreement), with MidCap Financial. The Credit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us with up to $25 million of available borrowing capacity. The MidCap Financial loan has a 48 month term, is interest-only for the first 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with straight-line amortization for the remaining 30 months and bears interest at a rate of one month LIBOR plus 6.25% per annum, subject 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LIBOR floor and a 2.50% LIBOR cap. On March 30, 2021, we amended our Credit Agreement with MidCap Financial and used $10 million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received from the Royalty Purchase Agreement with HCR to pay down the outstanding principal under this agreement from $25 million to $15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Additionally, the Company used the $10 million milestone payment received on March 8, 2022, pursuant to our Royalty Purchase Agreement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HCR to further pay down the outstanding principal down to $5 million. The Company’s Credit Agreement currently references LIBOR. The United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Kingdom’s Financial Conduct Authority (FCA), which regulates LIBOR, phased out one-week and two-month US Dollar LIBOR settings on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All other US Dollar LIBOR settings, including the overnight, one-month, three-month, six-month and twelve-month, will be phased out on June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It is unclear if at that time LIBOR will cease to exist or if new methods of calculating LIBOR will be established such that it continues to exist after</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2023. Our Credit Agreement with MidCap Financial currently references one-month LIBOR and also provides that we may amend the Credit Agreement to reflect an alternative rate of interest upon the phase out of LIBOR.</w:t>
      </w:r>
    </w:p>
    <w:p>
      <w:pPr>
        <w:spacing w:after="0" w:line="73"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On March 30, 2021, we entered into the Royalty Purchase Agreement pursuant to which the Company sold to HCR the right to receive royalty payments made by Pfizer in respect of net sales of RUXIENCE. Pursuant to the Purchase Agreement, we received $35 million at closing and we are eligible to receive additional payments in aggregate of up to an additional $32.5 million based on the achievement of sales milestones in 2021, 2022 and 2023. The Company received the 2021 milestone payments in the collective amount of $10 million on March 8, 2022. The proceeds from these milestone payments, net of transaction costs, were recorded as an additional liability related to the sale of royalties on the consolidated balance sheet as of March 31, 2022. The Company is eligible to receive additional payments in the aggregate of up to $22.5 million based on achievement of sales milestones in 2022 and</w:t>
      </w:r>
    </w:p>
    <w:p>
      <w:pPr>
        <w:spacing w:after="0" w:line="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2023. The Royalty Purchase Agreement further provides that, once HCR reaches aggregate royalty payments totaling 190% of the Investment Amount plus the Milestone Amounts to the extent paid to us by HCR, we will be entitled to receive 50% of any additional royalty payments by Pfizer thereafter. We accounted for the Royalty Purchase Agreement with HCR, including future milestone payments to be received, as a debt-like instrument within the scope of ASC 470-10-25, </w:t>
      </w:r>
      <w:r>
        <w:rPr>
          <w:rFonts w:ascii="Times New Roman" w:cs="Times New Roman" w:eastAsia="Times New Roman" w:hAnsi="Times New Roman"/>
          <w:sz w:val="18"/>
          <w:szCs w:val="18"/>
          <w:i w:val="1"/>
          <w:iCs w:val="1"/>
          <w:color w:val="auto"/>
        </w:rPr>
        <w:t>Debt – Sales of Future Revenues or Various Other Measures of Income</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Our principal commitments include obligations under vendor contracts to purchase research services and other purchase commitments with our vendors. 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the services to be provided.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As of March 31, 2022, there was no material changes to the information provided under Item 7A, Quantitative and Qualitative Disclosures About Market Risk in our Annual Report on Form 10-K for the year ended December 31, 2021 filed on March 24,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121"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As of March 31, 2022,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as of March 31, 2022,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quarter ended March 31, 2022, that have materially affected, or are reasonably likely to materially affect, our internal control over financial reporting.</w:t>
      </w:r>
    </w:p>
    <w:p>
      <w:pPr>
        <w:spacing w:after="0" w:line="68"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We may from time to time be named as a party to legal claims, actions and complaints, including matters involving employment claims, our intellectual property or other third-party claims. Our management believes that there are currently no claims or actions pending against us, the ultimate disposition of which could have a material adverse effect on our results of operations, financial condition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We are subject to significant risks and uncertainties that could impact the Company’s businesses, results of operations and financial condition, including by causing our actual results to differ materially from those projected in any forward-looking statements. Additional risks and uncertainties that are not currently known to the Company or management or that are not currently believed by the Company or management to be material may also harm the Company’s business, financial condition and results of operation. You should carefully consider the following risks and other information in this Quarterly Report on Form 10-Q in evaluating us and our common stock.</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material risks to our business, operations, and ownership of our common stock:</w:t>
      </w:r>
    </w:p>
    <w:p>
      <w:pPr>
        <w:spacing w:after="0" w:line="117" w:lineRule="exact"/>
        <w:rPr>
          <w:sz w:val="20"/>
          <w:szCs w:val="20"/>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may not be profitable in the future.</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and may be unable to raise capital when needed or on acceptable terms.</w:t>
      </w:r>
    </w:p>
    <w:p>
      <w:pPr>
        <w:spacing w:after="0" w:line="144"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cash flow will depend, in part, on the ability of Pfizer to successfully sell RUXIENCE and our receipt of milestone and royalty payments from HCR in connection therewith. If Pfizer is unable, or does not devote sufficient resources, to maintain or continue increasing sales of RUXIENCE, or if HCR does not comply with the Royalty Purchase Agreement, our results of operations will be adversely affected.</w:t>
      </w:r>
    </w:p>
    <w:p>
      <w:pPr>
        <w:spacing w:after="0" w:line="6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COVID-19 pandemic, including the continued identification of the new variants of the COVID-19 virus, could adversely impact our business, including our clinical trials.</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credit agreement may restrict the operation of our business and limit the cash available for investment in our business operations.</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commencement, enrollment of patients or completion of our clinical trials, the time to reach critical trial data and receipt of any necessary regulatory approvals could be delayed.</w:t>
      </w:r>
    </w:p>
    <w:p>
      <w:pPr>
        <w:spacing w:after="0" w:line="53"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current and planned preclinical studies and clinical trials may not satisfy the requirements of the FDA or non-U.S. regulatory authorities. Results from early-preclinical studies and clinical trials may not be predictive of results from later-stage or other trials and interim or top line data may be subject to change or qualification based on the complete analysis of data.</w:t>
      </w:r>
    </w:p>
    <w:p>
      <w:pPr>
        <w:spacing w:after="0" w:line="67"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67"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to conduct our clinical and non-clinical trials. If these third parties do not effectively carry out their contractual duties, comply with regulatory requirements or meet expected deadlines, we may not be able to obtain regulatory approval for or commercialize our product candidates and our business could be substantially harmed.</w:t>
      </w:r>
    </w:p>
    <w:p>
      <w:pPr>
        <w:spacing w:after="0" w:line="67"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revenues and execute on our long-term strategy depends heavily on our ability to discover, develop, and obtain marketing approval for our product candidates.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and further develop our ADAPTIR or ADAPTIR-FLEX platforms.</w:t>
      </w:r>
    </w:p>
    <w:p>
      <w:pPr>
        <w:spacing w:after="0" w:line="144"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success depends, in part, upon our ability to develop, receive regulatory approval for and commercialize our product candidates.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intellectual proprietary rights, our business could be harmed.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be volatile.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jc w:val="both"/>
        <w:ind w:left="1000" w:hanging="493"/>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spacing w:after="0" w:line="6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periodic litigation, which could result in losses or unexpected expenditure of time and resources.</w:t>
      </w:r>
    </w:p>
    <w:p>
      <w:pPr>
        <w:spacing w:after="0" w:line="144"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activist stockholders against us have been and could be disruptive and costly and may cause uncertainty about the strategic direction of our business.</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income will depend, in part, on the ability of Medexus Pharmaceuticals Inc. (Medexus) to successfully further develop, market and commercialize IXINITY, resulting in milestone payments and deferred payments to the Company by Medexus.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may not be profitable in the future.</w:t>
      </w:r>
    </w:p>
    <w:p>
      <w:pPr>
        <w:spacing w:after="0" w:line="121"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We have experienced significant operating losses and we may not achieve profitability in the future. For the three months ended March 31, 2022, we had net loss of $7.7 million. As of March 31, 2022, we had an accumulated deficit of $221.8 million. We expect to continue to incur annual net operating losses for the foreseeable future, and will require substantial resources over the next several years as we expand our efforts to discover, develop and commercialize immunotherapeutic candidates. While we believe our existing cash and cash equivalents and the funding provided by our IXINITY deferred payment streams, the Royalty Purchase Agreement with HCR, Credit Agreement with MidCap Financial (Credit Agreement), our Equity Distribution Agreement with Piper Sandler &amp; Co (Piper Sandler) entered into in December 2020 (the Equity Distribution Agreement) and our Purchase Agreement with Lincoln Park Capital Fund, LLC (Lincoln Park), entered into in February 2022 (the Purchase Agreement), and exercises of warrants will provide us with sufficient liquidity to meet our cash requirements through at least next twelve months, our future success and ability to attain profitability will depend upon our ability to develop and take to market our product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and may be unable to raise capital when needed or on acceptable terms.</w:t>
      </w:r>
    </w:p>
    <w:p>
      <w:pPr>
        <w:spacing w:after="0" w:line="121"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As of March 31, 2023, we had cash, cash equivalents, and restricted cash in the amount of $36.3 million. We will require additional funding to grow our business including to support the ongoing clinical development of APVO436, develop additional products, support commercial marketing activities or otherwise provide additional financial flexibility. If we are not able to secure adequate additional funding, we may need to make reductions in spending. This may include extending payment terms with suppliers, liquidating assets, and suspending or curtailing planned programs. We may also have to delay, reduce the scope of, suspend or eliminate one or more research and development programs. A failure to raise the additional funding or to effectively implement cost reductions could harm our business, results of operations and future prospects. Our future capital requirements will depend on many factors, including:</w:t>
      </w:r>
    </w:p>
    <w:p>
      <w:pPr>
        <w:spacing w:after="0" w:line="81" w:lineRule="exact"/>
        <w:rPr>
          <w:sz w:val="20"/>
          <w:szCs w:val="20"/>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timing and receipt of any milestone or deferred payments under our agreement with Medexus with respect to the sales of IXINITY;</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to what extent future proceeds are received under our Royalty Purchase Agreement with HCR;</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invest in products or technologies;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satisfy the payment obligations and covenants under any future indebtedness;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secure partnerships and/or collaborations that generate additional cash;</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improvements to our facilities;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development activities;</w:t>
      </w:r>
    </w:p>
    <w:p>
      <w:pPr>
        <w:spacing w:after="0" w:line="144"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costs, timing, and other requirements to complete dosing of Phase 1b clinical trial for APVO436, as well as future clinical trials; and</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preparing, filing and prosecuting patent applications, obtaining, maintaining, enforcing and protecting our intellectual property rights and defending intellectual property-related claims.</w:t>
      </w:r>
    </w:p>
    <w:p>
      <w:pPr>
        <w:spacing w:after="0" w:line="54"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If our capital resources are insufficient to meet our future capital requirements, we will need to finance our cash needs through bank loans, public or private equity or debt offerings, collaboration and licensing arrangements, or other strategic transactions. Future issuances of common stock may include (i) any sale of up to the remaining $50.0 million worth of shares of our common stock pursuant to our Equity Distribution Agreement with Piper Sandler &amp; Co entered into in December 2020, (ii) any sale of up to $35 million worth of shares of our common stock to issue from our Purchase Agreement with Lincoln Park Capital Fund, LLC, or Lincoln Park, entered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both"/>
        <w:spacing w:after="0" w:line="256" w:lineRule="auto"/>
        <w:rPr>
          <w:sz w:val="20"/>
          <w:szCs w:val="20"/>
          <w:color w:val="auto"/>
        </w:rPr>
      </w:pPr>
      <w:r>
        <w:rPr>
          <w:rFonts w:ascii="Times New Roman" w:cs="Times New Roman" w:eastAsia="Times New Roman" w:hAnsi="Times New Roman"/>
          <w:sz w:val="18"/>
          <w:szCs w:val="18"/>
          <w:color w:val="auto"/>
        </w:rPr>
        <w:t>into in February 2022, and (iii) the issuance of up to 350,589 remaining outstanding shares of common stock upon the exercise of warrants issued in connection with our March 2019 public offering of common stock and warrants. Public or bank debt financing, if available, may involve agreements that include covenants limiting or restricting our ability to take specific actions, such as incurring additional debt, making capital expenditures, pursuing acquisition opportunities, or declaring dividends.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Further, SEC regulations limit the amount of funds we can raise during any 12-month period pursuant to our shelf registration statement on Form S-</w:t>
      </w:r>
    </w:p>
    <w:p>
      <w:pPr>
        <w:spacing w:after="0" w:line="27" w:lineRule="exact"/>
        <w:rPr>
          <w:sz w:val="20"/>
          <w:szCs w:val="20"/>
          <w:color w:val="auto"/>
        </w:rPr>
      </w:pPr>
    </w:p>
    <w:p>
      <w:pPr>
        <w:jc w:val="both"/>
        <w:ind w:firstLine="8"/>
        <w:spacing w:after="0" w:line="251" w:lineRule="auto"/>
        <w:tabs>
          <w:tab w:leader="none" w:pos="1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29, 2022, we filed an amendment to the prospectus related to the Registration Statement on Form S-3 filed on December 14, 2020 pursuant to General Instruction I.B.6 of Form S-3 (General Instruction I.B.6), which updates the amount of shares that we are eligible to sell under the Equity Distribution Agreement. So long as the aggregate market value of our common stock held by non-affiliates is less than $75 million, we will not sell shares under the Equity Distribution Agreement with a value of more than one-third of the aggregate market value of our common stock held by non-affiliates in any 12-month period due to the limitations of General Instruction I.B.6 of Form S-3 and the current public float of our common stock. The limitations of General Instruction I.B.6 do not apply to sales of our shares under our Purchase Agreement with Lincoln Park Financial LLC as those sales were committed prior to us being subject to the limitations of General Instruction I.B.6. If we are required to file a new registration statement on another form, we may incur additional costs and be subject to delays in raising capital due to review by SEC staff.</w:t>
      </w:r>
    </w:p>
    <w:p>
      <w:pPr>
        <w:spacing w:after="0" w:line="86"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Current economic conditions, including the impact of the ongoing COVID-19 pandemic on our operations or on the global economy and capital markets, may make it difficult to obtain additional financing on attractive terms, or at all. If financing is unavailable or lost, our business, results of operations, financial condition and financial prospects would be adversely affected and we could be forced to delay, reduce the scope of or eliminate many of our planned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affected by macroeconomic conditions, including rising inflation, interest rates and supply chain constraints.</w:t>
      </w:r>
    </w:p>
    <w:p>
      <w:pPr>
        <w:spacing w:after="0" w:line="121"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Various macroeconomic factors could adversely affect our business and the results of our operations and financial condition, including changes in inflation, interest rates and overall economic conditions and uncertainties such as those resulting from the current and future conditions in the global financial markets. For instance, inflation could negatively impact the Company by increasing our labor costs, through higher wages and higher interest rates. Recent supply chain constraints have led to higher inflation, which if sustained could have a negative impact on the Company's product development and operations. If inflation or other factors were to significantly increase our business costs, our ability to develop our current pipeline and new therapeutic products may be negatively affected. Interest rates, the liquidity of the credit markets and the volatility of the capital markets could also affect the operation of our business and our ability to raise capital in order to fund our operations. Similarly, these macroeconomic factors could affect the ability of our third-party suppliers and manufacturers to manufacture all clinical trial materials for our product candidates.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Actions of activist stockholders against us have been and could be disruptive and costly and may cause uncertainty about the strategic direction of our business.</w:t>
      </w:r>
    </w:p>
    <w:p>
      <w:pPr>
        <w:spacing w:after="0" w:line="51"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8"/>
          <w:szCs w:val="18"/>
          <w:color w:val="auto"/>
        </w:rPr>
        <w:t>Stockholders have in the past and may, from time to time, engage in proxy solicitations or advance stockholder proposals, or otherwise attempt to effect changes and assert influence on our board of directors and management. For example, on February 9, 2021, Tang Capital Partners LP, Tang Capital Management, LLC and Kevin Tang (collectively, “Tang”) submitted an advisory stockholder proposal for consideration at our 2021 annual meeting of stockholders to commence a process to sell Aptevo to the highest bidder. Activist campaigns that contest or conflict with our strategic direction or seek changes in the composition of our board of directors or management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of directors and management, diverting their attention from the pursuit of our business strategy. Any perceived uncertainties as to our future direction and control, our ability to execute on our strategy, or changes to the composition of our board of directors or senior management team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of directors with a specific agenda, it may adversely affect our ability to effectively implement our business strategy and create additional value for our stockholders. We may choose to initiate, or may become subject to, litigation as a result of a proxy contest or matters arising from the proxy contest, which would serve as a further distraction to our board of directors and management and would require us to incur significant additional costs. In addition, actions such as those described above could cause significant fluctuations in our stock price based upon temporary or speculative market perceptions or other factors that do not necessarily reflect the underlying fundamentals and prospects of our business.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income will depend, in part, on the ability of Medexus to successfully further develop, market and commercialize IXINITY, resulting in milestone payments and deferred payments to the Company by Medexus.</w:t>
      </w:r>
    </w:p>
    <w:p>
      <w:pPr>
        <w:spacing w:after="0" w:line="51"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On February 28, 2020, we entered into a Purchase Agreement with Medexus, pursuant to which we sold all of the issued and outstanding limited liability company interests of Aptevo BioTherapeutics, a subsidiary of Aptevo that wholly owns the IXINITY and related Hemophilia B business. We are entitled to receive future potential payments to the extent of the achievement of certain regulatory and commercial milestones and through deferred payments based on net sales of IXINITY. Royalties are earned at the rate of 2% of net revenue through the earlier of June 2022 or completion of the IXINITY pediatric trial being run by Medexus. After that, the royalty rate will increase to 5%. We no longer control the development, marketing, and commercialization of IXINITY and are dependent on Medexus to successfully do so. Although Medexus has agreed to use commercially reasonable efforts to commercialize IXINITY in the ordinary course of business in good faith, Medexus may not commit adequate resources to the further development, marketing, and commercialization of IXINITY, may experience financial difficulties, may face competition, or may prioritize other products or initiatives. Due to the effect of the ongoing COVID-19 pandemic on the current and future environment for clinical development and regulatory approval, Medexus’ ability to continue to successfully commercialize the IXINITY business may be affected, and we may experience potential impacts on our future deferred payments from Medexus. The failure of Medexus to successfully market and commercialize IXINITY, including because of factors outside of Medexus’ control, could result in lower than expected milestone or deferred payments to us and negatively impact our future financial and operating results.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w:t>
      </w:r>
    </w:p>
    <w:p>
      <w:pPr>
        <w:spacing w:after="0" w:line="121"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 to quarter and year to year, as a result of a variety of factors, including:</w:t>
      </w:r>
    </w:p>
    <w:p>
      <w:pPr>
        <w:spacing w:after="0" w:line="54" w:lineRule="exact"/>
        <w:rPr>
          <w:sz w:val="20"/>
          <w:szCs w:val="20"/>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timing of any milestone or deferred payments with respect to sales of IXINITY by Medexus;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to what extent future proceeds are received under our Royalty Purchase Agreement with HCR;</w:t>
      </w:r>
    </w:p>
    <w:p>
      <w:pPr>
        <w:spacing w:after="0" w:line="117"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payments received from collaboration arrangements and development funding as well as the achievement of development and clinical milestones under collaboration and license agreements that we may enter into from time to time and that may vary significantly from quarter to quarter; and,</w:t>
      </w:r>
    </w:p>
    <w:p>
      <w:pPr>
        <w:spacing w:after="0" w:line="6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research and development activities as well as expenditures we will or may incur to acquire or develop additional technologies, products and product candidates.</w:t>
      </w:r>
    </w:p>
    <w:p>
      <w:pPr>
        <w:spacing w:after="0" w:line="54"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Due to the ongoing COVID-19 pandemic, we may experience delays in opportunities to partner our product candidates, due to financial and other impacts on potential partners. Additionally, we may experience potential impacts on our future milestone or deferred payments from Medexus, which may impact Medexus’ ability to continue to successfully commercialize the IXINITY businesses. In 2022, we continue to see an impact of the spread of the COVID-19 virus and its variants on our business as some of our clinical sites were at reduced capacity. These and other factors may have a material adverse effect on our business, results of operations and financial condition.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cash flow will depend, in part, on the ability of Pfizer to successfully sell RUXIENCE and our receipt of milestone and royalty payments from HCR in connection therewith. If Pfizer is unable, or does not devote sufficient resources, to maintain or continue increasing sales of RUXIENCE, or if HCR does not comply with the Royalty Purchase Agreement, our results of operations will be adversely affected.</w:t>
      </w:r>
    </w:p>
    <w:p>
      <w:pPr>
        <w:spacing w:after="0" w:line="67"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On June 25, 2020, we announced that we will receive royalty payments from Pfizer related to sales of a rituximab biosimilar product, RUXIENCE (Rituximab-pvvr), which was approved by the U.S. Food and Drug Administration in July 2019 and launched by Pfizer in the United States and Japan in early 2020, and the European Union in the third quarter of 2020. The payments from Pfizer relate to a Collaboration and License Agreement acquired by us as part of our spin-off from Emergent in 2016, which applies a fixed royalty rate of 2.5% on global net sales. The agreement was originally executed by Trubion Pharmaceuticals (which was subsequently acquired by Emergent) and Wyeth (a wholly-owned subsidiary of Pfizer). The royalty term runs until the seventh anniversary of the first commercial sale of the biosimilar. Royalty payments to us are due within 60 days after the end of each quarter. Although the agreement was terminated in 2012, the royalty obligation thereunder survived.</w:t>
      </w:r>
    </w:p>
    <w:p>
      <w:pPr>
        <w:spacing w:after="0" w:line="81"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On March 30, 2021, we entered into and closed a Royalty Purchase Agreement with HCR (Royalty Purchase Agreement) pursuant to which we sold to HCR the right to receive royalty payments made by Pfizer in respect of net sales of RUXIENCE. Under the terms of the Royalty Purchase Agreement, we received $35 million at closing and we are eligible to receive additional payments in aggregate of up to an additional $32.5 million based on the achievement of sales milestones in 2021, 2022 and 2023. The Royalty Purchase Agreement further provides that, once HCR reaches aggregate royalty payments totaling 190% of the Investment Amount plus the Milestone Amounts to the extent paid to us by HCR, we will be entitled to receive 50% of any additional royalty payments by Pfizer thereafter. The Company received the 2021 milestone payments in the collective amount of $10 million on March 8, 2022. The proceeds from these milestone payments, net of transaction costs, were recorded as an additional liability related to the sale of royalties on the consolidated balance sheet as of March 31, 2022. The Company is eligible to receive additional payments in the aggregate of up to $22.5 million based on achievement of sales milestones in 2022 and 2023.</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8" w:name="page29"/>
    <w:bookmarkEnd w:id="28"/>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We have no control over the sales of RUXIENCE and are therefore dependent on the efforts and ability of Pfizer to generate net sales of RUXIENCE sufficient for us to receive Milestone Payments and additional royalty payments under the Royalty Purchase Agreement. The failure of Pfizer to successfully generate such net sales could negatively impact our future financial and operating results and our results of operations could therefore be adversely affected. Additionally, even if Pfizer is able to generate net sales of RUXIENCE sufficient for us to receive such payments, if HCR breaches the Royalty Purchase Agreement (for example, by not making required payments when due, or at all), disputes or litigation may arise. Such disputes or litigation could be time-consuming and expensive and could adversely affect our business.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5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The nature of our business exposes us to potential liability inherent in pharmaceutical products, including with respect to the testing of our product candidates in clinical trials and any product candidates that we successfully develop. Product liability claims might be made by patients in clinical trials, consumers, health care providers or pharmaceutical companies or others that sell any products that we successfully develop. These claims may be made even with respect to those products that are manufactured in licensed and regulated facilities or otherwise receive regulatory approval for study or commercial sale. We cannot predict the frequency, outcome or cost to defend any such claims.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cannot successfully defend ourselves against future claims that our product candidates caused injuries, we may incur substantial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Regardless of merit or eventual outcome, product liability claims may result in:</w:t>
      </w:r>
    </w:p>
    <w:p>
      <w:pPr>
        <w:spacing w:after="0" w:line="99" w:lineRule="exact"/>
        <w:rPr>
          <w:sz w:val="20"/>
          <w:szCs w:val="20"/>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and/or injury to our reputation;</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or withdrawal of an approved product;</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commercialize products that we may develop.</w:t>
      </w:r>
    </w:p>
    <w:p>
      <w:pPr>
        <w:spacing w:after="0" w:line="144"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 liability litigation or other proceeding, even if resolved in our favor, could be substantial. Uncertainties resulting from the initiation and continuation of product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any product candidates we successfully develop, withdrawal of clinical trial participants and potential termination of clinical trial sites or entire clinical programs, and could cause our stock price to fall.</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51"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Financial Officer, Jeffrey G. Lamothe, our General Counsel, SoYoung Kwon, our VP of Finance, Daphne Taylor, or other key employees, our ability to implement our business strategy could be materially harmed. We face intense competition for qualified employees from biotechnology and pharmaceutical companies, research organizations and academic institutions. Moreover, we have recently experienced increased levels of attrition.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 Due to our equity plan proposal not receiving stockholder approval at the Company’s annual meeting in 2021, we currently do not have sufficient equity available to award 2022 annual grants to employees and may not have sufficient equity to attract and retain qualified personnel assuming such grants are consistent with our historical practices. In addition, we have experienced and may experience an impact on the health of key personnel due to the ongoing COVID-19 pandemic.</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9" w:name="page30"/>
    <w:bookmarkEnd w:id="29"/>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COVID-19 pandemic, including the continued identification of the new variants of the COVID-19 virus, could adversely impact our business, including our clinical trials.</w:t>
      </w:r>
    </w:p>
    <w:p>
      <w:pPr>
        <w:spacing w:after="0" w:line="51"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Since March of 2020, a novel strain of coronavirus, COVID-19, has spread through the world, including the United States. The COVID-19 pandemic has caused severe global economic and societal disruptions and uncertainties, and we have experienced disruptions that have impacted our business and clinical trials, including, limitation of company operations, implementing work from home policies and office closures; delays or difficulties in receiving deliveries of critical experimental materials; delays or difficulties in enrolling patients in our clinical trials; delays or difficulties in clinical site initiation, including difficulties in recruiting clinical site investigators and clinical site staff; diversion of healthcare resources away from the conduct of clinical trials, including the diversion of hospitals serving as our clinical trial sites and hospital staff supporting the conduct of our clinical trials; interruption of key clinical trial activities, such as patient enrollment and clinical trial site monitoring; and, limitations in employee resources that would otherwise be focused on our business, including the conduct of our research and development activities and process development activities, due to the illness of employees or their families, or the preference of employees to avoid contact with large groups of people.</w:t>
      </w:r>
    </w:p>
    <w:p>
      <w:pPr>
        <w:spacing w:after="0" w:line="80"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We may continue to experience disruptions in the future, or additional disruptions that could severely impact our business, such as delays or difficulties to the financing environment and raising capital due to economic uncertainty; delays in opportunities to partner our product candidates, due to financial and other impacts on potential partners; diversion of healthcare resources away from the conduct of clinical trials, including the diversion of hospitals serving as our clinical trial sites and hospital staff supporting the conduct of our clinical trials; potential impacts on our future deferred payments and milestones from Medexus due to the environment which may impact Medexus’ ability to continue to successfully commercialize the IXINITY business or Pfizer to successfully commercialize RUXIENCE; and negative impacts on suppliers and licensees. The global spread of COVID-19 continues to rapidly evolve, including through the identification of the new variants of the virus. The ongoing COVID-19 pandemic may also result in the need to suspend enrollment into studies, patient withdrawals, postponement of preclinical studies, study modification, suspension, or termination, the introduction of remote study procedures and modified informed consent procedures, study site changes, direct delivery of investigational products to patient homes requiring state licensing, study deviations or noncompliance, and changes or delays in site monitoring. The foregoing may require that we consult with relevant review and ethics committees and the FDA or comparable foreign regulatory authorities. The foregoing may also impact the integrity of our study data. The pandemic could further impact our ability to interact with the FDA or other regulatory authorities, and may result in delays in the conduct of inspections or review of pending submissions.</w:t>
      </w:r>
    </w:p>
    <w:p>
      <w:pPr>
        <w:spacing w:after="0" w:line="79"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The ongoing COVID-19 pandemic may further impact our suppliers and manufacturers. If any of our suppliers or manufacturers are adversely impacted by the COVID-19 pandemic or the restrictions resulting from the pandemic, if they cannot obtain the necessary supplies, or if such third parties need to prioritize other products or customers over us, including under the Defense Production Act, we may experience delays or disruptions in our supply chain, which could have a material and adverse impact on our business and development plans. Third party manufacturers may also need to implement measures and changes, or deviate from typical requirements, because of the COVID-19 pandemic that may otherwise adversely impact our supply chains or the quality of the resulting products or supplies. Depending on the change, we may need to obtain FDA pre-approval or otherwise provide FDA with a notification of the change.</w:t>
      </w:r>
    </w:p>
    <w:p>
      <w:pPr>
        <w:spacing w:after="0" w:line="8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The ongoing COVID-19 pandemic may result in changes in laws, policies, and regulations. By example, due to the potential impact of the COVID-19 pandemic on clinical trials, drug development, and manufacturing, FDA issued guidance several times concerning how sponsors and investigators may address these challenges. FDA’s guidance is continually evolving. By further example, in March 2020, the U.S. Congress passed the Coronavirus Aid, Relief, and Economic Security Act, or CARES Act, which includes various provisions regarding FDA drug shortage reporting requirements, as well as provisions regarding supply chain security, such as risk management plan requirements, and the promotion of supply chain redundancy and domestic manufacturing. This and any future changes in law may require that we change our internal processes and procedures to ensure continued compliance.</w:t>
      </w:r>
    </w:p>
    <w:p>
      <w:pPr>
        <w:spacing w:after="0" w:line="79"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The extent to which the ongoing COVID-19 pandemic may impact our business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the effectiveness of actions taken in the United States and other countries to contain and treat the disease, including the effectiveness of vaccination programs, and whether businesses and the economy in general will continue to reopen and stay open.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of our credit agreement may restrict the operation of our business and limit the cash available for investment in our business operations.</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In August 2020, we entered into a Credit and Security Agreement (the Credit Agreement), by and among us and certain of our subsidiaries as borrowers, MidCap Financial, as agent, and the lenders from time to time party thereto. The terms of the Credit Agreement and borrowings we may make under the Credit Agreement in the future, could have significant adverse consequences for our business, including:</w:t>
      </w:r>
    </w:p>
    <w:p>
      <w:pPr>
        <w:spacing w:after="0" w:line="68" w:lineRule="exact"/>
        <w:rPr>
          <w:sz w:val="20"/>
          <w:szCs w:val="20"/>
          <w:color w:val="auto"/>
        </w:rPr>
      </w:pPr>
    </w:p>
    <w:p>
      <w:pPr>
        <w:ind w:left="1000" w:hanging="493"/>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any cash flow from operations to payment on our debt, which would reduce the amounts available to fund other corporate initiatives;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0" w:name="page31"/>
    <w:bookmarkEnd w:id="30"/>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amount of interest that we have to pay on borrowings under the Credit Agreement if market rates of interest increase;</w:t>
      </w:r>
    </w:p>
    <w:p>
      <w:pPr>
        <w:spacing w:after="0" w:line="144"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compliance with restrictive covenants restricting, among other things, certain indebtedness, liens, dividends and other distributions, repayment of subordinated indebtedness, mergers, dispositions, investments, acquisitions, transactions with affiliates and modification of organizational documents or certain other agreements, subject to certain exceptions;</w:t>
      </w:r>
    </w:p>
    <w:p>
      <w:pPr>
        <w:spacing w:after="0" w:line="6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compliance with affirmative covenants including payment and reporting covenants; and</w:t>
      </w:r>
    </w:p>
    <w:p>
      <w:pPr>
        <w:spacing w:after="0" w:line="144"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better debt servicing options or stronger debt servicing capacity.</w:t>
      </w:r>
    </w:p>
    <w:p>
      <w:pPr>
        <w:spacing w:after="0" w:line="54"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We may not have sufficient funds or be able to obtain additional financing to pay the amounts due under the Credit Agreement. In addition, failure to comply with the covenants under the Credit Agreement, including those outside of our control, could result in an event of default. An event of default could result in the acceleration of amounts due under the Credit Agreement, and we may not be able to obtain additional financing to make any accelerated payments. Under these circumstances, our lenders could seek to enforce security interests in our assets securing our indebtedness, including our intellectual property.</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completed a Section 382 study and have concluded that we experienced an “ownership change” as defined in Section 382 of the U.S. Internal Revenue Code of 1986, as amended (the Code), and thus the tax benefits of our pre-“ownership change” net operating loss carryforwards and certain other tax attributes will be subject to an annual limitation under Sections 382 and 383 of the Code.</w:t>
      </w:r>
    </w:p>
    <w:p>
      <w:pPr>
        <w:spacing w:after="0" w:line="67"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In general, a corporation undergoes an “ownership change” under Section 382 of the Code if, among other things, the stockholders who own, directly or indirectly, 5% or more of the corporation’s stock (by value), or are otherwise treated as “5% stockholders” under Section 382 of the Code and the Treasury regulations promulgated thereunder, increase their aggregate percentage ownership (by value) of the corporation’s stock by more than 50 percentage points over the lowest percentage of stock owned by the 5% stockholders at any time during the applicable testing period, which is generally the rolling three-year period preceding the date of the potential ownership change testing event. Such potential ownership change testing events include changes involving a stockholder becoming a 5% stockholder or arising from a new issuance of capital stock or share repurchases by the corporation, subject to certain exceptions.</w:t>
      </w:r>
    </w:p>
    <w:p>
      <w:pPr>
        <w:spacing w:after="0" w:line="81"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In the event of an “ownership change,” Sections 382 and 383 of the Code impose an annual limitation on the amount of taxable income a corporation may offset with pre-change net operating loss carryforwards and certain other tax attributes. The annual limitation is generally equal to the value of the outstanding stock of the corporation immediately before the ownership change (excluding certain capital contributions), multiplied by the long-term tax-exempt rate as published by the IRS for the month in which the ownership change occurs (the long-term tax-exempt rate for November 2020 is 0.89%). Any unused annual limitation may generally be carried over to subsequent years until the pre-ownership change net operating loss carryforwards and certain other tax attributes expire or are fully utilized by the corporation. Similar provisions of state tax law may also apply to limit the use of state net operating loss carryforwards and certain other tax attributes.</w:t>
      </w:r>
    </w:p>
    <w:p>
      <w:pPr>
        <w:spacing w:after="0" w:line="8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Additionally, Section 382 of the Code includes special rules that apply to a corporation with a significant amount of net unrealized built-in gains or net unrealized built-in losses in its assets immediately prior to ownership change under Section 382 of the Code. In general, certain built-in gains recognized during the five-year period beginning on the date of the ownership change increases the corporation’s annual limitation under Sections 382 and 383 of the Code in the taxable year that such built-in gains are recognized or deemed recognized (but only up to the amount of the net unrealized built-in gain), while certain built-in losses recognized during such five-year period are subject to the annual limitation under Section 382 of the Code (but only up to the amount of the net unrealized built-in loss).</w:t>
      </w:r>
    </w:p>
    <w:p>
      <w:pPr>
        <w:spacing w:after="0" w:line="79" w:lineRule="exact"/>
        <w:rPr>
          <w:sz w:val="20"/>
          <w:szCs w:val="20"/>
          <w:color w:val="auto"/>
        </w:rPr>
      </w:pPr>
    </w:p>
    <w:p>
      <w:pPr>
        <w:jc w:val="both"/>
        <w:ind w:firstLine="530"/>
        <w:spacing w:after="0" w:line="255" w:lineRule="auto"/>
        <w:rPr>
          <w:sz w:val="20"/>
          <w:szCs w:val="20"/>
          <w:color w:val="auto"/>
        </w:rPr>
      </w:pPr>
      <w:r>
        <w:rPr>
          <w:rFonts w:ascii="Times New Roman" w:cs="Times New Roman" w:eastAsia="Times New Roman" w:hAnsi="Times New Roman"/>
          <w:sz w:val="18"/>
          <w:szCs w:val="18"/>
          <w:color w:val="auto"/>
        </w:rPr>
        <w:t>As of December 31, 2021, we had approximately $159.6 million and $70.3 million of federal and state net operating loss carryforwards, respectively, available to reduce future taxable income that will begin to expire in 2037 for federal income tax purposes. These net operating loss carryforwards could expire unused and be unavailable to offset future income tax liabilities. Federal net operating loss carryforwards incurred in 2018 and in future years may be carried forward indefinitely, but the usage of such federal net operating loss carryforwards is limited. We completed an IRC Section 382 study on our federal tax attributes in connection to ownership change in 2020 and determined that the annual utilization of federal net operating loss and certain other tax attribute carryforwards is limited. It is not expected that the annual limitations will result in the expiration of tax attribute carryforwards prior to utilization assuming sufficient income.</w:t>
      </w:r>
    </w:p>
    <w:p>
      <w:pPr>
        <w:spacing w:after="0" w:line="8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We cannot predict or control the occurrence or timing of another ownership change under Section 382 of the Code in the future. In addition, it is possible that any offering of securities by us could result in an ownership change. If another ownership change were to occur, future limitations could apply to our net operating losses and certain other tax attributes, which could result in a material amount of our net operating loss carryforwards and certain other tax attributes becoming unavailable to offset future income tax liabilities.</w:t>
      </w:r>
    </w:p>
    <w:p>
      <w:pPr>
        <w:spacing w:after="0" w:line="72"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The realization of all or a portion of our deferred income tax assets (including net operating loss carryforwards) is dependent upon the generation of future income during the statutory carryforward periods. Our inability to utilize our limited pre-ownership change net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1" w:name="page32"/>
    <w:bookmarkEnd w:id="31"/>
    <w:p>
      <w:pPr>
        <w:jc w:val="both"/>
        <w:spacing w:after="0" w:line="282" w:lineRule="auto"/>
        <w:rPr>
          <w:sz w:val="20"/>
          <w:szCs w:val="20"/>
          <w:color w:val="auto"/>
        </w:rPr>
      </w:pPr>
      <w:r>
        <w:rPr>
          <w:rFonts w:ascii="Times New Roman" w:cs="Times New Roman" w:eastAsia="Times New Roman" w:hAnsi="Times New Roman"/>
          <w:sz w:val="18"/>
          <w:szCs w:val="18"/>
          <w:color w:val="auto"/>
        </w:rPr>
        <w:t>operating loss carryforwards and certain other tax attributes, or the occurrence of a future ownership change and resulting additional limitations to these tax attributes, could have a material adverse effect on our financial condition, results of operations and cash flows.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investments are subject to market and credit risks that could diminish their value and these risks could be greater during periods of extreme volatility or disruption in the financial and credit markets, which could adversely impact our business, financial condition, results of operations, liquidity and cash flows.</w:t>
      </w:r>
    </w:p>
    <w:p>
      <w:pPr>
        <w:spacing w:after="0" w:line="67"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Our investments are subject to risks of credit defaults and changes in market values. Periods of macroeconomic weakness or recession, heightened volatility or disruption in the financial and credit markets could increase these risks, potentially resulting in other-than-temporary impairment of assets in our investment portfolio. The impact of geopolitical tension, such as a deterioration in the bilateral relationship between the US and China or increasing escalation of conflict between Russia and Ukraine, including any additional sanctions, export controls or other restrictive actions that may be imposed by the US and/or other countries against governmental or other entities in, for example, Russia, also could lead to disruption, instability and volatility in the global markets, which may have an impact on our investments across negatively impacted sectors or geographies.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Development Risks</w:t>
      </w:r>
    </w:p>
    <w:p>
      <w:pPr>
        <w:spacing w:after="0" w:line="13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results of our current and planned preclinical studies and clinical trials may not satisfy the requirements of the FDA or non-U.S. regulatory authorities. Results from early-preclinical studies and clinical trials may not be predictive of results from later-stage or other trials and interim or top line data may be subject to change or qualification based on the complete analysis of data.</w:t>
      </w:r>
    </w:p>
    <w:p>
      <w:pPr>
        <w:spacing w:after="0" w:line="67"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8"/>
          <w:szCs w:val="18"/>
          <w:color w:val="auto"/>
        </w:rPr>
        <w:t>We are very early in our Phase 1b clinical trial with APVO436 and none of our other product candidates have entered clinical development. Clinical failure can occur at any stage of preclinical or clinical development. Preclinical studies and clinical trials may produce negative or inconclusive results. The FDA or a non-US regulatory authority may require us to conduct additional clinical or preclinical testing. Success in early preclinical studies and clinical trials does not mean that future larger registration clinical trials will be successful and interim results of a clinical trial do not necessarily predict final results. Product candidates in later-stage clinical trials may fail to demonstrate sufficient safety and efficacy to the satisfaction of the FDA and non-U.S. regulatory authorities despite having progressed through initial clinical trials.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adherence to the dosing regimen and other clinical trial protocols and the rate of dropout among clinical trial participants. In addition, preclinical and clinical data are often susceptible to various interpretations and analyses, and many companies whose product candidates performed satisfactorily in preclinical studies and clinical trials have nonetheless failed to obtain marketing approval. Product candidates in later stages of clinical trials may fail to show the desired safety and efficacy profile despite having progressed through preclinical studies and initial clinical trials. A number of companies in the pharmaceutical and biopharmaceutical industry have suffered significant setbacks in advanced clinical trials due to lack of efficacy or adverse safety profiles, notwithstanding promising results in earlier studies, and we cannot be certain that we will not face similar setbacks. Even if early-stage clinical trials are promising, we may need to conduct additional clinical trials of our product candidates in additional patient populations or under different treatment conditions before we are able to seek approvals from the FDA and regulatory authorities outside the United States to market and sell these product candidates. Any of these events could limit the commercial potential of our product candidates and have a material adverse effect on our business, prospects, financial condition and results of operations.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83"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In addition, our APVO436 clinical trials are open-label studies and are conducted at a limited number of clinical sites on a limited number of patients. An “open-label” clinical trial is one where both the patient and investigator know whether the patient is receiving the investigational product candidate or either an existing approved drug.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these clinical trials may not be predictive of future clinical trial results with APVO436 or other product candidates.</w:t>
      </w:r>
    </w:p>
    <w:p>
      <w:pPr>
        <w:spacing w:after="0" w:line="80"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We may publicly disclose top line or interim data from time to time, which is based on a preliminary analysis of then-available data, and the results and related findings and conclusions are subject to change following a more comprehensive review of the data related to the particular study or trial. The top line or interim results that we report may differ from future results of the same studies, or different conclusions or considerations may qualify such results once additional data have been received and fully evaluated. Even in situations where a clinical stage candidate appears to be benefiting a patient, that benefit may not be of a permanent nature. Top line and interim data also remain subject to audit and verification procedures, that may result in the final data being materially different from the preliminary data we previously published. In addition, the achievement of one primary endpoint for a trial does not guarantee that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18"/>
          <w:szCs w:val="18"/>
          <w:color w:val="auto"/>
        </w:rPr>
        <w:t>additional co-primary endpoints or secondary endpoints will be achieved.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75"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Our future clinical trials may not be successful. Moreover, should there be a flaw in a clinical trial, it may not become apparent until the clinical trial is well advanced. We may also experience numerous unforeseen events during, or as a result of, clinical trials that could delay or prevent our ability to receive marketing approval or commercialize our product candidates, including:</w:t>
      </w:r>
    </w:p>
    <w:p>
      <w:pPr>
        <w:spacing w:after="0" w:line="68" w:lineRule="exact"/>
        <w:rPr>
          <w:sz w:val="20"/>
          <w:szCs w:val="20"/>
          <w:color w:val="auto"/>
        </w:rPr>
      </w:pPr>
    </w:p>
    <w:p>
      <w:pPr>
        <w:jc w:val="both"/>
        <w:ind w:left="1000" w:hanging="493"/>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(IRBs) may not authorize us or our investigators to commence or continue a clinical trial, conduct a clinical trial at a prospective trial site, or amend trial protocols, or regulators or IRBs may require that we modify or amend our clinical trial protocols;</w:t>
      </w:r>
    </w:p>
    <w:p>
      <w:pPr>
        <w:spacing w:after="0" w:line="6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and our contract research organizations (CROs);</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require us to perform additional or unanticipated clinical trials to obtain approval or we may be subject to additional post-marketing testing, surveillance, or REMS requirements to maintain regulatory approval;</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or our studies may fail to reach the necessary level of statistical significance;</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marketing approval policies, laws, regulations, or the regulatory review process during the development period rendering our data insufficient to obtain marketing approval;</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or we may have insufficient funds for a clinical trial or to pay the substantial user fees required by the FDA upon the filing of a marketing application;</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reach an agreement with regulators or IRBs regarding the scope, design, or implementation of our clinical trials;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delays in adding new investigators or clinical trial sites, or we may experience a withdrawal of clinical trial sites;</w:t>
      </w:r>
    </w:p>
    <w:p>
      <w:pPr>
        <w:spacing w:after="0" w:line="144"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regulatory questions or disagreements regarding interpretations of data and results, or new information may emerge regarding our product candidates;</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study design, including endpoints, or our interpretation of data from non-clinical studies and clinical trials or find that a product candidate’s benefits do not outweigh its safety risks;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regulatory authorities may disagree with our intended indications;</w:t>
      </w:r>
    </w:p>
    <w:p>
      <w:pPr>
        <w:spacing w:after="0" w:line="144"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contract manufacturer’s manufacturing facility for clinical and future commercial supplies; and</w:t>
      </w:r>
    </w:p>
    <w:p>
      <w:pPr>
        <w:spacing w:after="0" w:line="53"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spacing w:after="0" w:line="54"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Further, our product candidates may not be approved even if they achieve their primary endpoints in Phase 3 clinical trials or registration trials. Regardless of any advisory committee recommendation, the FDA may decline to approve the BLA for a number of reasons including, if the clinical benefit, safety profile or effectiveness of the drug is not deemed by the FDA to warrant approval. The FDA or other non-U.S. regulatory authorities may disagree with our trial design, and our interpretation of data from non-clinical studies and clinical trials. In particular, the FDA may not view our data as being clinically meaningful or statistically persuasive. The regulatory authorities and policies governing the development of our product candidates may also change at any time. In addition, any of these regulatory authorities may change requirements for the approval of a product candidate even after reviewing and providing comments or advice on a protocol for a pivotal Phase 3 clinical trial. Any of these regulatory authorities may also approve a product candidate for fewer or more limited indications than we request or may grant approval contingent on the performance of costly post-marketing clinical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18"/>
          <w:szCs w:val="18"/>
          <w:color w:val="auto"/>
        </w:rPr>
        <w:t>trials. The FDA or other non-U.S. regulatory authorities may not approve the labeling claims that we believe would be necessary or desirable for the successful commercialization of our product candidates.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file investigational new drug applications, or INDs, or IND amendments to commence additional clinical trials on the timelines we expect, and even if we are able to, the FDA may not permit us to proceed.</w:t>
      </w:r>
    </w:p>
    <w:p>
      <w:pPr>
        <w:spacing w:after="0" w:line="51"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We expect to submit an IND for ALG.APV-527 to the FDA in 2022, however, we may not be able to file future INDs for our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commencement, enrollment of patients or completion of our clinical trials, the time to reach critical trial data and receipt of any necessary regulatory approvals could be delayed.</w:t>
      </w:r>
    </w:p>
    <w:p>
      <w:pPr>
        <w:spacing w:after="0" w:line="51"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enroll and maintain a sufficient number of eligible patients to participate in these trials as required by the FDA or similar regulatory authorities outside the United States.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Furthermore, APVO436 has received orphan drug designation for AML and thus has a relatively small patient population. Also, the eligibility criteria of our clinical trials may further limit the pool of available study participants as we require that patients have specific characteristics that we can measure to assure their disease is either severe enough or not too advanced to include them in a study. In addition, the global spread of the COVID-19 pandemic makes it more difficult to initiate studies and enroll patients and the process of finding and diagnosing eligible patients under these conditions may prove costly.</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is affected by other factors including:</w:t>
      </w:r>
    </w:p>
    <w:p>
      <w:pPr>
        <w:spacing w:after="0" w:line="117" w:lineRule="exact"/>
        <w:rPr>
          <w:sz w:val="20"/>
          <w:szCs w:val="20"/>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 including the patient eligibility criteria for the study in question;</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payments for conducting clinical trials;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preliminary results of any of our clinical trial sites;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 and</w:t>
      </w:r>
    </w:p>
    <w:p>
      <w:pPr>
        <w:spacing w:after="0" w:line="144"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that may limit patients, principal investigators or staff or clinical site availability, such as the ongoing COVID-19 pandemic.</w:t>
      </w:r>
    </w:p>
    <w:p>
      <w:pPr>
        <w:spacing w:after="0" w:line="54"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clinical trials could result in significant delays and could require us to abandon one or more clinical trials altogether. Enrollment delays in our clinical trials may result in increased development costs for our product candidates, delays in the availability of preliminary or final results, and delays to commercially launching our product candidates, if approved, which may cause the value of our company to decline and limit our ability to obtain additional financing.</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67"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Serious adverse events or undesirable side effects caused by, or other unexpected properties of any of our product candidates, either when used alone or in combination with other approved or investigational therapies, could cause us or regulatory authorities to interrupt, delay or halt our development activities and manufacturing and distribution operations and could result in a more restrictive label, the imposition of a clinical hold, suspension, distribution or use restrictions or the delay or denial of regulatory approval by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18"/>
          <w:szCs w:val="18"/>
          <w:color w:val="auto"/>
        </w:rPr>
        <w:t>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75"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As we continue developing our product candidates and conduct clinical trials of our product candidates, serious adverse events, or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Undesirable side effects, or other unexpected adverse events or properties of any of our product candidates, could arise or become known either during clinical development or, if approved, after the approved product has been marketed. If such an event occurs during development, the FDA or comparable foreign regulatory authorities could suspend or terminate a clinical trial or deny approval of our product candidates. Furthermore, we may to evaluate our product candidates in combination with approved and/or experimental therapies. These combinations may have additional or more severe side effects than caused by our product candidate as monotherapies. The uncertainty resulting from the use of our product candidate in combination with other therapies may make it difficult to accurately predict side effects or efficacy in potential future clinical trials. If our product candidates receive marketing approval and we or others later identify undesirable side effects caused by such products, a number of potentially significant negative consequences may result, including:</w:t>
      </w:r>
    </w:p>
    <w:p>
      <w:pPr>
        <w:spacing w:after="0" w:line="84" w:lineRule="exact"/>
        <w:rPr>
          <w:sz w:val="20"/>
          <w:szCs w:val="20"/>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conduct additional clinical trials or abandon our research efforts for our other product candidates;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impose distribution or use restrictions;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one or more post-market studies;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44" w:lineRule="exact"/>
        <w:rPr>
          <w:rFonts w:ascii="Times New Roman" w:cs="Times New Roman" w:eastAsia="Times New Roman" w:hAnsi="Times New Roman"/>
          <w:sz w:val="18"/>
          <w:szCs w:val="18"/>
          <w:color w:val="auto"/>
        </w:rPr>
      </w:pPr>
    </w:p>
    <w:p>
      <w:pPr>
        <w:jc w:val="both"/>
        <w:ind w:left="1000" w:hanging="493"/>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implementation of a Risk Evaluation and Mitigation Strategy, or REMS, Field Safety Corrective Actions or equivalent,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7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44"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approval and acceptance of the affected product candidate, or could substantially increase commercialization costs and expenses, which could delay or prevent us from generating revenue from the sale of our products and materially harm our business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to conduct our clinical and non-clinical trials. If these third parties do not effectively carry out their contractual duties, comply with regulatory requirements or meet expected deadlines, we may not be able to obtain regulatory approval for or commercialize our product candidates and our business could be substantially harmed.</w:t>
      </w:r>
    </w:p>
    <w:p>
      <w:pPr>
        <w:spacing w:after="0" w:line="67"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We do not have the ability to independently conduct the clinical and preclinical trials required to obtain regulatory approval for our product candidates. We depend on third parties, such as independent clinical investigators, contract research organizations, or CROs, and other third-party service providers to conduct the clinical and preclinical trials of our product candidates, and we expect to continue to do so. For example, Dr. Dirk Huebner, Consultant and Chief Medical Officer, is providing clinical trial and medical affairs oversight duties as an independent consultant. We rely heavily on Dr. Huebner and these other third parties for successful execution of our clinical and non-clinical trials, but we do not exercise day to day control over their activities.</w:t>
      </w:r>
    </w:p>
    <w:p>
      <w:pPr>
        <w:spacing w:after="0" w:line="79"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While we have agreements governing the activities of third parties, we have limited influence and control over their actual performance and activities. For instance, our third-party service providers are not our employees, and except for remedies available to us under our agreements with such third parties we cannot control whether or not they devote sufficient time and resources to our ongoing clinical, and non-clinical programs. Our third-party service providers may also have relationships with other entities, some of which may be our competitors, for whom they may also be conducting trials or other therapeutic development activities that could harm our competitive position. If these third parties do not successfully carry out their contractual duties, meet expected deadlines or conduct our non-clinical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5" w:name="page36"/>
    <w:bookmarkEnd w:id="35"/>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Our reliance on third-party service providers does not relieve us of our regulatory responsibilities, including ensuring that our trials are conducted in accordance with the FDA-approved good clinical practices, or GCPs, and the plans and protocols contained in the relevant regulatory application. In addition, these organizations and individuals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and/or costly and result in a delay of our trials. In addition, business disruptions arising from the ongoing COVID-19 pandemic could negatively affect the ability of some of the independent clinical investigators, contract research organizations and other third-party service providers that conduct our clinical and preclinical trials of our product candidates. Any delay in or inability to complete our trials could delay or prevent the development, approval, and commercialization of our product candidates.</w:t>
      </w:r>
    </w:p>
    <w:p>
      <w:pPr>
        <w:spacing w:after="0" w:line="80"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If CROs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or they may also face regulatory enforcement action. We cannot assure you that, upon inspection, the FDA or non-U.S. regulatory agencies will determine that any of our clinical trials comply with GCPs. In addition, our clinical trials must be conducted with product produced under GMPs and similar regulations outside of the United States. Our failure, or the failure of our product manufacturers, to comply with these regulations may require us to repeat or redesign clinical trials, or conduct additional trials, which would increase our development costs and delay or impact the likelihood of regulatory approval.</w:t>
      </w:r>
    </w:p>
    <w:p>
      <w:pPr>
        <w:spacing w:after="0" w:line="8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w:t>
      </w:r>
    </w:p>
    <w:p>
      <w:pPr>
        <w:spacing w:after="0" w:line="72"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Agreements with third parties conducting or otherwise assisting with our clinical or non-clinical studies might terminate for a variety of reasons, including a failure to perform by the third parties. If any of our relationships with these third parties terminate, we may not be able to enter into arrangements with alternative providers or to do so on commercially reasonable terms. Switching or adding additional third parties involves additional cost and requires management time and focus. In addition, there is a natural transition period when a new third party commences work. As a result, if we need to enter into alternative arrangements, it could delay our product development activities and adversely affect our business. Though we carefully manage our relationships with our third parties, there can be no assurance that we will not encounter challenges or delays in the future or that these delays or challenges will not have a material adverse impact on our business, financial condition and prospects, and results of operations.</w:t>
      </w:r>
    </w:p>
    <w:p>
      <w:pPr>
        <w:spacing w:after="0" w:line="8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If any of these events occur, we may not be able to obtain regulatory approval of our product candidates or succeed in our efforts to create approved line extensions for certain of our existing products or generate additional useful clinical data in support of these products. Moreover, 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Manufacture of our product candidates, especially in large quantities, is complex and time consuming. The loss of any of our third-party manufacturers, or delays or problems in the manufacture our product candidates, could result in product shortages and/or delays in clinical development.</w:t>
      </w:r>
    </w:p>
    <w:p>
      <w:pPr>
        <w:spacing w:after="0" w:line="67"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We do not have manufacturing capabilities and do not plan to develop such capacity in the foreseeable future. We depend on a limited number of third-party suppliers for our product candidates. Accordingly, our ability to develop and deliver products in a timely and competitive manner and to enable us to conduct our development programs depends on our third-party manufacturers being able to continue to meet our ongoing clinical trial needs and perform their contractual obligations. In order to successfully develop and commercialize our product candidates in a timely manner, we and our third-party manufacturers must be able to develop and execute on manufacturing processes and reach agreement on contract terms.</w:t>
      </w:r>
    </w:p>
    <w:p>
      <w:pPr>
        <w:spacing w:after="0" w:line="75"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any product that we develop may adversely affect our future profit margins and our ability to commercialize any products that receive marketing approval on a timely and competitive basis. In addition, any performance failure on the part of our existing or future manufacturers could delay clinical development or marketing approval.</w:t>
      </w:r>
    </w:p>
    <w:p>
      <w:pPr>
        <w:spacing w:after="0" w:line="68"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If these third-party manufacturers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produce, or may be delayed in producing sufficient product candidates to meet our supply requirements. Any delays in obtaining adequate supplies with respect to our product candidates and components may delay the development or commercialization of our product candidates.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6" w:name="page37"/>
    <w:bookmarkEnd w:id="36"/>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We may not succeed in our efforts to establish manufacturing relationships or other alternative arrangements for any of our product candidates, components, and programs. Our product candidates may compete with other products and product candidates for access to manufacturing facilities. There are a limited number of manufacturers that operate under GMP regulations and that are both capable of manufacturing for us and willing to do so.</w:t>
      </w:r>
    </w:p>
    <w:p>
      <w:pPr>
        <w:spacing w:after="0" w:line="68"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If our existing third-party manufacturers, or the third parties that we engage in the future to manufacture a product or component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These third-party facilities may also be affected by natural disasters, such as floods or fire, or such facilities could face manufacturing issues, such as contamination or regulatory findings following a regulatory inspection of such facility. In such instances, we may need to locate an appropriate replacement third-party relationship, which may not be readily available or on acceptable terms, which would cause additional delay and increased expense. In some cases, the technical skills required to manufacture our products or product candidates may be unique or proprietary to the original manufacturer and we may have difficulty, or there may be contractual restrictions prohibiting us from, transferring such skills to an alternate supplier in a timely fashion if at all. The addition of a new or alternative manufacturer may also require FDA approvals and may have a material adverse effect on our business.</w:t>
      </w:r>
    </w:p>
    <w:p>
      <w:pPr>
        <w:spacing w:after="0" w:line="80"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If for any reason we are unable to obtain adequate supplies of our product candidates or the components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68"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We or our third-party manufacturers may also encounter shortages in the raw materials or therapeutic substances necessary to produce our product candidates in the quantities needed for our clinical trials or, if our product candidates are approved, in sufficient quantities for commercialization or to meet an increase in demand. Such shortages may occur for a variety of reasons, including capacity constraints, delays or disruptions in the market, and shortages caused by the purchase of such materials by our competitors or others. We may also not be able to obtain such materials on favorable terms as a result of global trade policies. Our or our third-party manufacturers’ failure to obtain the raw materials, therapeutic substances, or active pharmaceutical ingredients necessary to manufacture sufficient quantities of our product candidates may have a material adverse effect on our business.</w:t>
      </w:r>
    </w:p>
    <w:p>
      <w:pPr>
        <w:spacing w:after="0" w:line="79"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All of our current product candidates are biologics.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 Due to the ongoing COVID-19 pandemic, our third-party manufacturers may experience difficulties that impact our product candidates.</w:t>
      </w:r>
    </w:p>
    <w:p>
      <w:pPr>
        <w:spacing w:after="0" w:line="81"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Additionally, 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our product candidates and market and sell our products outside of the United States and maintaining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to our product candidates in development, our results of operations and prospects would be materially and adversely affected.</w:t>
      </w:r>
    </w:p>
    <w:p>
      <w:pPr>
        <w:spacing w:after="0" w:line="84"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Any loss of a third-party manufacturer, any delays, or problems in the manufacture of our products, or termination of any arrangements for development and commercialization of our products could have a material adverse effect on our business, operations, results of operations and financial condition. We may be required to replace our manufacturer and if this were to occur, we may incur added costs and delays in identifying and qualifying any such replacements. We may also not be able to enter into such arrangements on favorable commercial terms.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5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We rely on third parties to manufacture all clinical trial materials for our product candidates, and we will rely on third parties to manufacture commercial supplies, if any such product candidates are ultimately approved for commercial sale. Manufacturers of our product candidates and therapeutic substances must comply with GMP requirements enforced by the FDA that are applicable to both finished products and their active components used both for clinical and commercial supply. The FDA enforces these requirements through its facilities inspection program. Our product candidates, including APVO436 and ALG.APV-527 will not be approved for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7" w:name="page38"/>
    <w:bookmarkEnd w:id="37"/>
    <w:p>
      <w:pPr>
        <w:jc w:val="both"/>
        <w:spacing w:after="0" w:line="256" w:lineRule="auto"/>
        <w:rPr>
          <w:sz w:val="20"/>
          <w:szCs w:val="20"/>
          <w:color w:val="auto"/>
        </w:rPr>
      </w:pPr>
      <w:r>
        <w:rPr>
          <w:rFonts w:ascii="Times New Roman" w:cs="Times New Roman" w:eastAsia="Times New Roman" w:hAnsi="Times New Roman"/>
          <w:sz w:val="18"/>
          <w:szCs w:val="18"/>
          <w:color w:val="auto"/>
        </w:rPr>
        <w:t>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If this were to occur, we may also never receive marketing approval, we may need to repeat clinical trials, we may need to undertake costly corrective actions, including product recalls, we may risk harm to subjects or patients, and we may face enforcement actions.</w:t>
      </w:r>
    </w:p>
    <w:p>
      <w:pPr>
        <w:spacing w:after="0" w:line="79"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and maintain regulatory approval for or market our product candidates, if approved. Any new manufacturers would need to either obtain or develop the necessary manufacturing know-how, and obtain the necessary equipment and materials, which may take substantial time and investment. We must also receive FDA approval for the use of any new manufacturers for commercial supply.</w:t>
      </w:r>
    </w:p>
    <w:p>
      <w:pPr>
        <w:spacing w:after="0" w:line="8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We and our third-party manufacturers may not be able to meet these manufacturing process requirements for any of our current product candidates, all of which have complex manufacturing processes, which make meeting these requirements even more challenging. Due to the ongoing COVID-19 pandemic, our third-party manufacturers may experience difficulties that impact our product candidates. If we are unable to develop manufacturing processes for our clinical product candidates that satisfy these requirements, we will not be able to supply sufficient quantities of test material to conduct our clinical trials in a timely or cost effective manner, and as a result, our development programs will be delayed, our financial performance will be adversely impacted and we will be unable to meet our long-term goals.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 candidates have received orphan drug designation from the FDA. However, there is no guarantee that we will be able to maintain this designation, receive this designation for any of our other product candidates, or receive or maintain any corresponding benefits, including periods of exclusivity.</w:t>
      </w:r>
    </w:p>
    <w:p>
      <w:pPr>
        <w:spacing w:after="0" w:line="67"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Certain of our product candidates have received orphan drug designation. We may also seek orphan drug designation for our other product candidates, as appropriate. While orphan drug designation does provide us with certain advantages, it neither shortens the development time or regulatory review time of a product candidate nor gives the product candidate any advantage in the regulatory review or approval process.</w:t>
      </w:r>
    </w:p>
    <w:p>
      <w:pPr>
        <w:spacing w:after="0" w:line="68" w:lineRule="exact"/>
        <w:rPr>
          <w:sz w:val="20"/>
          <w:szCs w:val="20"/>
          <w:color w:val="auto"/>
        </w:rPr>
      </w:pPr>
    </w:p>
    <w:p>
      <w:pPr>
        <w:jc w:val="both"/>
        <w:ind w:right="20" w:firstLine="510"/>
        <w:spacing w:after="0" w:line="266" w:lineRule="auto"/>
        <w:rPr>
          <w:sz w:val="20"/>
          <w:szCs w:val="20"/>
          <w:color w:val="auto"/>
        </w:rPr>
      </w:pPr>
      <w:r>
        <w:rPr>
          <w:rFonts w:ascii="Times New Roman" w:cs="Times New Roman" w:eastAsia="Times New Roman" w:hAnsi="Times New Roman"/>
          <w:sz w:val="18"/>
          <w:szCs w:val="18"/>
          <w:color w:val="auto"/>
        </w:rPr>
        <w:t>Generally, if a product candidate with orphan drug designation subsequently receives marketing approval before another product considered by the FDA to be the same for the same orphan indication, the product is entitled to a period of marketing exclusivity, which precludes the FDA from approving another marketing application for the same drug or biologic for the same indication for a period of seven years in the United States.</w:t>
      </w:r>
    </w:p>
    <w:p>
      <w:pPr>
        <w:spacing w:after="0" w:line="68"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We may not be able to obtain any future orphan drug designations that we apply for. Orphan drug designations do not guarantee that we will be able to successfully develop our product candidates, and there is no guarantee that we will be able to maintain any orphan drug designations that we receive. For instance, orphan drug designations may be revoked if the FDA finds that the request for designation contained an untrue statement of material fact or omitted material information, or if the FDA finds that the product candidate was not eligible for designation at the time of the submission of the request.</w:t>
      </w:r>
    </w:p>
    <w:p>
      <w:pPr>
        <w:spacing w:after="0" w:line="72"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Moreover, even if we are able to receive and maintain orphan drug designations, we may ultimately not receive any period of regulatory exclusivity if our product candidates are approved. For instance, we may not receive orphan product regulatory exclusivity if the indication for which we receive FDA approval is broader than the orphan drug designation. Orphan exclusivity may also be lost for the same reasons that orphan drug designation may be lost. Orphan exclusivity may further be lost if we are unable to assure a sufficient quantity of the product to meet the needs of patients with the rare disease or condition.</w:t>
      </w:r>
    </w:p>
    <w:p>
      <w:pPr>
        <w:spacing w:after="0" w:line="75"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Even if we obtain orphan exclusivity for any of our current or future product candidates, that exclusivity may not effectively protect the product from competition as different products can be approved for the same condition or products that are the same as ours can be approved for different conditions. Even after an orphan product is approved, the FDA can also subsequently approve a product containing the same principal molecular features for the same condition if the FDA concludes that the later product is clinically superior. The FDA may further grant orphan drug designation to multiple sponsors for the same compound or active molecule and for the same indication. If another sponsor receives FDA approval for such product before we do, we would be prevented from launching our product in the United States for the orphan indication for a period of at least seven years, unless we can demonstrate clinical superiority. Moreover, third-party payors may reimburse for products off-label even if not indicated for the orphan condition.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conduct clinical trials for our product candidates outside the United States, and the FDA or non-U.S.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authorities may not accept data from such trials in the development or approval of our product candidates in those jurisdictions.</w:t>
      </w:r>
    </w:p>
    <w:p>
      <w:pPr>
        <w:spacing w:after="0" w:line="99"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We have in the past and may in the future conduct clinical trials outside the U.S. and the FDA and foreign regulatory authorities may not accept those data in support of the further development or approval of our product candidates. The acceptance of trial data from clinical trials conducted outside the United States by the FDA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and (ii) the trials were performed by clinical investigators of recognized competence and pursuant to GCP regulations. Additionally, the FDA’s clinical trial requirements, including sufficient size of patient populations and statistical powering, must be met. Many foreign regulatory bodies have similar approval requirements.</w:t>
      </w:r>
    </w:p>
    <w:p>
      <w:pPr>
        <w:spacing w:after="0" w:line="8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In addition, such foreign trials will be subject to the applicable local laws of the foreign jurisdictions where the trials are conducted. There can be no assurance that the FDA or any applicable foreign regulatory authority will accept data from trials conducted outside of the United States. If the FDA or any applicable foreign regulatory authority does not accept such data, it would result in the need to conduct additional trials beyond those we have planned, which would be costly and time-consuming and delay aspects of our business plan, and which may result in our product candidates not receiving marketing approval for commercialization in the applicable jurisdiction.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Commercialization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grow revenues and execute on our long-term strategy depends heavily on our ability to discover, develop, and obtain marketing approval for our product candidates.</w:t>
      </w:r>
    </w:p>
    <w:p>
      <w:pPr>
        <w:spacing w:after="0" w:line="5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We currently have no products approved for commercial distribution. We have invested a significant portion of our efforts and financial resources in the development of our product candidates. Our business depends on the successful development and commercialization of our product candidates, which will require additional clinical and preclinical development, regulatory approval, commercial manufacturing arrangements, establishment of a commercial organization, significant marketing efforts, and further investment, which may never occur. Our ability to generate revenues is substantially dependent on our ability to develop, obtain regulatory approval for, and then successfully commercialize our product candidates. Except for the revenues from previously sold products, we currently generate no revenues from sales of any products, and we may never be able to develop or commercialize a marketable product.</w:t>
      </w:r>
    </w:p>
    <w:p>
      <w:pPr>
        <w:spacing w:after="0" w:line="79"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8"/>
          <w:szCs w:val="18"/>
          <w:color w:val="auto"/>
        </w:rPr>
        <w:t>In order for us to achieve our long-term business objectives, we will need to successfully discover and/or develop and commercialize our product candidates. Although we have made, and expect to continue to make, significant investments in research and development, we have had only a limited number of our internally-discovered product candidates reach the clinical development stage. We currently have one clinical-stage candidate, APVO436, which is built on the ADAPTIR platform. Drug discovery and development is a complex, time-consuming and expensive process that is fraught with risk and a high rate of failure. Our product candidates are susceptible to the risks of failure inherent at any stage of product development, including the appearance of unexpected or unacceptable adverse events or failure to demonstrate efficacy in clinical trials. For example, in 2018, we announced the discontinuation of development of APVO414 and otlertuzumab as a result of clinical trial results. In addition, in October 2019, we announced our decision to discontinue development of APVO210, a novel investigational bispecific antibody candidate under development for the treatment of autoimmune diseases. The decision followed the review of data from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Failure to successfully discover and/or develop, obtain marketing approval for and commercialize additional products and product candidates would likely have a material adverse effect on our ability to grow revenues and improve our financial condition. If we are required to conduct additional clinical trials or other testing of our product candidates that we develop beyond those that we currently expect, if we are unable to successfully complete clinical trials of our product candidates or other testing, if the results of these trials or tests are not positive or are only modestly positive, or if there are safety concerns, we may be delayed in obtaining marketing approval for our product candidates, not obtain marketing approval at all, obtain approval for limited indications or patient populations, with a label without claims necessary for us to successfully market our products, or with significant labeled warnings. We may also be subject to additional post-marketing testing requirements, surveillance requirements, or REMS. To the extent any of the foregoing should occur, our business may be materially harmed.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further develop our ADAPTIR or ADAPTIR-FLEX platforms.</w:t>
      </w:r>
    </w:p>
    <w:p>
      <w:pPr>
        <w:spacing w:after="0" w:line="12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A key element of our strategy is to expand our product pipeline of immunotherapeutics based on our ADAPTIR and ADAPTIR-FLEX platform technologies. We plan to select and create product candidates for early development, potentially with other collaborative partners. We expect to continue to develop the platform to address unmet medical needs through directed cytokine delivery via monospecifics and bispecifics in areas including oncology, and multi-specific molecules in oncology and other therapeutic areas. Our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9" w:name="page40"/>
    <w:bookmarkEnd w:id="39"/>
    <w:p>
      <w:pPr>
        <w:jc w:val="both"/>
        <w:spacing w:after="0" w:line="256" w:lineRule="auto"/>
        <w:rPr>
          <w:sz w:val="20"/>
          <w:szCs w:val="20"/>
          <w:color w:val="auto"/>
        </w:rPr>
      </w:pPr>
      <w:r>
        <w:rPr>
          <w:rFonts w:ascii="Times New Roman" w:cs="Times New Roman" w:eastAsia="Times New Roman" w:hAnsi="Times New Roman"/>
          <w:sz w:val="18"/>
          <w:szCs w:val="18"/>
          <w:color w:val="auto"/>
        </w:rPr>
        <w:t>goal is to leverage this technology to make targeted investment in monospecific, bispecific, and multi-specific ADAPTIR and ADAPTIR-FLEX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and ADAPTIR-FLEX platform technologies, our ability to obtain product revenues in future periods may be adversely affected, which likely would result in harm to our financial position and our financial prospects, and adversely affect our stock price.</w:t>
      </w:r>
    </w:p>
    <w:p>
      <w:pPr>
        <w:spacing w:after="0" w:line="183" w:lineRule="exact"/>
        <w:rPr>
          <w:sz w:val="20"/>
          <w:szCs w:val="20"/>
          <w:color w:val="auto"/>
        </w:rPr>
      </w:pPr>
    </w:p>
    <w:p>
      <w:pPr>
        <w:jc w:val="both"/>
        <w:ind w:right="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and will continue to face substantial competition and our failure to effectively compete may prevent us from achieving significant market penetration for our product candidates, if approved.</w:t>
      </w:r>
    </w:p>
    <w:p>
      <w:pPr>
        <w:spacing w:after="0" w:line="51"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biotechnology products is highly competitive and subject to rapid technological advances. We may face future competition with respect to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FDA, or equivalent foreign regulatory bodies more rapidly than we may obtain approval for our product candidates. Our competitors may have greater resources and may devote greater resources to research and develop their products, research and development capabilities, adapt more quickly to new technologies, scientific advances or patient preferences and needs, initiate or withstand substantial price competition more successfully, or more effectively negotiate third-party licensing and collaborative arrangements.</w:t>
      </w:r>
    </w:p>
    <w:p>
      <w:pPr>
        <w:spacing w:after="0" w:line="84"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We believe that our most significant competitors in the oncology market include: AbbVie Inc., Affimed, Amgen Inc., AnaptysBio, Inc., Astellas Pharma Inc., Bayer AG, Biogen Idec Inc., Boehringer Ingelheim GmbH, Cellectis, Chinook Therapeutics, F-Star Biotechnology Ltd., Genentech Inc. (a subsidiary of F. Hoffmann-La Roche Ltd.), Genmab A/S, GlaxoSmithKline plc, Grifols USA LLC, Bristol Myers Squibb, ImmunoGen, Inc., Immunomedics, Inc., Janssen BioTech Inc., Johnson &amp; Johnson, Macrogenics, Inc., Pieris Pharmaceuticals, Inc., Sanofi-Aventis US LLC, Takeda Pharmaceuticals U.S.A., Inc., Xencor, Inc. and Zymeworks Biopharmaceuticals, Inc. We expect to compete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any products we successfully develop, switch from our products to new products or choose to use our products only in limited circumstances, which could adversely affect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of our product candidates, if approved, may become subject to unfavorable pricing regulations or third-party coverage and reimbursement policies, which would harm our business</w:t>
      </w:r>
      <w:r>
        <w:rPr>
          <w:rFonts w:ascii="Times New Roman" w:cs="Times New Roman" w:eastAsia="Times New Roman" w:hAnsi="Times New Roman"/>
          <w:sz w:val="18"/>
          <w:szCs w:val="18"/>
          <w:b w:val="1"/>
          <w:bCs w:val="1"/>
          <w:color w:val="auto"/>
        </w:rPr>
        <w:t>.</w:t>
      </w:r>
    </w:p>
    <w:p>
      <w:pPr>
        <w:spacing w:after="0" w:line="51"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The success of our product candidates, if approved, will depend upon, among other things, their acceptance by physicians, patients, third-party payors, and other members of the medical community as a therapeutic and cost-effective alternative to competing products and treatments. If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or healthcare reform measures may have a material adverse effect on our business and results of operations.</w:t>
      </w:r>
    </w:p>
    <w:p>
      <w:pPr>
        <w:spacing w:after="0" w:line="121"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legal and political challenges, as well as efforts to repeal, replace delay, circumvent, or loosen certain aspects of the ACA or mandates required thereby. Additionally, Congress has considered legislation that would repeal or repeal and replace all or part of the ACA. While Congress has not passed comprehensive repeal legislation, it has enacted laws that modify certain provisions of the ACA, such as removing penalties as of January 1, 2019 for not complying with the ACA’s individual mandate to carry health insurance, delaying the implementation of certain ACA-mandated fees, and increasing the point-of-sale discount that is owed by pharmaceutical manufacturers who participate in Medicare Part D. On June 17, 2021, the U.S. Supreme Court dismissed the most recent judicial challenge to the ACA brought by several states without specifically ruling on the constitutionality of the ACA. It is unclear how other healthcare reform measures of the Biden administration or other efforts, if any, to</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0" w:name="page41"/>
    <w:bookmarkEnd w:id="40"/>
    <w:p>
      <w:pPr>
        <w:spacing w:after="0" w:line="282" w:lineRule="auto"/>
        <w:rPr>
          <w:sz w:val="20"/>
          <w:szCs w:val="20"/>
          <w:color w:val="auto"/>
        </w:rPr>
      </w:pPr>
      <w:r>
        <w:rPr>
          <w:rFonts w:ascii="Times New Roman" w:cs="Times New Roman" w:eastAsia="Times New Roman" w:hAnsi="Times New Roman"/>
          <w:sz w:val="18"/>
          <w:szCs w:val="18"/>
          <w:color w:val="auto"/>
        </w:rPr>
        <w:t>challenge, repeal or replace the ACA will impact our business. In addition, other legislative changes have been proposed and adopted in the United States since the ACA was enacted:</w:t>
      </w:r>
    </w:p>
    <w:p>
      <w:pPr>
        <w:spacing w:after="0" w:line="54" w:lineRule="exact"/>
        <w:rPr>
          <w:sz w:val="20"/>
          <w:szCs w:val="20"/>
          <w:color w:val="auto"/>
        </w:rPr>
      </w:pPr>
    </w:p>
    <w:p>
      <w:pPr>
        <w:jc w:val="both"/>
        <w:ind w:left="1000" w:hanging="493"/>
        <w:spacing w:after="0" w:line="258"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temporary suspension, a 1% payment reduction will occur beginning April 1, 2022 through June 30, 2022, and the 2% payment reduction will resume on July 1, 2022.</w:t>
      </w:r>
    </w:p>
    <w:p>
      <w:pPr>
        <w:spacing w:after="0" w:line="75" w:lineRule="exact"/>
        <w:rPr>
          <w:rFonts w:ascii="Times New Roman" w:cs="Times New Roman" w:eastAsia="Times New Roman" w:hAnsi="Times New Roman"/>
          <w:sz w:val="18"/>
          <w:szCs w:val="18"/>
          <w:color w:val="auto"/>
        </w:rPr>
      </w:pPr>
    </w:p>
    <w:p>
      <w:pPr>
        <w:jc w:val="both"/>
        <w:ind w:left="1000" w:hanging="493"/>
        <w:spacing w:after="0" w:line="258"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75"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2030 unless additional Congressional action is taken.</w:t>
      </w:r>
    </w:p>
    <w:p>
      <w:pPr>
        <w:spacing w:after="0" w:line="79"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including by tying reimbursement to the price of products in other developed countries. For example, proposals have been made to increase drug manufacturer competition, increase the negotiating power of certain federal healthcare programs, incentivize manufacturers to lower the list price of their products, and reduce the out-of-pocket costs of drug products paid by consumers.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On January 20, 2021, Joe Biden was sworn in as the U.S. president, and the Democratic Party obtained an equal number of seats in the U.S. Senate as the Republican Party, as well as maintained control of the U.S. House of Representatives. Many expect that the Biden administration will pursue stronger healthcare consumer protections, and it may act to overturn some of the prior Trump administration initiatives; however, the legislative and regulatory agendas, as they relate to the healthcare and pharmaceutical industries and the economy as a whole, of the Biden administration and the U.S. Congress currently remain uncertain. Any new laws and initiatives may result in additional reductions in Medicare and other healthcare funding or impose additional regulatory requirements on drug development or approval, which could have a material adverse effect on our future customers and accordingly, our financial operations.</w:t>
      </w:r>
    </w:p>
    <w:p>
      <w:pPr>
        <w:spacing w:after="0" w:line="88"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candidates we successfully develop or additional pricing pressures.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or formulation may result in additional costs or delay.</w:t>
      </w:r>
    </w:p>
    <w:p>
      <w:pPr>
        <w:spacing w:after="0" w:line="12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As product candidates are developed through preclinical studies to late-stage clinical trials toward approval and commercialization, it is common that various aspects of the development program, such as manufacturing methods, manufacturing sites, and formulation, are altered along the way in an effort to optimize processes and results. Any of these changes could cause our product candidates to perform differently and affect the results of planned clinical trials or other future clinical trials conducted with the altered materials. Such changes may also require additional testing, clinical trials, FDA notification, or FDA approval. Any of the foregoing could limit our future revenues and growth.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and Compliance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long-term success depends, in part, upon our ability to develop, receive regulatory approval for and commercialize our product candidates.</w:t>
      </w:r>
    </w:p>
    <w:p>
      <w:pPr>
        <w:spacing w:after="0" w:line="12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75"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The FDA and other comparable regulatory agencies in foreign countries impose substantial and rigorous requirements for the development, production, marketing authorization and commercial introduction of drug products. These requirements include non-clinical,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75"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In the United States, to obtain approval from the FDA to market any of our future biologic products, we will be required to submit a BLA to the FDA. Ordinarily, the FDA requires a sponsor to support a BLA with substantial evidence of the product’s safety, purity, and potency in treating the targeted indication based on data derived from adequate and well-controlled clinical trials, including Phase 3 safety and efficacy trials conducted in patients with the disease or condition being targeted.</w:t>
      </w:r>
    </w:p>
    <w:p>
      <w:pPr>
        <w:spacing w:after="0" w:line="72"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Developing and obtaining regulatory approval for product candidates is a lengthy process, often taking a number of years, is uncertain and expensive. All of the product candidates that we are developing, or may develop in the future, require research and development, non-clinical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75"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non-clinical tests or clinical trials above what we currently have planned will be required, will begin as planned, will need to be restructured, or will be completed on schedule, or at all. Significant delays relating to any preclinical or clinical trials also could shorten any periods during which we may have the exclusive right to commercialize our product candidates or allow our competitors to bring products to market before we do. This may prevent us from receiving marketing approvals and impair our ability to successfully commercialize our product candidates and may harm our business and results of operations. In addition, many of the factors that cause, or lead to, delays in clinical trials may ultimately lead to the denial of marketing approval of any of our product candidates. If any of this occurs, our business, financial condition, results of operations, and prospects will be materially harmed.</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67"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79"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79" w:lineRule="exact"/>
        <w:rPr>
          <w:sz w:val="20"/>
          <w:szCs w:val="20"/>
          <w:color w:val="auto"/>
        </w:rPr>
      </w:pPr>
    </w:p>
    <w:p>
      <w:pPr>
        <w:jc w:val="both"/>
        <w:ind w:right="20" w:firstLine="510"/>
        <w:spacing w:after="0" w:line="282" w:lineRule="auto"/>
        <w:rPr>
          <w:sz w:val="20"/>
          <w:szCs w:val="20"/>
          <w:color w:val="auto"/>
        </w:rPr>
      </w:pPr>
      <w:r>
        <w:rPr>
          <w:rFonts w:ascii="Times New Roman" w:cs="Times New Roman" w:eastAsia="Times New Roman" w:hAnsi="Times New Roman"/>
          <w:sz w:val="18"/>
          <w:szCs w:val="18"/>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2" w:name="page43"/>
    <w:bookmarkEnd w:id="42"/>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Some of our product candidates previously in development experienced regulatory and/or clinical setbacks. Clinical development has been discontinued for product candidates otlertuzumab, APVO414, and APVO210. Both APVO414 and APVO210 were discontinued after patients developed ADA. Most recently, in 2019, we elected to discontinue the APVO210 development program following the review of data from the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The cause of the ADA is uncertain; however, we believe that appearance of ADA is related to the mechanism of action of APVO210, and not due to the structure, or sequences characteristic of the ADAPTIR platform. Although we have re-designed certain components of the ADAPTIR platform based on what we have learned in prior clinical trials, there is no guarantee that the occurrence of ADA or other clinical setbacks will not occur in the development of our existing and future ADAPTIR product candidates.</w:t>
      </w:r>
    </w:p>
    <w:p>
      <w:pPr>
        <w:spacing w:after="0" w:line="80"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Failure to obtain regulatory approval in one jurisdiction, however, may impact the decision of other jurisdictions. We may not be able to file for regulatory approvals and may not receive necessary approvals to commercialize our products and products in development in any market on a timely basis, if at all.</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and will continue to be subject to ongoing obligations and continued regulatory review, which may result in significant additional expense. We may be subject to penalties if we fail to comply with regulatory requirements or experience unanticipated problems with our products.</w:t>
      </w:r>
    </w:p>
    <w:p>
      <w:pPr>
        <w:spacing w:after="0" w:line="67"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We and our product candidates are subject to extensive and ongoing requirements of and review by the FDA and other regulatory authorities, including requirements related to the conduct of clinical and non-clinical studies, manufacturing processes, post-approval clinical data, labeling, packaging, distribution, adverse event reporting, storage, recordkeeping, export, import, advertising, marketing, and promotional activities for such products. These requirements further include submissions of safety and other post-marketing information, including manufacturing deviations and reports, registration and listing requirements, the payment of annual fees, continued compliance with GMP-requirements relating to manufacturing, quality control, quality assurance, and corresponding maintenance of records and documents, and requirements regarding the distribution of samples to physicians.</w:t>
      </w:r>
    </w:p>
    <w:p>
      <w:pPr>
        <w:spacing w:after="0" w:line="79"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among other actions,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75"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We and any of our collaborators could be subject to periodic unannounced inspections by the FDA to monitor and ensure compliance with GMPs and other FDA regulatory requirements. Application holders must further notify the FDA, and depending on the nature of the change, obtain FDA pre-approval for product and manufacturing changes. In addition, later discovery of previously unknown adverse events or that the product is less effective than previously thought or other problems with our products, manufacturers or manufacturing processes, or failure to comply with regulatory requirements both before and after approval, may yield various results, including:</w:t>
      </w:r>
    </w:p>
    <w:p>
      <w:pPr>
        <w:spacing w:after="0" w:line="75" w:lineRule="exact"/>
        <w:rPr>
          <w:sz w:val="20"/>
          <w:szCs w:val="20"/>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or distribution, or marketing of such products;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 and product labels;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corrective information;</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other clinical trials;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of clinical trials;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establish or modify a REMS or a similar strategy;</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way the product is administered;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becoming less competitive;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3" w:name="page44"/>
    <w:bookmarkEnd w:id="43"/>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untitled, or cyber letters;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marketing or withdrawal of the products from the market;</w:t>
      </w:r>
    </w:p>
    <w:p>
      <w:pPr>
        <w:spacing w:after="0" w:line="144"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of products;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44"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144"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product approval and market acceptance of the particular product candidate, if approved, or could substantially increase the costs and expenses of developing and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72"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The FDA’s policies may change and additional government laws and regulations may be enacted that could prevent, limit, or delay regulatory approval of our product candidates, that could limit the marketability of our product candidates, or that could impose additional regulatory obligations on us. By example the change in the U.S. administration that occurred on January 20, 2021 may result in new or revised laws, regulatory requirements, and associated compliance obligations, as well as postponed or frozen regulatory requirements. Changes in medical practice and standard of care may also impact the marketability of our product candidates. If we are slow or unable to adapt to changes in existing requirements, standards of care, or the adoption of new requirements or policies, or if we are not able to maintain regulatory compliance, we may lose any marketing approval that we may have obtained and be subject to regulatory enforcement action.</w:t>
      </w:r>
    </w:p>
    <w:p>
      <w:pPr>
        <w:spacing w:after="0" w:line="81" w:lineRule="exact"/>
        <w:rPr>
          <w:sz w:val="20"/>
          <w:szCs w:val="20"/>
          <w:color w:val="auto"/>
        </w:rPr>
      </w:pPr>
    </w:p>
    <w:p>
      <w:pPr>
        <w:jc w:val="both"/>
        <w:ind w:right="20" w:firstLine="510"/>
        <w:spacing w:after="0" w:line="282" w:lineRule="auto"/>
        <w:rPr>
          <w:sz w:val="20"/>
          <w:szCs w:val="20"/>
          <w:color w:val="auto"/>
        </w:rPr>
      </w:pPr>
      <w:r>
        <w:rPr>
          <w:rFonts w:ascii="Times New Roman" w:cs="Times New Roman" w:eastAsia="Times New Roman" w:hAnsi="Times New Roman"/>
          <w:sz w:val="18"/>
          <w:szCs w:val="18"/>
          <w:color w:val="auto"/>
        </w:rPr>
        <w:t>Should any of the above actions take place, they could adversely affect our ability to achieve or sustain profitability. Further, the cost of compliance with post-approval regulations may have a negative effect on our operating results and financial condition.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foreign, federal, state, and local healthcare laws, including fraud and abuse and health information privacy and security laws, we could face substantial penalties and our business, results of operations, financial condition and prospects could be adversely affected.</w:t>
      </w:r>
    </w:p>
    <w:p>
      <w:pPr>
        <w:spacing w:after="0" w:line="5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As a biotechnology company, even though we do not provide healthcare services or receive payments directly from or bill directly to Medicare, Medicaid, or other third-party payors for our products, certain federal, state, local and foreign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w:t>
      </w:r>
    </w:p>
    <w:p>
      <w:pPr>
        <w:spacing w:after="0" w:line="72" w:lineRule="exact"/>
        <w:rPr>
          <w:sz w:val="20"/>
          <w:szCs w:val="20"/>
          <w:color w:val="auto"/>
        </w:rPr>
      </w:pPr>
    </w:p>
    <w:p>
      <w:pPr>
        <w:jc w:val="both"/>
        <w:ind w:left="1020" w:hanging="499"/>
        <w:spacing w:after="0" w:line="25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w:t>
      </w:r>
    </w:p>
    <w:p>
      <w:pPr>
        <w:spacing w:after="0" w:line="79" w:lineRule="exact"/>
        <w:rPr>
          <w:rFonts w:ascii="Times New Roman" w:cs="Times New Roman" w:eastAsia="Times New Roman" w:hAnsi="Times New Roman"/>
          <w:sz w:val="18"/>
          <w:szCs w:val="18"/>
          <w:color w:val="auto"/>
        </w:rPr>
      </w:pPr>
    </w:p>
    <w:p>
      <w:pPr>
        <w:jc w:val="both"/>
        <w:ind w:left="1020" w:hanging="499"/>
        <w:spacing w:after="0" w:line="258"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including the federal False Claims Act, and false statement laws and civil monetary penalty laws, which impose criminal and civil penalties, including through civil whistleblower or qui tam actions, on individuals or entities for, among other things, knowingly presenting, or causing to be presented, claims for payment or approval from Medicare, Medicaid or other federal health care programs that are false or fraudulent or knowingly making any materially false statement in connection with the delivery or payment for healthcare benefits, items or services;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jc w:val="both"/>
        <w:ind w:left="1020" w:hanging="499"/>
        <w:spacing w:after="0" w:line="255" w:lineRule="auto"/>
        <w:tabs>
          <w:tab w:leader="none" w:pos="10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as amended,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80" w:lineRule="exact"/>
        <w:rPr>
          <w:rFonts w:ascii="Times New Roman" w:cs="Times New Roman" w:eastAsia="Times New Roman" w:hAnsi="Times New Roman"/>
          <w:sz w:val="18"/>
          <w:szCs w:val="18"/>
          <w:color w:val="auto"/>
        </w:rPr>
      </w:pPr>
    </w:p>
    <w:p>
      <w:pPr>
        <w:jc w:val="both"/>
        <w:ind w:left="1020" w:hanging="499"/>
        <w:spacing w:after="0" w:line="274" w:lineRule="auto"/>
        <w:tabs>
          <w:tab w:leader="none" w:pos="102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the Health Information Technology for Economic and Clinical Health, or HITECH, and their respective implementing regulations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64" w:lineRule="exact"/>
        <w:rPr>
          <w:rFonts w:ascii="Times New Roman" w:cs="Times New Roman" w:eastAsia="Times New Roman" w:hAnsi="Times New Roman"/>
          <w:sz w:val="17"/>
          <w:szCs w:val="17"/>
          <w:color w:val="auto"/>
        </w:rPr>
      </w:pPr>
    </w:p>
    <w:p>
      <w:pPr>
        <w:jc w:val="both"/>
        <w:ind w:left="1000" w:hanging="493"/>
        <w:spacing w:after="0" w:line="258"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and its implementing regulations, which requires certain manufacturers of drugs, biologics, medical devices and medical supplies for which payment is available under Medicare, Medicaid or the CMS, certain payments and transfers of value made to physicians and teaching hospitals, and ownership or investment interests held by physicians and their immediate family members. Effective January 1, 2022, applicable manufacturers are required to report information regarding payments and transfers of value provided to physician assistants, nurse practitioners, clinical nurse specialists, certified nurse anesthetists, and certified nurse-midwives; and,</w:t>
      </w:r>
    </w:p>
    <w:p>
      <w:pPr>
        <w:spacing w:after="0" w:line="75" w:lineRule="exact"/>
        <w:rPr>
          <w:rFonts w:ascii="Times New Roman" w:cs="Times New Roman" w:eastAsia="Times New Roman" w:hAnsi="Times New Roman"/>
          <w:sz w:val="18"/>
          <w:szCs w:val="18"/>
          <w:color w:val="auto"/>
        </w:rPr>
      </w:pPr>
    </w:p>
    <w:p>
      <w:pPr>
        <w:jc w:val="both"/>
        <w:ind w:left="1000" w:hanging="493"/>
        <w:spacing w:after="0" w:line="254"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and industry codes that require drug manufacturers to report information related to payments and other transfers of value to healthcare providers or entities, or marketing expenditures.</w:t>
      </w:r>
    </w:p>
    <w:p>
      <w:pPr>
        <w:spacing w:after="0" w:line="84"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79"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interactions with specialty pharmacies, and patient assistance programs may also violate fraud and abuse laws. To the extent that any product we make is sold in a foreign country, we may be subject to similar foreign laws and regulations.</w:t>
      </w:r>
    </w:p>
    <w:p>
      <w:pPr>
        <w:spacing w:after="0" w:line="75"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In addition, certain state and local laws mandate that we comply with a state code of conduct, adopt a company code of conduct under state criteria, disclose marketing payments made to health care professionals and entities, disclose drug pricing information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75"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state, local and foreign privacy, security, fraud and transparency laws may prove costly. If our past or present operations, or those of our distributors are found to be in violation of any of the laws described above or any other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5" w:name="page46"/>
    <w:bookmarkEnd w:id="45"/>
    <w:p>
      <w:pPr>
        <w:jc w:val="both"/>
        <w:spacing w:after="0" w:line="258" w:lineRule="auto"/>
        <w:rPr>
          <w:sz w:val="20"/>
          <w:szCs w:val="20"/>
          <w:color w:val="auto"/>
        </w:rPr>
      </w:pPr>
      <w:r>
        <w:rPr>
          <w:rFonts w:ascii="Times New Roman" w:cs="Times New Roman" w:eastAsia="Times New Roman" w:hAnsi="Times New Roman"/>
          <w:sz w:val="18"/>
          <w:szCs w:val="18"/>
          <w:color w:val="auto"/>
        </w:rPr>
        <w:t>governmental regulations that apply to us, we may be subject to sanctions, including civil and administrative penalties, criminal fines, damages, disgorgement, exclusion from participation in U.S. federal or state health care 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51"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independent contractors, consultants, commercial partners, manufacturers, investigators, or CROs could include intentional, reckless, negligent, or unintentional failures to comply with FDA regulations or applicable fraud and abuse laws, provide accurate information to the FDA, properly calculate pricing information required by federal programs, comply with federal procurement rules or contract terms,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Further, due to the risk that a judgment in a False Claims Act case could result in exclusion from federal health programs or debarment from government contracts, whistleblower cases often result in large settlements.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51"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proprietary rights, our business could be harmed.</w:t>
      </w:r>
    </w:p>
    <w:p>
      <w:pPr>
        <w:spacing w:after="0" w:line="12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protecting our intellectual property depends significantly on our ability to:</w:t>
      </w:r>
    </w:p>
    <w:p>
      <w:pPr>
        <w:spacing w:after="0" w:line="75" w:lineRule="exact"/>
        <w:rPr>
          <w:sz w:val="20"/>
          <w:szCs w:val="20"/>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U.S. and foreign patents, that are meaningful to our products, including defending those patents against adverse claims;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patent term extension for the patents covering our approved products;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trade secrets;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proprietary rights of others; and,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others from infringing our proprietary rights.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6" w:name="page47"/>
    <w:bookmarkEnd w:id="46"/>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We may not be able to obtain issued patents relating to our technology or product candidates. Even if issued, patents may inadvertently lapse or be challenged, narrowed, invalidated, or circumvented, which could limit our ability to stop competitors from marketing similar products or limit the duration of patent protection we may have for our product candidates.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84"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additional opposition proceedings, like the proceedings described above, to determine the validity of our foreign patents or our competitors’ foreign patents, which could result in substantial costs and diversion of our efforts.</w:t>
      </w:r>
    </w:p>
    <w:p>
      <w:pPr>
        <w:spacing w:after="0" w:line="75"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72"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84"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In addition to patent litigation, we may be a party to adversarial proceedings before the Patent Trial and Appeal Board (PTAB) of the US Patent and Trademark Office (USPTO), or the Opposition Division of the European Patent Office (EPO). Potential proceedings before the PTAB include inter partes review proceedings, post-grant review proceedings and interference proceedings. Depending on our level of success at the PTAB and Opposition Division of the EPO, these proceedings could adversely impact our intellectual property rights with respect to our products and technology.</w:t>
      </w:r>
    </w:p>
    <w:p>
      <w:pPr>
        <w:spacing w:after="0" w:line="72"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spacing w:after="0" w:line="79"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72"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We also will rely on current and future trademarks to establish and maintain recognized brands, including APTEVO THERAPEUTICS, APTEVO BIOTHERAPEUTICS, APTEVO RESEARCH AND DEVELOPMENT, the Aptevo logo, ADAPTIR, and ADAPTIR-FLEX in relevant jurisdictions. If we fail to acquire and protect such trademarks, our ability to market and sell our products, if approved for marketing, will be harmed. In addition, our current and future trademarks may be challenged, infringed, circumvented, declared generic, lapsed or determined to be infringing on or dilutive of other marks and we may not be able to protect our rights in these trademarks, which we need in order to build name recognition. Any of the foregoing could have a material and adverse effect on our business, financial condition and operating results.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If approved, our products regulated as biologics may face competition from biosimilars approved through an abbreviated regulatory pathway.</w:t>
      </w:r>
    </w:p>
    <w:p>
      <w:pPr>
        <w:spacing w:after="0" w:line="121"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of 2010, or collectively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w:t>
      </w:r>
    </w:p>
    <w:p>
      <w:pPr>
        <w:spacing w:after="0" w:line="79"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There is a similar abbreviated pathway for the approval of biosimilar products in the EU. Reference products in the EU benefit from an eight year data exclusivity period during which the data included in the dossier for the reference product may not be referenced for the purposes of an abbreviated biosimilar application. Following the expiration of the data exclusivity period, there is an additional two year period of market exclusivity during which a biosimilar marketing authorization application can be submitted, and the innovator’s data may be referenced, but no product can be placed on the market until the expiration of such period. The overall 10-year period can be extended to a maximum of 11 years in certain circumstances. As in the U.S., there is no guarantee that a product will qualify for the prescribed period of exclusivity and, even if a product does qualify, another company may market a competing version of the reference product if such company obtained a marketing authorization with a complete independent data package of pharmaceutical tests, preclinical tests and clinical trials.</w:t>
      </w:r>
    </w:p>
    <w:p>
      <w:pPr>
        <w:spacing w:after="0" w:line="84"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Moreover, the extent to which a biosimilar, once licensed, will be substituted for any one of our reference products in a way that is similar to traditional generic substitution for non-biological products is not yet clear, and will depend on a number of marketplace and regulatory factors that are still developing. If competitors are able to obtain marketing approval for biosimilars referencing any of our products, if approved, our products may become subject to competition from such biosimilars, which would impair our ability to successfully commercialize and generate revenues from sales of such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choose to file patent infringement claims against us.</w:t>
      </w:r>
    </w:p>
    <w:p>
      <w:pPr>
        <w:spacing w:after="0" w:line="121"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8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79"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Patent Trial Appeals Board and opposition proceedings in the European Patent Office, regarding intellectual property rights that could impact our products and technology.</w:t>
      </w:r>
    </w:p>
    <w:p>
      <w:pPr>
        <w:spacing w:after="0" w:line="72"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8" w:name="page49"/>
    <w:bookmarkEnd w:id="48"/>
    <w:p>
      <w:pPr>
        <w:jc w:val="both"/>
        <w:spacing w:after="0" w:line="282" w:lineRule="auto"/>
        <w:rPr>
          <w:sz w:val="20"/>
          <w:szCs w:val="20"/>
          <w:color w:val="auto"/>
        </w:rPr>
      </w:pPr>
      <w:r>
        <w:rPr>
          <w:rFonts w:ascii="Times New Roman" w:cs="Times New Roman" w:eastAsia="Times New Roman" w:hAnsi="Times New Roman"/>
          <w:sz w:val="18"/>
          <w:szCs w:val="18"/>
          <w:color w:val="auto"/>
        </w:rPr>
        <w:t>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Aptevo trademarks may be opposed which could have a material and adverse effect on our business.</w:t>
      </w:r>
    </w:p>
    <w:p>
      <w:pPr>
        <w:spacing w:after="0" w:line="12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We have applications pending that cover the APTEVO THERAPEUTICS, APTEVO BIOTHERAPEUTICS, and APTEVO RESEARCH AND DEVELOPMENT trademarks. We refer to these trademarks as our house marks. If a third 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 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12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our obligations in our intellectual property licenses with third parties, could result in loss of license rights or other damages.</w:t>
      </w:r>
    </w:p>
    <w:p>
      <w:pPr>
        <w:spacing w:after="0" w:line="12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and know-how, the value of our technology and product candidates could be adversely affected.</w:t>
      </w:r>
    </w:p>
    <w:p>
      <w:pPr>
        <w:spacing w:after="0" w:line="51"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Related to Collaborations and Other Agreements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and maintaining collaborations that leverage our capabilities in pursuit of developing and commercializing our product candidates.</w:t>
      </w:r>
    </w:p>
    <w:p>
      <w:pPr>
        <w:spacing w:after="0" w:line="51"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For each of our product candidates we plan to evaluate the merits of entering into collaboration arrangements with third parties, including leading biotechnology companies or non-governmental organizations. In July 2017, we entered into a collaboration agreement with Alligator pursuant to which Aptevo R&amp;D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 We intend to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86"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Our collaboration agreement with Alligator, or any collaboration agreement we may consider entering into, may not be successful and the success of our collaboration arrangements will depend heavily on the efforts and activities of our collaborative partners. It 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likely that our collaborative partners will have significant discretion in determining the efforts and resources that they will apply to these collaborations.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risks that we are subject to in any of our collaborations include, among others:</w:t>
      </w:r>
    </w:p>
    <w:p>
      <w:pPr>
        <w:spacing w:after="0" w:line="117" w:lineRule="exact"/>
        <w:rPr>
          <w:sz w:val="20"/>
          <w:szCs w:val="20"/>
          <w:color w:val="auto"/>
        </w:rPr>
      </w:pPr>
    </w:p>
    <w:p>
      <w:pPr>
        <w:ind w:left="1000" w:hanging="493"/>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not commit adequate resources to the development, marketing and distribution of any collaboration products, limiting our potential revenues from these products;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experience financial difficulties and may therefore be unable to meet their commitments to us;</w:t>
      </w:r>
    </w:p>
    <w:p>
      <w:pPr>
        <w:spacing w:after="0" w:line="144"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pursue a competing product candidate developed either independently or in collaboration with others, including our competitors;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terminate our relationship.</w:t>
      </w:r>
    </w:p>
    <w:p>
      <w:pPr>
        <w:spacing w:after="0" w:line="144"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our collaboration agreement with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 Due to the ongoing COVID-19 pandemic, we may experience delays in opportunities to develop our product candidates, due to financial and other impacts on potential partners.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our separation from Emergent, we and Emergent agreed to indemnify the other party for certain liabilities. The Emergent indemnity may not be sufficient to hold us harmless from the full amount of liabilities for which Emergent will be allocated responsibility, and Emergent may not be able to satisfy its indemnification obligations in the future.</w:t>
      </w:r>
    </w:p>
    <w:p>
      <w:pPr>
        <w:spacing w:after="0" w:line="67"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Pursuant to the separation agreement and certain other agreements with Emergent, Emergent has agreed to indemnify us for certain liabilities, and we agreed to indemnify Emergent for certain liabilities. Indemnities that we may be required to provide Emergent are not subject to any cap, may be significant and could negatively impact our business, particularly indemnities relating to our actions that could impact the tax-free nature of the distribution. Third parties could also seek to hold us responsible for any of the liabilities that Emergent has agreed to retain. Any amounts we are required to pay pursuant to these indemnification obligations and other liabilities could require us to divert cash that would otherwise have been used in furtherance of our operating business. Further, the indemnity from Emergent may not be sufficient to protect us against the full amount of such liabilities, and Emergent may not be able to fully satisfy its indemnification obligations. Moreover, even if we ultimately succeed in recovering from Emergent any amounts for which we are held liable, we may be temporarily required to bear these losses ourselves. Each of these risks could negatively affect our business, results of operations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 and General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12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Our stock price has fluctuated in the past and is likely to be volatile in the future. Since August 1, 2016, the reported closing price of our common stock has fluctuated between $3.11 and $112 per share (as adjusted to reflect our 1-for-14 reverse stock split of our outstanding common stock that was effective on March 26, 2020). The stock market in general, and the market for biotechnology companies in particular, have experienced extreme volatility that has often been unrelated to the operating performance of particular companies. In particular, the stock market has experienced extreme volatility in recent months as a result of the war in Ukraine and geopolitical climate. The market price of our common stock may fluctuate significantly due to a number of factors, some of which may be beyond our control or unrelated to our operations, including, among others:</w:t>
      </w:r>
    </w:p>
    <w:p>
      <w:pPr>
        <w:spacing w:after="0" w:line="79" w:lineRule="exact"/>
        <w:rPr>
          <w:sz w:val="20"/>
          <w:szCs w:val="20"/>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estimated by securities analysts or management, or our ability to meet those estimates;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or negative announcements by our competitors, suppliers, or partners regarding their own performance;</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expenses, and results of clinical and preclinical trials of our product candidates;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clinical trial results and product introductions by us or our competitors;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acquisitions, collaborations, financings or other transactions by us or our competitors;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of our product candidates;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0" w:name="page51"/>
    <w:bookmarkEnd w:id="50"/>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delay of a development program;</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or actual sales of IXINITY by Medexus;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to what extent future proceeds are received under our Royalty Purchase Agreement with HCR;</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cash flows or results of operations;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comparable companies;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or similar global health challenges;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industry conditions and domestic and global financial, economic, and geo-political instability; and,</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44"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72"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event that coverage under our directors’ and officers’ liability insurance is reduced or terminated as a result of an ownership change or otherwise, our indemnification obligations and limitations of our directors’ and officers’ liability insurance may have a material adverse effect on our financial condition, results of operations and cash flows.</w:t>
      </w:r>
    </w:p>
    <w:p>
      <w:pPr>
        <w:spacing w:after="0" w:line="67"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Under Delaware law, our certificate of incorporation, and our bylaws and certain indemnification agreements to which we are a party, we have an obligation to indemnify, or we have otherwise agreed to indemnify, certain of our current and former directors and officers with respect to past, current, and future investigations and litigation. In order to reduce the risk of expense of these obligations, we maintain directors’ and officers’ liability insurance. However, as a result of the Tang Ownership Change, the cost to us of our directors’ and officers’ liability insurance coverage has increased, and it may continue to increase in the future, or the coverage thereunder may be reduced or terminated in full. In the event that the coverage under our directors’ and officers’ liability insurance is reduced or terminated, we will be required to pay the expenses of indemnifying our current and former directors and officers in their defense of current and future investigations and litigation, which expenses may be significant. The increased costs to us of our directors’ and officers’ liability insurance coverage, or our indemnification obligations if our directors’ and officers’ liability insurance coverage is reduced or terminated, could result in the diversion of our financial resources, and may have a material adverse effect on our financial condition, results of operations and cash flows.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maintain effective internal controls, we may not be able to accurately report our financial results and our business could be harmed.</w:t>
      </w:r>
    </w:p>
    <w:p>
      <w:pPr>
        <w:spacing w:after="0" w:line="121"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8"/>
          <w:szCs w:val="18"/>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In the past, we were an emerging growth company and availed ourselves of the exemption from the requirement that our independent registered public accounting firm attest to the effectiveness of our internal control over financial reporting under Section 404. However, we will no longer avail ourselves of this exemption since we ceased to be an emerging growth company since August 2021.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89"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jc w:val="both"/>
        <w:spacing w:after="0" w:line="282" w:lineRule="auto"/>
        <w:rPr>
          <w:sz w:val="20"/>
          <w:szCs w:val="20"/>
          <w:color w:val="auto"/>
        </w:rPr>
      </w:pPr>
      <w:r>
        <w:rPr>
          <w:rFonts w:ascii="Times New Roman" w:cs="Times New Roman" w:eastAsia="Times New Roman" w:hAnsi="Times New Roman"/>
          <w:sz w:val="18"/>
          <w:szCs w:val="18"/>
          <w:color w:val="auto"/>
        </w:rPr>
        <w:t>harm our operations, financial reporting, or financial results and could result in an adverse opinion on our internal controls from our independent registered public accounting firm.</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public announcement of data from clinical trials or news of any developments related to our product pipeline may cause significant volatility in our stock price.</w:t>
      </w:r>
    </w:p>
    <w:p>
      <w:pPr>
        <w:spacing w:after="0" w:line="5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The announcement of data from clinical trials by us or our collaborative partners or news of any developments related to our key pipeline product candidates may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trials will support a filing for regulatory approval or even if approved, that any of our key pipeline products will become commercially successful.</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spacing w:after="0" w:line="67"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LLC (“Nasdaq”). The Nasdaq Stock Market LLC has minimum requirements that a company must meet in order to remain listed on Nasdaq, including corporate governance standards and a requirement that we maintain a minimum closing bid price of $1.00 per share.</w:t>
      </w:r>
    </w:p>
    <w:p>
      <w:pPr>
        <w:spacing w:after="0" w:line="68"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On April 1, 2022, the Company received a letter from Nasdaq indicating that it is not in compliance with Nasdaq Listing Rule 5550(b)(1), which requires companies listed on The Nasdaq Capital Market to maintain a minimum of $2,500,000 in stockholders’ equity for continued listing. On its annual report for the year ended December 31, 2021, the Company reported stockholders’ equity of $1,216,000, and, as a result, does not currently satisfy Listing Rule 5550(b)(1).</w:t>
      </w:r>
    </w:p>
    <w:p>
      <w:pPr>
        <w:spacing w:after="0" w:line="72"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Nasdaq’s letter has no immediate impact on the listing of the Company’s common stock, which will continue to be listed and traded on Nasdaq, subject to the Company’s compliance with the other continued listing requirements. Nasdaq’s letter provides the Company 45 calendar days, or until May 16, 2022, to submit a plan to regain compliance. If the plan is accepted, the Company can be granted up to 180 calendar days from April 1, 2022, to evidence compliance. There can be no assurance that the Company will be able to regain compliance with all applicable continued listing requirements or that its plan will be accepted by the Nasdaq staff. In the event the plan is not accepted by the Nasdaq staff, or in the event the plan is granted but the Company fails to regain compliance within the plan period, the Company would have the right to a hearing before an independent panel. The hearing request would stay any suspension or delisting action pending the conclusion of the hearing process and the expiration of any additional extension period granted by the panel following the hearing.</w:t>
      </w:r>
    </w:p>
    <w:p>
      <w:pPr>
        <w:spacing w:after="0" w:line="84"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If we fail to maintain such minimum requirements and a final determination is made by Nasdaq that our common stock must be delisted, the liquidity of our common stock would be adversely affected and the market price of our common stock could decrease. In addition, if delisted, we would no longer be subject to Nasdaq rules, including rules requiring us to have a certain number of independent directors and to meet other corporate governance standards. Our failure to be listed on Nasdaq or another established securities market would have a material adverse effect on the value of your investment in us.</w:t>
      </w:r>
    </w:p>
    <w:p>
      <w:pPr>
        <w:spacing w:after="0" w:line="75"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If our common stock is not listed on Nasdaq or another national exchange, the trading price of our common stock is below $5.00 per share and we have net tangible assets of $6,000,000 or less, the open-market trading of our common stock will be subject to the “penny stock” rules promulgated under the Securities Exchange Act of 1934, as amended. If our shares become subject to the “penny stock” rules, broker-dealers may find it difficult to effectuate customer transactions and trading activity in our securities may be adversely affected. Under these rules, broker-dealers who recommend such securities to persons other than institutional accredited investors must:</w:t>
      </w:r>
    </w:p>
    <w:p>
      <w:pPr>
        <w:spacing w:after="0" w:line="75" w:lineRule="exact"/>
        <w:rPr>
          <w:sz w:val="20"/>
          <w:szCs w:val="20"/>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special written suitability determination for the purchaser;</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the purchaser’s written agreement to the transaction prior to sale;</w:t>
      </w:r>
    </w:p>
    <w:p>
      <w:pPr>
        <w:spacing w:after="0" w:line="11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purchaser with risk disclosure documents which identify certain risks associated with investing in “penny stocks” and which describe the market for these “penny stocks” as well as a purchaser’s legal remedies; and</w:t>
      </w:r>
    </w:p>
    <w:p>
      <w:pPr>
        <w:spacing w:after="0" w:line="53"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signed and dated acknowledgment from the purchaser demonstrating that the purchaser has actually received the required risk disclosure document before a transaction in a “penny stock” can be completed.</w:t>
      </w:r>
    </w:p>
    <w:p>
      <w:pPr>
        <w:spacing w:after="0" w:line="54"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As a result of these requirements, the market price of our securities may be adversely impacted, and current stockholders may find it more difficult to sell our securities.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of ownership in Aptevo may be diluted in the future.</w:t>
      </w:r>
    </w:p>
    <w:p>
      <w:pPr>
        <w:spacing w:after="0" w:line="12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In the future, your percentage ownership in Aptevo may be diluted because of equity issuances for acquisitions, capital market transactions or otherwise, including, but not limited to, equity issuances under our existing Purchase Agreement with Lincoln Park Financial LLC, under our Equity Distribution Agreement with Piper Sandler, under our Rights Plan with Broadridge Corporate Issuer Solutions, Inc., upon the exercise of warrants issued in connection with our March 2019 public offering, and equity awards to our directors, officers and employees. Our employees have options to purchase shares of our common stock and from time to time, we expect to issue additional options, restricted stock units, or other stock-based awards to our employees under our employee benefits plans.</w:t>
      </w:r>
    </w:p>
    <w:p>
      <w:pPr>
        <w:spacing w:after="0" w:line="79"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under Delaware law and in our restated certificate of incorporation, amended and restated by-laws and rights agreement may discourage acquisition proposals, delay a change in control or prevent transactions that stockholders may consider favorable.</w:t>
      </w:r>
    </w:p>
    <w:p>
      <w:pPr>
        <w:spacing w:after="0" w:line="5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117" w:lineRule="exact"/>
        <w:rPr>
          <w:sz w:val="20"/>
          <w:szCs w:val="20"/>
          <w:color w:val="auto"/>
        </w:rPr>
      </w:pPr>
    </w:p>
    <w:p>
      <w:pPr>
        <w:ind w:left="1000" w:hanging="49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our directors;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removal of directors;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filling vacancies on the board;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nominations of candidates for election to the Board of Directors and other proposals;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act by written consent;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designate the terms of and issue a new series of preferred stock without stockholder approval.</w:t>
      </w:r>
    </w:p>
    <w:p>
      <w:pPr>
        <w:spacing w:after="0" w:line="117"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72"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 Tang is an interested stockholder for purposes of Section 203.</w:t>
      </w:r>
    </w:p>
    <w:p>
      <w:pPr>
        <w:spacing w:after="0" w:line="75"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Moreover, we currently have a short-term stockholder rights agreement in effect. This rights agreement was amended on November 4, 2021 to extend the expiration date of such agreement from November 8, 2021 to November 5, 2022. This rights agreement could render more difficult, or discourage a merger, tender offer, or assumption of control of the Company that is not approved by our Board that some stockholders may consider favorable. The rights agreement, however, should not interfere with any merger, tender or exchange offer or other business combination approved by our Board. Nor does the rights agreement prevent our Board from considering any offer that it considers to be in the best interest of our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bylaws include a forum selection clause, which may impact your ability to bring actions against us.</w:t>
      </w:r>
    </w:p>
    <w:p>
      <w:pPr>
        <w:spacing w:after="0" w:line="121"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Subject to certain limitations, our bylaws provide that, unless we consent in writing to the selection of an alternative forum, the Court of Chancery in the State of Delaware will be the sole and exclusive forum for any stockholder (including a beneficial owner)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3" w:name="page54"/>
    <w:bookmarkEnd w:id="53"/>
    <w:p>
      <w:pPr>
        <w:jc w:val="both"/>
        <w:spacing w:after="0" w:line="255" w:lineRule="auto"/>
        <w:rPr>
          <w:sz w:val="20"/>
          <w:szCs w:val="20"/>
          <w:color w:val="auto"/>
        </w:rPr>
      </w:pPr>
      <w:r>
        <w:rPr>
          <w:rFonts w:ascii="Times New Roman" w:cs="Times New Roman" w:eastAsia="Times New Roman" w:hAnsi="Times New Roman"/>
          <w:sz w:val="18"/>
          <w:szCs w:val="18"/>
          <w:color w:val="auto"/>
        </w:rPr>
        <w:t>bring: (a) any derivative action or proceeding brought on our behalf; (b) any action asserting a claim of breach of fiduciary duty owed by any of our directors, officers or other employees or our stockholders; (c) any action asserting a claim arising pursuant to any provision of the DGCL or our certificate of incorporation or bylaws; or (d) any action asserting a claim governed by the internal affairs doctrine. In addition, our bylaws provide that unless we consent in writing to the selection of an alternative forum, the federal district courts of the United States will be the exclusive forum for resolving any complaint asserting a cause of action arising under the federal securities laws of the United States against us, our officers, directors, employees or underwriters. These limitations on the forum in which stockholders may initiate action against us could create costs, inconvenience or otherwise adversely affect your ability to seek legal redress.</w:t>
      </w:r>
    </w:p>
    <w:p>
      <w:pPr>
        <w:spacing w:after="0" w:line="8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suits brought to enforce any duty or liability created by the Securities Act or the rules and regulations thereunder. As a result, a court may decline to enforce these exclusive forum provisions with respect to suits brought to enforce any duty or liability created by the Securities Act or any other claim for which the federal and state courts have concurrent jurisdiction, and our stockholders may not be deemed to have waived our compliance with the federal securities laws and the rules and regulations thereunder. If a court were to find the exclusive forum provisions to be inapplicable or unenforceable in an action, we may incur additional costs associated with resolving such action in other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periodic litigation, which could result in losses or unexpected expenditure of time and resources.</w:t>
      </w:r>
    </w:p>
    <w:p>
      <w:pPr>
        <w:spacing w:after="0" w:line="12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51"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8"/>
          <w:szCs w:val="18"/>
          <w:color w:val="auto"/>
        </w:rPr>
        <w:t>EU Member States, Switzerland and other countries have adopted data protection laws and regulations, which impose significant compliance obligations. For example, European Union, or EU, member states and other foreign jurisdictions, including Switzerland, have adopted data protection laws and regulations which impose significant compliance obligations. Moreover, the collection and use of personal health data in the EU is now governed under the EU General Data Protection Regulation, or the GDPR, effective in May 2018. The GDPR, which is wide-ranging in scope, imposed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GDPR increases our responsibility and liability in relation to personal data that we process, including in clinical trials, and we may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However, despite our ongoing efforts, we may not be successful either due to various factors within our control, such as limited financial or human resources, or other factors outside our control. It is also possible that local data protection authorities may have different interpretations of the GDPR, leading to potential inconsistencies amongst various EU member states. Any failure or alleged failure (including as a result of deficiencies in our policies, procedures, or measures relating to privacy, data security, marketing, or communications) by us to comply with laws, regulations, policies, legal or contractual obligations, industry standards, or regulatory guidance relating to privacy or data security, may result in governmental investigations and enforcement actions, litigation, fines and penalties or adverse publicity. In addition, we expect that there will continue to be new proposed laws, regulations and industry standards relating to privacy and data protection in the United States, the EU and other jurisdictions, such as the California Consumer Privacy Act of 2018, which has been characterized as the first “GDPR-like” privacy statute to be enacted in the United States, and we cannot determine the impact such future laws, regulations and standards may have on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 significant disruption in our information technology systems or breaches of data security, including due to a cyber-security incident, our business could be adversely affected.</w:t>
      </w:r>
    </w:p>
    <w:p>
      <w:pPr>
        <w:spacing w:after="0" w:line="5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We rely on information technology systems to keep financial records, capture laboratory data, maintain clinical trial data and corporate records, communicate with staff and external parties and operate other critical functions. Our information technology systems are potentially vulnerable to disruption due to breakdown, malicious intrusion and computer viruses or other disruptive events including but not limited to natural disaster. The impact of the ongoing COVID-19 pandemic also poses an increased security risk, due to the remote working environment.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4" w:name="page55"/>
    <w:bookmarkEnd w:id="54"/>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We also face the challenge of promptly detecting and remediating any cyber-security breaches. Our information technology systems security measures are focused on the prevention, detection and remediation of damage from computer viruses, unauthorized access, cyber-attack and other similar disruptions. However, our information technology systems protection measures may not be successful in preventing unauthorized access, intrusion and damage. Threats to our systems can derive from human error, fraud or malice on the part of employees or third parties, including computer hackers, encryption by ransomware, or may result from technological failure.</w:t>
      </w:r>
    </w:p>
    <w:p>
      <w:pPr>
        <w:spacing w:after="0" w:line="75"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If we were to experience a prolonged system disruption in our information technology systems or those of certain of our vendors, it could delay or negatively impact our development and commercialization of our product candidates, which could adversely impact our business. If operations at our facilities were disrupted, it may cause a material disruption in our business if we are not capable of restoring function on an acceptable timeframe.</w:t>
      </w:r>
    </w:p>
    <w:p>
      <w:pPr>
        <w:spacing w:after="0" w:line="68"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In addition, as discussed above, our information technology systems are potentially vulnerable to data security breaches—whether by employees or others, intentionally or unintentionally—which may expose sensitive or personal data to unauthorized persons. Such data security breaches could lead to the loss of trade secrets or other intellectual property, or could lead to the public exposure of personal information (including sensitive personal information) of our employees, customers and others, any of which could have a material adverse effect on our business, financial condition and results of operations.</w:t>
      </w:r>
    </w:p>
    <w:p>
      <w:pPr>
        <w:spacing w:after="0" w:line="75"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Moreover, a security breach or privacy violation that leads to destruction, loss, alteration, unauthorized use or access, disclosure or modification of, personally identifiable information or personal data, could harm our reputation, compel us to comply with federal, state and/or international breach notification laws, subject us to mandatory corrective or regulatory action, require us to verify the correctness of database contents and otherwise subject us to liability under laws and regulations that protect personal data, including the GDPR and the California Consumer Privacy Act of 2018, which could disrupt our business, result in increased costs or loss, and/or result in significant legal and financial exposure. In addition, a data security breach could result in loss of clinical trial data or damage to the integrity of that data.</w:t>
      </w:r>
    </w:p>
    <w:p>
      <w:pPr>
        <w:spacing w:after="0" w:line="79"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If we are unable to implement and maintain adequate organizational and technical measures to prevent such security breaches or privacy violations, or to respond adequately in the event of a breach, our operations could be disrupted, and we may suffer loss of reputation, problems with regulatory authorities, financial loss and other negative consequences. In addition, these breaches and other inappropriate access can be difficult to detect, and any delay in identifying them may lead to increased harm of the type described above.</w:t>
      </w:r>
    </w:p>
    <w:p>
      <w:pPr>
        <w:spacing w:after="0" w:line="72"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If a breach of our information technology systems occurs, we may incur additional costs related to repairing or rebuilding our internal systems, complying with breach notification laws, defending legal claims or proceedings, responding to regulatory actions, incurring penalties, and paying damages. Moreover, it may be determined that as a result of such a breach there was a material weakness or significant deficiency in our internal controls or other failure of our control environment. If such a breach occurs, it may have a material adverse effect on our business, results of operations, and financial condition, and it may also negatively impact our reputation.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shares may be sold into the market at any time which could depress our stock price.</w:t>
      </w:r>
    </w:p>
    <w:p>
      <w:pPr>
        <w:spacing w:after="0" w:line="121"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If our stockholders sell a substantial number of shares of our common stock in the public market, our market price could decline. In connection with the transaction with Lincoln Park, we have agreed to register under the Securities Act of 1933, as amended, the resale of shares of common stock that have been and may be issued under the Purchase Agreement with Lincoln Park. Any such sales by Lincoln Park, or the perception that such sales may occur, could decrease the market price of our common stock. In addition, holders of an aggregate of approximately three million shares of our common stock have the right to require us to register these shares of common stock under specified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91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center"/>
        <w:ind w:right="9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0" w:type="dxa"/>
            <w:vAlign w:val="bottom"/>
            <w:gridSpan w:val="4"/>
          </w:tcPr>
          <w:p>
            <w:pPr>
              <w:ind w:left="32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8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9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24"/>
                <w:szCs w:val="24"/>
                <w:color w:val="auto"/>
              </w:rPr>
            </w:pPr>
          </w:p>
        </w:tc>
        <w:tc>
          <w:tcPr>
            <w:tcW w:w="103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Rules 13a-14(a) and 15d-14(a) under the Securities Exchange Act of 1934, as Adopted</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 Oxley Act of 2002.</w:t>
            </w:r>
          </w:p>
        </w:tc>
        <w:tc>
          <w:tcPr>
            <w:tcW w:w="5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24"/>
                <w:szCs w:val="24"/>
                <w:color w:val="auto"/>
              </w:rPr>
            </w:pPr>
          </w:p>
        </w:tc>
        <w:tc>
          <w:tcPr>
            <w:tcW w:w="103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 Act of 1934, as Adopted</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 Oxley Act of 2002.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tcPr>
          <w:p>
            <w:pPr>
              <w:spacing w:after="0"/>
              <w:rPr>
                <w:sz w:val="24"/>
                <w:szCs w:val="24"/>
                <w:color w:val="auto"/>
              </w:rPr>
            </w:pPr>
          </w:p>
        </w:tc>
        <w:tc>
          <w:tcPr>
            <w:tcW w:w="103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8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60" w:type="dxa"/>
            <w:vAlign w:val="bottom"/>
          </w:tcPr>
          <w:p>
            <w:pPr>
              <w:spacing w:after="0"/>
              <w:rPr>
                <w:sz w:val="24"/>
                <w:szCs w:val="24"/>
                <w:color w:val="auto"/>
              </w:rPr>
            </w:pPr>
          </w:p>
        </w:tc>
        <w:tc>
          <w:tcPr>
            <w:tcW w:w="103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of 2002.</w:t>
            </w:r>
          </w:p>
        </w:tc>
        <w:tc>
          <w:tcPr>
            <w:tcW w:w="97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0" w:type="dxa"/>
            <w:vAlign w:val="bottom"/>
          </w:tcPr>
          <w:p>
            <w:pPr>
              <w:spacing w:after="0"/>
              <w:rPr>
                <w:sz w:val="24"/>
                <w:szCs w:val="24"/>
                <w:color w:val="auto"/>
              </w:rPr>
            </w:pPr>
          </w:p>
        </w:tc>
        <w:tc>
          <w:tcPr>
            <w:tcW w:w="10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0" w:type="dxa"/>
            <w:vAlign w:val="bottom"/>
          </w:tcPr>
          <w:p>
            <w:pPr>
              <w:spacing w:after="0"/>
              <w:rPr>
                <w:sz w:val="18"/>
                <w:szCs w:val="18"/>
                <w:color w:val="auto"/>
              </w:rPr>
            </w:pPr>
          </w:p>
        </w:tc>
        <w:tc>
          <w:tcPr>
            <w:tcW w:w="10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60" w:type="dxa"/>
            <w:vAlign w:val="bottom"/>
          </w:tcPr>
          <w:p>
            <w:pPr>
              <w:spacing w:after="0"/>
              <w:rPr>
                <w:sz w:val="18"/>
                <w:szCs w:val="18"/>
                <w:color w:val="auto"/>
              </w:rPr>
            </w:pPr>
          </w:p>
        </w:tc>
        <w:tc>
          <w:tcPr>
            <w:tcW w:w="10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0" w:type="dxa"/>
            <w:vAlign w:val="bottom"/>
          </w:tcPr>
          <w:p>
            <w:pPr>
              <w:spacing w:after="0"/>
              <w:rPr>
                <w:sz w:val="18"/>
                <w:szCs w:val="18"/>
                <w:color w:val="auto"/>
              </w:rPr>
            </w:pPr>
          </w:p>
        </w:tc>
        <w:tc>
          <w:tcPr>
            <w:tcW w:w="10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0" w:type="dxa"/>
            <w:vAlign w:val="bottom"/>
          </w:tcPr>
          <w:p>
            <w:pPr>
              <w:spacing w:after="0"/>
              <w:rPr>
                <w:sz w:val="18"/>
                <w:szCs w:val="18"/>
                <w:color w:val="auto"/>
              </w:rPr>
            </w:pPr>
          </w:p>
        </w:tc>
        <w:tc>
          <w:tcPr>
            <w:tcW w:w="10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0" w:type="dxa"/>
            <w:vAlign w:val="bottom"/>
          </w:tcPr>
          <w:p>
            <w:pPr>
              <w:spacing w:after="0"/>
              <w:rPr>
                <w:sz w:val="18"/>
                <w:szCs w:val="18"/>
                <w:color w:val="auto"/>
              </w:rPr>
            </w:pPr>
          </w:p>
        </w:tc>
        <w:tc>
          <w:tcPr>
            <w:tcW w:w="10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20"/>
                <w:szCs w:val="20"/>
                <w:color w:val="auto"/>
              </w:rPr>
            </w:pPr>
          </w:p>
        </w:tc>
        <w:tc>
          <w:tcPr>
            <w:tcW w:w="10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1912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51" w:lineRule="exact"/>
        <w:rPr>
          <w:sz w:val="20"/>
          <w:szCs w:val="20"/>
          <w:color w:val="auto"/>
        </w:rPr>
      </w:pPr>
    </w:p>
    <w:p>
      <w:pPr>
        <w:ind w:left="500" w:hanging="492"/>
        <w:spacing w:after="0"/>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APTEVO THERAPEUTICS INC.</w:t>
      </w:r>
    </w:p>
    <w:p>
      <w:pPr>
        <w:spacing w:after="0" w:line="293" w:lineRule="exact"/>
        <w:rPr>
          <w:sz w:val="20"/>
          <w:szCs w:val="20"/>
          <w:color w:val="auto"/>
        </w:rPr>
      </w:pPr>
    </w:p>
    <w:p>
      <w:pPr>
        <w:spacing w:after="0"/>
        <w:tabs>
          <w:tab w:leader="none" w:pos="6180" w:val="left"/>
          <w:tab w:leader="none" w:pos="8300" w:val="left"/>
        </w:tabs>
        <w:rPr>
          <w:sz w:val="20"/>
          <w:szCs w:val="20"/>
          <w:color w:val="auto"/>
        </w:rPr>
      </w:pPr>
      <w:r>
        <w:rPr>
          <w:rFonts w:ascii="Times New Roman" w:cs="Times New Roman" w:eastAsia="Times New Roman" w:hAnsi="Times New Roman"/>
          <w:sz w:val="18"/>
          <w:szCs w:val="18"/>
          <w:color w:val="auto"/>
        </w:rPr>
        <w:t>Date: May 12,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Marvin White</w:t>
      </w:r>
    </w:p>
    <w:p>
      <w:pPr>
        <w:spacing w:after="0" w:line="31"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74" w:lineRule="exact"/>
        <w:rPr>
          <w:sz w:val="20"/>
          <w:szCs w:val="20"/>
          <w:color w:val="auto"/>
        </w:rPr>
      </w:pPr>
    </w:p>
    <w:p>
      <w:pPr>
        <w:spacing w:after="0"/>
        <w:tabs>
          <w:tab w:leader="none" w:pos="6180" w:val="left"/>
          <w:tab w:leader="none" w:pos="8100" w:val="left"/>
        </w:tabs>
        <w:rPr>
          <w:sz w:val="20"/>
          <w:szCs w:val="20"/>
          <w:color w:val="auto"/>
        </w:rPr>
      </w:pPr>
      <w:r>
        <w:rPr>
          <w:rFonts w:ascii="Times New Roman" w:cs="Times New Roman" w:eastAsia="Times New Roman" w:hAnsi="Times New Roman"/>
          <w:sz w:val="18"/>
          <w:szCs w:val="18"/>
          <w:color w:val="auto"/>
        </w:rPr>
        <w:t>Date: May 12,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G.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Jeffrey G. Lamothe</w:t>
      </w:r>
    </w:p>
    <w:p>
      <w:pPr>
        <w:spacing w:after="0" w:line="31"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549"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Marvin White, certify that:</w:t>
      </w:r>
    </w:p>
    <w:p>
      <w:pPr>
        <w:spacing w:after="0" w:line="225" w:lineRule="exact"/>
        <w:rPr>
          <w:sz w:val="20"/>
          <w:szCs w:val="20"/>
          <w:color w:val="auto"/>
        </w:rPr>
      </w:pPr>
    </w:p>
    <w:p>
      <w:pPr>
        <w:ind w:left="500" w:hanging="492"/>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Aptevo Therapeutics Inc.;</w:t>
      </w:r>
    </w:p>
    <w:p>
      <w:pPr>
        <w:spacing w:after="0" w:line="225"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00" w:right="340" w:hanging="493"/>
        <w:spacing w:after="0" w:line="266" w:lineRule="auto"/>
        <w:tabs>
          <w:tab w:leader="none" w:pos="10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00" w:right="500" w:hanging="493"/>
        <w:spacing w:after="0" w:line="282" w:lineRule="auto"/>
        <w:tabs>
          <w:tab w:leader="none" w:pos="10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00" w:right="60" w:hanging="493"/>
        <w:spacing w:after="0" w:line="266" w:lineRule="auto"/>
        <w:tabs>
          <w:tab w:leader="none" w:pos="10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right="740" w:hanging="493"/>
        <w:spacing w:after="0" w:line="282" w:lineRule="auto"/>
        <w:tabs>
          <w:tab w:leader="none" w:pos="10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460" w:hanging="493"/>
        <w:spacing w:after="0" w:line="282" w:lineRule="auto"/>
        <w:tabs>
          <w:tab w:leader="none" w:pos="10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620" w:val="left"/>
          <w:tab w:leader="none" w:pos="7960" w:val="left"/>
        </w:tabs>
        <w:rPr>
          <w:sz w:val="20"/>
          <w:szCs w:val="20"/>
          <w:color w:val="auto"/>
        </w:rPr>
      </w:pPr>
      <w:r>
        <w:rPr>
          <w:rFonts w:ascii="Times New Roman" w:cs="Times New Roman" w:eastAsia="Times New Roman" w:hAnsi="Times New Roman"/>
          <w:sz w:val="18"/>
          <w:szCs w:val="18"/>
          <w:color w:val="auto"/>
        </w:rPr>
        <w:t>Date: May 12,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2"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Marvin White</w:t>
      </w:r>
    </w:p>
    <w:p>
      <w:pPr>
        <w:spacing w:after="0" w:line="31"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11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 Lamothe, certify that:</w:t>
      </w:r>
    </w:p>
    <w:p>
      <w:pPr>
        <w:spacing w:after="0" w:line="225" w:lineRule="exact"/>
        <w:rPr>
          <w:sz w:val="20"/>
          <w:szCs w:val="20"/>
          <w:color w:val="auto"/>
        </w:rPr>
      </w:pPr>
    </w:p>
    <w:p>
      <w:pPr>
        <w:ind w:left="500" w:hanging="492"/>
        <w:spacing w:after="0"/>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Aptevo Therapeutics Inc.;</w:t>
      </w:r>
    </w:p>
    <w:p>
      <w:pPr>
        <w:spacing w:after="0" w:line="225"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00" w:right="340" w:hanging="493"/>
        <w:spacing w:after="0" w:line="266" w:lineRule="auto"/>
        <w:tabs>
          <w:tab w:leader="none" w:pos="10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00" w:right="500" w:hanging="493"/>
        <w:spacing w:after="0" w:line="282" w:lineRule="auto"/>
        <w:tabs>
          <w:tab w:leader="none" w:pos="10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00" w:right="60" w:hanging="493"/>
        <w:spacing w:after="0" w:line="266" w:lineRule="auto"/>
        <w:tabs>
          <w:tab w:leader="none" w:pos="10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right="740" w:hanging="493"/>
        <w:spacing w:after="0" w:line="282" w:lineRule="auto"/>
        <w:tabs>
          <w:tab w:leader="none" w:pos="10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460" w:hanging="493"/>
        <w:spacing w:after="0" w:line="282" w:lineRule="auto"/>
        <w:tabs>
          <w:tab w:leader="none" w:pos="10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620" w:val="left"/>
          <w:tab w:leader="none" w:pos="8000" w:val="left"/>
        </w:tabs>
        <w:rPr>
          <w:sz w:val="20"/>
          <w:szCs w:val="20"/>
          <w:color w:val="auto"/>
        </w:rPr>
      </w:pPr>
      <w:r>
        <w:rPr>
          <w:rFonts w:ascii="Times New Roman" w:cs="Times New Roman" w:eastAsia="Times New Roman" w:hAnsi="Times New Roman"/>
          <w:sz w:val="18"/>
          <w:szCs w:val="18"/>
          <w:color w:val="auto"/>
        </w:rPr>
        <w:t>Date: May 12,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2"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Jeff Lamothe</w:t>
      </w:r>
    </w:p>
    <w:p>
      <w:pPr>
        <w:spacing w:after="0" w:line="31"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ectPr>
          <w:pgSz w:w="11900" w:h="16838" w:orient="portrait"/>
          <w:cols w:equalWidth="0" w:num="1">
            <w:col w:w="11240"/>
          </w:cols>
          <w:pgMar w:left="320" w:top="11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40" w:firstLine="51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Aptevo Therapeutics Inc. on Form 10-Q for the period ending March 31, 2022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00" w:right="640" w:hanging="493"/>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75" w:lineRule="exact"/>
        <w:rPr>
          <w:sz w:val="20"/>
          <w:szCs w:val="20"/>
          <w:color w:val="auto"/>
        </w:rPr>
      </w:pPr>
    </w:p>
    <w:p>
      <w:pPr>
        <w:spacing w:after="0"/>
        <w:tabs>
          <w:tab w:leader="none" w:pos="6680" w:val="left"/>
          <w:tab w:leader="none" w:pos="8480" w:val="left"/>
        </w:tabs>
        <w:rPr>
          <w:sz w:val="20"/>
          <w:szCs w:val="20"/>
          <w:color w:val="auto"/>
        </w:rPr>
      </w:pPr>
      <w:r>
        <w:rPr>
          <w:rFonts w:ascii="Times New Roman" w:cs="Times New Roman" w:eastAsia="Times New Roman" w:hAnsi="Times New Roman"/>
          <w:sz w:val="18"/>
          <w:szCs w:val="18"/>
          <w:color w:val="auto"/>
        </w:rPr>
        <w:t>Date: May 12,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17145</wp:posOffset>
            </wp:positionV>
            <wp:extent cx="27000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2"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8"/>
          <w:szCs w:val="18"/>
          <w:b w:val="1"/>
          <w:bCs w:val="1"/>
          <w:color w:val="auto"/>
        </w:rPr>
        <w:t>Marvin White</w:t>
      </w:r>
    </w:p>
    <w:p>
      <w:pPr>
        <w:spacing w:after="0" w:line="31"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61"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ectPr>
          <w:pgSz w:w="11900" w:h="16838" w:orient="portrait"/>
          <w:cols w:equalWidth="0" w:num="1">
            <w:col w:w="11240"/>
          </w:cols>
          <w:pgMar w:left="320" w:top="11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Aptevo Inc. on Form 10-Q for the period ending March 31, 2022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00" w:right="640" w:hanging="493"/>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75" w:lineRule="exact"/>
        <w:rPr>
          <w:sz w:val="20"/>
          <w:szCs w:val="20"/>
          <w:color w:val="auto"/>
        </w:rPr>
      </w:pPr>
    </w:p>
    <w:p>
      <w:pPr>
        <w:spacing w:after="0"/>
        <w:tabs>
          <w:tab w:leader="none" w:pos="6680" w:val="left"/>
          <w:tab w:leader="none" w:pos="8500" w:val="left"/>
        </w:tabs>
        <w:rPr>
          <w:sz w:val="20"/>
          <w:szCs w:val="20"/>
          <w:color w:val="auto"/>
        </w:rPr>
      </w:pPr>
      <w:r>
        <w:rPr>
          <w:rFonts w:ascii="Times New Roman" w:cs="Times New Roman" w:eastAsia="Times New Roman" w:hAnsi="Times New Roman"/>
          <w:sz w:val="18"/>
          <w:szCs w:val="18"/>
          <w:color w:val="auto"/>
        </w:rPr>
        <w:t>Date: May 12,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17145</wp:posOffset>
            </wp:positionV>
            <wp:extent cx="27000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2"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8"/>
          <w:szCs w:val="18"/>
          <w:b w:val="1"/>
          <w:bCs w:val="1"/>
          <w:color w:val="auto"/>
        </w:rPr>
        <w:t>Jeff Lamothe</w:t>
      </w:r>
    </w:p>
    <w:p>
      <w:pPr>
        <w:spacing w:after="0" w:line="31"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261"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decimal"/>
      <w:start w:val="3"/>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lvl w:ilvl="1">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2022-05-12T07:38:42Z</dcterms:created>
  <dcterms:modified xsi:type="dcterms:W3CDTF">2022-05-12T07:38:42Z</dcterms:modified>
</cp:coreProperties>
</file>