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-175895</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-95885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ind w:left="58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FROMTO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001-37746</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APTEVO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-234315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30480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860" w:type="dxa"/>
            <w:vAlign w:val="bottom"/>
          </w:tcPr>
          <w:p>
            <w:pPr>
              <w:jc w:val="center"/>
              <w:ind w:left="1693"/>
              <w:spacing w:after="0"/>
              <w:rPr>
                <w:sz w:val="20"/>
                <w:szCs w:val="20"/>
                <w:color w:val="auto"/>
              </w:rPr>
            </w:pPr>
            <w:r>
              <w:rPr>
                <w:rFonts w:ascii="Arial" w:cs="Arial" w:eastAsia="Arial" w:hAnsi="Arial"/>
                <w:sz w:val="14"/>
                <w:szCs w:val="14"/>
                <w:b w:val="1"/>
                <w:bCs w:val="1"/>
                <w:color w:val="auto"/>
                <w:w w:val="94"/>
              </w:rPr>
              <w:t>Delaware</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00" w:type="dxa"/>
            <w:vAlign w:val="bottom"/>
          </w:tcPr>
          <w:p>
            <w:pPr>
              <w:jc w:val="right"/>
              <w:ind w:right="2395"/>
              <w:spacing w:after="0"/>
              <w:rPr>
                <w:sz w:val="20"/>
                <w:szCs w:val="20"/>
                <w:color w:val="auto"/>
              </w:rPr>
            </w:pPr>
            <w:r>
              <w:rPr>
                <w:rFonts w:ascii="Arial" w:cs="Arial" w:eastAsia="Arial" w:hAnsi="Arial"/>
                <w:sz w:val="14"/>
                <w:szCs w:val="14"/>
                <w:b w:val="1"/>
                <w:bCs w:val="1"/>
                <w:color w:val="auto"/>
              </w:rPr>
              <w:t>81-1567056</w:t>
            </w:r>
          </w:p>
        </w:tc>
        <w:tc>
          <w:tcPr>
            <w:tcW w:w="0" w:type="dxa"/>
            <w:vAlign w:val="bottom"/>
          </w:tcPr>
          <w:p>
            <w:pPr>
              <w:spacing w:after="0"/>
              <w:rPr>
                <w:sz w:val="1"/>
                <w:szCs w:val="1"/>
                <w:color w:val="auto"/>
              </w:rPr>
            </w:pPr>
          </w:p>
        </w:tc>
      </w:tr>
      <w:tr>
        <w:trPr>
          <w:trHeight w:val="141"/>
        </w:trPr>
        <w:tc>
          <w:tcPr>
            <w:tcW w:w="3860" w:type="dxa"/>
            <w:vAlign w:val="bottom"/>
          </w:tcPr>
          <w:p>
            <w:pPr>
              <w:jc w:val="center"/>
              <w:ind w:left="1713"/>
              <w:spacing w:after="0"/>
              <w:rPr>
                <w:sz w:val="20"/>
                <w:szCs w:val="20"/>
                <w:color w:val="auto"/>
              </w:rPr>
            </w:pPr>
            <w:r>
              <w:rPr>
                <w:rFonts w:ascii="Arial" w:cs="Arial" w:eastAsia="Arial" w:hAnsi="Arial"/>
                <w:sz w:val="12"/>
                <w:szCs w:val="12"/>
                <w:color w:val="auto"/>
                <w:w w:val="90"/>
              </w:rPr>
              <w:t>(State or other jurisdiction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jc w:val="center"/>
              <w:ind w:right="2035"/>
              <w:spacing w:after="0"/>
              <w:rPr>
                <w:sz w:val="20"/>
                <w:szCs w:val="20"/>
                <w:color w:val="auto"/>
              </w:rPr>
            </w:pPr>
            <w:r>
              <w:rPr>
                <w:rFonts w:ascii="Arial" w:cs="Arial" w:eastAsia="Arial" w:hAnsi="Arial"/>
                <w:sz w:val="12"/>
                <w:szCs w:val="12"/>
                <w:color w:val="auto"/>
                <w:w w:val="90"/>
              </w:rPr>
              <w:t>(I.R.S. Employer</w:t>
            </w:r>
          </w:p>
        </w:tc>
        <w:tc>
          <w:tcPr>
            <w:tcW w:w="0" w:type="dxa"/>
            <w:vAlign w:val="bottom"/>
          </w:tcPr>
          <w:p>
            <w:pPr>
              <w:spacing w:after="0"/>
              <w:rPr>
                <w:sz w:val="1"/>
                <w:szCs w:val="1"/>
                <w:color w:val="auto"/>
              </w:rPr>
            </w:pPr>
          </w:p>
        </w:tc>
      </w:tr>
      <w:tr>
        <w:trPr>
          <w:trHeight w:val="118"/>
        </w:trPr>
        <w:tc>
          <w:tcPr>
            <w:tcW w:w="3860" w:type="dxa"/>
            <w:vAlign w:val="bottom"/>
          </w:tcPr>
          <w:p>
            <w:pPr>
              <w:jc w:val="center"/>
              <w:ind w:left="1713"/>
              <w:spacing w:after="0" w:line="119" w:lineRule="exact"/>
              <w:rPr>
                <w:sz w:val="20"/>
                <w:szCs w:val="20"/>
                <w:color w:val="auto"/>
              </w:rPr>
            </w:pPr>
            <w:r>
              <w:rPr>
                <w:rFonts w:ascii="Arial" w:cs="Arial" w:eastAsia="Arial" w:hAnsi="Arial"/>
                <w:sz w:val="12"/>
                <w:szCs w:val="12"/>
                <w:color w:val="auto"/>
                <w:w w:val="89"/>
              </w:rPr>
              <w:t>incorporation or organization)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500" w:type="dxa"/>
            <w:vAlign w:val="bottom"/>
          </w:tcPr>
          <w:p>
            <w:pPr>
              <w:jc w:val="center"/>
              <w:ind w:right="2055"/>
              <w:spacing w:after="0" w:line="119" w:lineRule="exact"/>
              <w:rPr>
                <w:sz w:val="20"/>
                <w:szCs w:val="20"/>
                <w:color w:val="auto"/>
              </w:rPr>
            </w:pPr>
            <w:r>
              <w:rPr>
                <w:rFonts w:ascii="Arial" w:cs="Arial" w:eastAsia="Arial" w:hAnsi="Arial"/>
                <w:sz w:val="12"/>
                <w:szCs w:val="12"/>
                <w:color w:val="auto"/>
                <w:w w:val="92"/>
              </w:rPr>
              <w:t>Identification No.)</w:t>
            </w:r>
          </w:p>
        </w:tc>
        <w:tc>
          <w:tcPr>
            <w:tcW w:w="0" w:type="dxa"/>
            <w:vAlign w:val="bottom"/>
          </w:tcPr>
          <w:p>
            <w:pPr>
              <w:spacing w:after="0"/>
              <w:rPr>
                <w:sz w:val="1"/>
                <w:szCs w:val="1"/>
                <w:color w:val="auto"/>
              </w:rPr>
            </w:pPr>
          </w:p>
        </w:tc>
      </w:tr>
      <w:tr>
        <w:trPr>
          <w:trHeight w:val="149"/>
        </w:trPr>
        <w:tc>
          <w:tcPr>
            <w:tcW w:w="3860" w:type="dxa"/>
            <w:vAlign w:val="bottom"/>
          </w:tcPr>
          <w:p>
            <w:pPr>
              <w:jc w:val="center"/>
              <w:ind w:left="1693"/>
              <w:spacing w:after="0" w:line="149" w:lineRule="exact"/>
              <w:rPr>
                <w:sz w:val="20"/>
                <w:szCs w:val="20"/>
                <w:color w:val="auto"/>
              </w:rPr>
            </w:pPr>
            <w:r>
              <w:rPr>
                <w:rFonts w:ascii="Arial" w:cs="Arial" w:eastAsia="Arial" w:hAnsi="Arial"/>
                <w:sz w:val="14"/>
                <w:szCs w:val="14"/>
                <w:b w:val="1"/>
                <w:bCs w:val="1"/>
                <w:color w:val="auto"/>
                <w:w w:val="91"/>
              </w:rPr>
              <w:t>2401 4</w:t>
            </w:r>
            <w:r>
              <w:rPr>
                <w:rFonts w:ascii="Arial" w:cs="Arial" w:eastAsia="Arial" w:hAnsi="Arial"/>
                <w:sz w:val="12"/>
                <w:szCs w:val="12"/>
                <w:b w:val="1"/>
                <w:bCs w:val="1"/>
                <w:color w:val="auto"/>
                <w:w w:val="91"/>
              </w:rPr>
              <w:t>th</w:t>
            </w:r>
            <w:r>
              <w:rPr>
                <w:rFonts w:ascii="Arial" w:cs="Arial" w:eastAsia="Arial" w:hAnsi="Arial"/>
                <w:sz w:val="14"/>
                <w:szCs w:val="14"/>
                <w:b w:val="1"/>
                <w:bCs w:val="1"/>
                <w:color w:val="auto"/>
                <w:w w:val="91"/>
              </w:rPr>
              <w:t xml:space="preserve"> Avenue, Suite 1050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vMerge w:val="restart"/>
          </w:tcPr>
          <w:p>
            <w:pPr>
              <w:jc w:val="right"/>
              <w:ind w:right="2555"/>
              <w:spacing w:after="0"/>
              <w:rPr>
                <w:sz w:val="20"/>
                <w:szCs w:val="20"/>
                <w:color w:val="auto"/>
              </w:rPr>
            </w:pPr>
            <w:r>
              <w:rPr>
                <w:rFonts w:ascii="Arial" w:cs="Arial" w:eastAsia="Arial" w:hAnsi="Arial"/>
                <w:sz w:val="14"/>
                <w:szCs w:val="14"/>
                <w:b w:val="1"/>
                <w:bCs w:val="1"/>
                <w:color w:val="auto"/>
              </w:rPr>
              <w:t>98121</w:t>
            </w:r>
          </w:p>
        </w:tc>
        <w:tc>
          <w:tcPr>
            <w:tcW w:w="0" w:type="dxa"/>
            <w:vAlign w:val="bottom"/>
          </w:tcPr>
          <w:p>
            <w:pPr>
              <w:spacing w:after="0"/>
              <w:rPr>
                <w:sz w:val="1"/>
                <w:szCs w:val="1"/>
                <w:color w:val="auto"/>
              </w:rPr>
            </w:pPr>
          </w:p>
        </w:tc>
      </w:tr>
      <w:tr>
        <w:trPr>
          <w:trHeight w:val="165"/>
        </w:trPr>
        <w:tc>
          <w:tcPr>
            <w:tcW w:w="3860" w:type="dxa"/>
            <w:vAlign w:val="bottom"/>
          </w:tcPr>
          <w:p>
            <w:pPr>
              <w:jc w:val="center"/>
              <w:ind w:left="1693"/>
              <w:spacing w:after="0"/>
              <w:rPr>
                <w:sz w:val="20"/>
                <w:szCs w:val="20"/>
                <w:color w:val="auto"/>
              </w:rPr>
            </w:pPr>
            <w:r>
              <w:rPr>
                <w:rFonts w:ascii="Arial" w:cs="Arial" w:eastAsia="Arial" w:hAnsi="Arial"/>
                <w:sz w:val="14"/>
                <w:szCs w:val="14"/>
                <w:b w:val="1"/>
                <w:bCs w:val="1"/>
                <w:color w:val="auto"/>
                <w:w w:val="91"/>
              </w:rPr>
              <w:t>Seattle, Washington</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jc w:val="center"/>
              <w:ind w:left="1693"/>
              <w:spacing w:after="0"/>
              <w:rPr>
                <w:sz w:val="20"/>
                <w:szCs w:val="20"/>
                <w:color w:val="auto"/>
              </w:rPr>
            </w:pPr>
            <w:r>
              <w:rPr>
                <w:rFonts w:ascii="Arial" w:cs="Arial" w:eastAsia="Arial" w:hAnsi="Arial"/>
                <w:sz w:val="12"/>
                <w:szCs w:val="12"/>
                <w:color w:val="auto"/>
                <w:w w:val="90"/>
              </w:rPr>
              <w:t>(Address of principal executive offices)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jc w:val="center"/>
              <w:ind w:right="2035"/>
              <w:spacing w:after="0"/>
              <w:rPr>
                <w:sz w:val="20"/>
                <w:szCs w:val="20"/>
                <w:color w:val="auto"/>
              </w:rPr>
            </w:pPr>
            <w:r>
              <w:rPr>
                <w:rFonts w:ascii="Arial" w:cs="Arial" w:eastAsia="Arial" w:hAnsi="Arial"/>
                <w:sz w:val="12"/>
                <w:szCs w:val="12"/>
                <w:color w:val="auto"/>
                <w:w w:val="91"/>
              </w:rPr>
              <w:t>(Zip Code)</w:t>
            </w:r>
          </w:p>
        </w:tc>
        <w:tc>
          <w:tcPr>
            <w:tcW w:w="0" w:type="dxa"/>
            <w:vAlign w:val="bottom"/>
          </w:tcPr>
          <w:p>
            <w:pPr>
              <w:spacing w:after="0"/>
              <w:rPr>
                <w:sz w:val="1"/>
                <w:szCs w:val="1"/>
                <w:color w:val="auto"/>
              </w:rPr>
            </w:pPr>
          </w:p>
        </w:tc>
      </w:tr>
      <w:tr>
        <w:trPr>
          <w:trHeight w:val="197"/>
        </w:trPr>
        <w:tc>
          <w:tcPr>
            <w:tcW w:w="7740" w:type="dxa"/>
            <w:vAlign w:val="bottom"/>
            <w:gridSpan w:val="6"/>
          </w:tcPr>
          <w:p>
            <w:pPr>
              <w:jc w:val="center"/>
              <w:ind w:left="3433"/>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(206) 838-0500</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386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60" w:type="dxa"/>
            <w:vAlign w:val="bottom"/>
            <w:tcBorders>
              <w:left w:val="single" w:sz="8" w:color="auto"/>
              <w:bottom w:val="single" w:sz="8" w:color="auto"/>
            </w:tcBorders>
          </w:tcPr>
          <w:p>
            <w:pPr>
              <w:jc w:val="center"/>
              <w:ind w:left="593"/>
              <w:spacing w:after="0" w:line="129" w:lineRule="exact"/>
              <w:rPr>
                <w:sz w:val="20"/>
                <w:szCs w:val="20"/>
                <w:color w:val="auto"/>
              </w:rPr>
            </w:pPr>
            <w:r>
              <w:rPr>
                <w:rFonts w:ascii="Arial" w:cs="Arial" w:eastAsia="Arial" w:hAnsi="Arial"/>
                <w:sz w:val="13"/>
                <w:szCs w:val="13"/>
                <w:b w:val="1"/>
                <w:bCs w:val="1"/>
                <w:color w:val="auto"/>
                <w:w w:val="86"/>
              </w:rPr>
              <w:t>Title of Each Class</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Trading Symbol</w:t>
            </w:r>
          </w:p>
        </w:tc>
        <w:tc>
          <w:tcPr>
            <w:tcW w:w="980" w:type="dxa"/>
            <w:vAlign w:val="bottom"/>
            <w:tcBorders>
              <w:bottom w:val="single" w:sz="8" w:color="auto"/>
            </w:tcBorders>
            <w:gridSpan w:val="2"/>
          </w:tcPr>
          <w:p>
            <w:pPr>
              <w:spacing w:after="0"/>
              <w:rPr>
                <w:sz w:val="11"/>
                <w:szCs w:val="11"/>
                <w:color w:val="auto"/>
              </w:rPr>
            </w:pPr>
          </w:p>
        </w:tc>
        <w:tc>
          <w:tcPr>
            <w:tcW w:w="3500" w:type="dxa"/>
            <w:vAlign w:val="bottom"/>
            <w:tcBorders>
              <w:bottom w:val="single" w:sz="8" w:color="auto"/>
              <w:right w:val="single" w:sz="8" w:color="auto"/>
            </w:tcBorders>
          </w:tcPr>
          <w:p>
            <w:pPr>
              <w:jc w:val="center"/>
              <w:ind w:right="915"/>
              <w:spacing w:after="0" w:line="129" w:lineRule="exact"/>
              <w:rPr>
                <w:sz w:val="20"/>
                <w:szCs w:val="20"/>
                <w:color w:val="auto"/>
              </w:rPr>
            </w:pPr>
            <w:r>
              <w:rPr>
                <w:rFonts w:ascii="Arial" w:cs="Arial" w:eastAsia="Arial" w:hAnsi="Arial"/>
                <w:sz w:val="13"/>
                <w:szCs w:val="13"/>
                <w:b w:val="1"/>
                <w:bCs w:val="1"/>
                <w:color w:val="auto"/>
                <w:w w:val="86"/>
              </w:rPr>
              <w:t>Name of Exchange on Which Registered</w:t>
            </w:r>
          </w:p>
        </w:tc>
        <w:tc>
          <w:tcPr>
            <w:tcW w:w="0" w:type="dxa"/>
            <w:vAlign w:val="bottom"/>
          </w:tcPr>
          <w:p>
            <w:pPr>
              <w:spacing w:after="0"/>
              <w:rPr>
                <w:sz w:val="1"/>
                <w:szCs w:val="1"/>
                <w:color w:val="auto"/>
              </w:rPr>
            </w:pPr>
          </w:p>
        </w:tc>
      </w:tr>
      <w:tr>
        <w:trPr>
          <w:trHeight w:val="119"/>
        </w:trPr>
        <w:tc>
          <w:tcPr>
            <w:tcW w:w="3860" w:type="dxa"/>
            <w:vAlign w:val="bottom"/>
            <w:tcBorders>
              <w:left w:val="single" w:sz="8" w:color="auto"/>
            </w:tcBorders>
          </w:tcPr>
          <w:p>
            <w:pPr>
              <w:jc w:val="center"/>
              <w:ind w:left="593"/>
              <w:spacing w:after="0" w:line="119" w:lineRule="exact"/>
              <w:rPr>
                <w:sz w:val="20"/>
                <w:szCs w:val="20"/>
                <w:color w:val="auto"/>
              </w:rPr>
            </w:pPr>
            <w:r>
              <w:rPr>
                <w:rFonts w:ascii="Arial" w:cs="Arial" w:eastAsia="Arial" w:hAnsi="Arial"/>
                <w:sz w:val="13"/>
                <w:szCs w:val="13"/>
                <w:b w:val="1"/>
                <w:bCs w:val="1"/>
                <w:color w:val="auto"/>
                <w:w w:val="99"/>
              </w:rPr>
              <w:t>Common Stock, $0.001 par value per share</w:t>
            </w:r>
          </w:p>
        </w:tc>
        <w:tc>
          <w:tcPr>
            <w:tcW w:w="4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APVO</w:t>
            </w:r>
          </w:p>
        </w:tc>
        <w:tc>
          <w:tcPr>
            <w:tcW w:w="980" w:type="dxa"/>
            <w:vAlign w:val="bottom"/>
            <w:gridSpan w:val="2"/>
          </w:tcPr>
          <w:p>
            <w:pPr>
              <w:spacing w:after="0"/>
              <w:rPr>
                <w:sz w:val="10"/>
                <w:szCs w:val="10"/>
                <w:color w:val="auto"/>
              </w:rPr>
            </w:pPr>
          </w:p>
        </w:tc>
        <w:tc>
          <w:tcPr>
            <w:tcW w:w="3500" w:type="dxa"/>
            <w:vAlign w:val="bottom"/>
            <w:tcBorders>
              <w:right w:val="single" w:sz="8" w:color="auto"/>
            </w:tcBorders>
          </w:tcPr>
          <w:p>
            <w:pPr>
              <w:jc w:val="center"/>
              <w:ind w:right="935"/>
              <w:spacing w:after="0" w:line="119" w:lineRule="exact"/>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171"/>
        </w:trPr>
        <w:tc>
          <w:tcPr>
            <w:tcW w:w="3860" w:type="dxa"/>
            <w:vAlign w:val="bottom"/>
            <w:tcBorders>
              <w:left w:val="single" w:sz="8" w:color="auto"/>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500" w:type="dxa"/>
            <w:vAlign w:val="bottom"/>
            <w:tcBorders>
              <w:bottom w:val="single" w:sz="8" w:color="auto"/>
              <w:right w:val="single" w:sz="8" w:color="auto"/>
            </w:tcBorders>
          </w:tcPr>
          <w:p>
            <w:pPr>
              <w:jc w:val="center"/>
              <w:ind w:right="935"/>
              <w:spacing w:after="0"/>
              <w:rPr>
                <w:sz w:val="20"/>
                <w:szCs w:val="20"/>
                <w:color w:val="auto"/>
              </w:rPr>
            </w:pPr>
            <w:r>
              <w:rPr>
                <w:rFonts w:ascii="Arial" w:cs="Arial" w:eastAsia="Arial" w:hAnsi="Arial"/>
                <w:sz w:val="14"/>
                <w:szCs w:val="14"/>
                <w:b w:val="1"/>
                <w:bCs w:val="1"/>
                <w:color w:val="auto"/>
                <w:w w:val="96"/>
              </w:rPr>
              <w:t>(The Nasdaq Capital Market)</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3880" w:type="dxa"/>
            <w:vAlign w:val="bottom"/>
            <w:gridSpan w:val="5"/>
          </w:tcPr>
          <w:p>
            <w:pPr>
              <w:jc w:val="center"/>
              <w:ind w:right="360"/>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1"/>
              </w:rPr>
              <w:t>None</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740" w:type="dxa"/>
            <w:vAlign w:val="bottom"/>
            <w:gridSpan w:val="6"/>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r>
              <w:rPr>
                <w:rFonts w:ascii="Arial" w:cs="Arial" w:eastAsia="Arial" w:hAnsi="Arial"/>
                <w:sz w:val="14"/>
                <w:szCs w:val="14"/>
                <w:color w:val="auto"/>
                <w:w w:val="93"/>
              </w:rPr>
              <w:t xml:space="preserve"> NO </w:t>
            </w:r>
            <w:r>
              <w:rPr>
                <w:rFonts w:ascii="MS PGothic" w:cs="MS PGothic" w:eastAsia="MS PGothic" w:hAnsi="MS PGothic"/>
                <w:sz w:val="14"/>
                <w:szCs w:val="14"/>
                <w:color w:val="auto"/>
                <w:w w:val="93"/>
              </w:rPr>
              <w:t>☒</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0"/>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20" w:type="dxa"/>
            <w:vAlign w:val="bottom"/>
          </w:tcPr>
          <w:p>
            <w:pPr>
              <w:ind w:left="30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jc w:val="both"/>
        <w:spacing w:after="0" w:line="270" w:lineRule="auto"/>
        <w:rPr>
          <w:sz w:val="20"/>
          <w:szCs w:val="20"/>
          <w:color w:val="auto"/>
        </w:rPr>
      </w:pPr>
      <w:r>
        <w:rPr>
          <w:rFonts w:ascii="Arial" w:cs="Arial" w:eastAsia="Arial" w:hAnsi="Arial"/>
          <w:sz w:val="13"/>
          <w:szCs w:val="13"/>
          <w:color w:val="auto"/>
        </w:rPr>
        <w:t>The aggregate market value of common stock held by non-affiliates of the Registrant as of June 30, 2020, the last business day of the Registrant’s most recently completed second fiscal quarter, was $24.1 million, based upon the closing price of the Registrant’s common stock on the Nasdaq Stock Market LLC on June 30, 2020, the last trading day of the fiscal quarter.</w:t>
      </w:r>
    </w:p>
    <w:p>
      <w:pPr>
        <w:spacing w:after="0" w:line="1"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Excludes an aggregate of 343,985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As of March 31, 2021, the number of shares of Registrant’s common stock outstanding was 4,449,422.</w:t>
      </w:r>
    </w:p>
    <w:p>
      <w:pPr>
        <w:spacing w:after="0" w:line="92"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jc w:val="both"/>
        <w:spacing w:after="0" w:line="290" w:lineRule="auto"/>
        <w:rPr>
          <w:sz w:val="20"/>
          <w:szCs w:val="20"/>
          <w:color w:val="auto"/>
        </w:rPr>
      </w:pPr>
      <w:r>
        <w:rPr>
          <w:rFonts w:ascii="Arial" w:cs="Arial" w:eastAsia="Arial" w:hAnsi="Arial"/>
          <w:sz w:val="13"/>
          <w:szCs w:val="13"/>
          <w:color w:val="auto"/>
        </w:rPr>
        <w:t>Portions of the Registrant’s definitive proxy statement to be filed with the Securities and Exchange Commission pursuant to Regulation 14A, not later than 120 days after the end of the fiscal year covered by this Annual Report on Form 10-K, relating to the Registrant’s 2021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163830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7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66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84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Unresolved Staff Comments</w:t>
              </w:r>
            </w:hyperlink>
          </w:p>
        </w:tc>
        <w:tc>
          <w:tcPr>
            <w:tcW w:w="726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Properties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44"/>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PART II</w:t>
              </w:r>
            </w:hyperlink>
          </w:p>
        </w:tc>
        <w:tc>
          <w:tcPr>
            <w:tcW w:w="7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Selected Financial Data</w:t>
              </w:r>
            </w:hyperlink>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930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28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496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30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284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4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Principal Accountant Fees and Services</w:t>
              </w:r>
            </w:hyperlink>
          </w:p>
        </w:tc>
        <w:tc>
          <w:tcPr>
            <w:tcW w:w="386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45"/>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93">
              <w:r>
                <w:rPr>
                  <w:rFonts w:ascii="Arial" w:cs="Arial" w:eastAsia="Arial" w:hAnsi="Arial"/>
                  <w:sz w:val="18"/>
                  <w:szCs w:val="18"/>
                  <w:b w:val="1"/>
                  <w:bCs w:val="1"/>
                  <w:color w:val="0000EE"/>
                  <w:w w:val="98"/>
                </w:rPr>
                <w:t>PART IV</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300" w:type="dxa"/>
            <w:vAlign w:val="bottom"/>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2880" w:type="dxa"/>
            <w:vAlign w:val="bottom"/>
            <w:tcBorders>
              <w:top w:val="single" w:sz="8" w:color="0000EE"/>
            </w:tcBorders>
            <w:gridSpan w:val="1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Form 10-K Summary</w:t>
              </w:r>
            </w:hyperlink>
          </w:p>
        </w:tc>
        <w:tc>
          <w:tcPr>
            <w:tcW w:w="64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Annual Report on Form 10-K,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35"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i w:val="1"/>
          <w:iCs w:val="1"/>
          <w:color w:val="auto"/>
        </w:rPr>
        <w:t>This Annual Report on Form 10-K includes “forward-looking statements” within the meaning of Section 27A of the Securities Act of 1933, as amended, and Section 21E of the Securities Exchange Act of 1934, as amended (the Exchange Act). Statements in this Annual Report on Form 10-K,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Any forward-looking statements are based upon management’s assumptions, expectations, projections, intentions, objectives and/or beliefs about future events or occurrences and are subject to a number of risks and uncertainties. The timing of certain events and circumstances and known and unknown risks and uncertainties could cause actual results to differ materially from the plans, intentions, expectations and objectives underlying or disclosed in the forward-looking statements that we make. Therefore, you should not place undue reliance on our forward-looking statements. Some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Annual Report on Form 10-K. Our forward-looking statements in this Annual Report on Form 10-K are based on current information and we do not assume any obligation to update any forward-looking statements expect as required by the federal securities laws.</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cancer. We have successfully designed and constructed numerous investigational-stage prototype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preclinical candidates based on the ADAPTIR-FLEX platform which are advancing in our pipeline. We are developing our ADAPTIR and ADAPTIR-FLEX molecules by way of our protein engineering, preclinical development, process development, and clinical development capabilities.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both"/>
        <w:spacing w:after="0" w:line="293" w:lineRule="auto"/>
        <w:rPr>
          <w:sz w:val="20"/>
          <w:szCs w:val="20"/>
          <w:color w:val="auto"/>
        </w:rPr>
      </w:pPr>
      <w:r>
        <w:rPr>
          <w:rFonts w:ascii="Arial" w:cs="Arial" w:eastAsia="Arial" w:hAnsi="Arial"/>
          <w:sz w:val="16"/>
          <w:szCs w:val="16"/>
          <w:color w:val="auto"/>
        </w:rPr>
        <w:t>Prior to February 28, 2020, we had one marketed product, IXINITY, indicated in adults and children 12 years of age and older with Hemophilia B for control and prevention of bleeding episodes, and management of bleeding during operations. On February 28, 2020, Aptevo entered into an LLC Purchase Agreement with Medexus Pharmaceuticals Inc. (Medexus), pursuant to which Aptevo sold all of the issued and outstanding limited liability company interests of Aptevo BioTherapeutics LLC (Aptevo BioTherapeutics), a subsidiary of Aptevo which wholly owned the IXINITY and related Hemophilia B business. As a result of the transaction, Medexus obtained all rights, title and interest to the IXINITY product and intellectual property. In addition, Aptevo BioTherapeutics personnel responsible for the sale and marketing of IXINITY also transitioned to Medexus as part of the transaction.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consideration for the sale, at closing Aptevo received an amount equal to $30 million in cash. In addition to the payment received at closing, Aptevo receives deferred payments based on quarterly net sales of IXINITY and may also earn milestones from Medexus in the future. The parties also agreed that Aptevo would provide transition services for a limited period of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6, 2020, Tang Capital Partners LP, Tang Capital Management, LLC and Kevin Tang (collectively, “Tang”) jointly filed a statement on Schedule 13D to report that Tang had purchased 1,760,000 shares of our common stock, representing approximately 54% of our issued and outstanding shares of common stock as of the date of filing such Schedule 13D. As of the date of this Annual Report on Form 10-K, Tang has subsequently been diluted to a 39.6% beneficial ownership position, primarily through the exercise of certain warrants that were issued and outstanding prior to Tang acquiring its ownership position in Aptevo. Additionally, on November 18, 2020, our Board received a written unsolicited, non-binding indication of interest from Tang, proposing to acquire all of the outstanding shares of our common stock not already beneficially owned by Tang for $50.00 per share in cash, subject to confirmatory due diligence conducted under a customary non-disclosure agreement (the “Initial Proposal”). We have had a series of communications during which we attempted to negotiate a non-disclosure agreement with Tang to permit discussions covering our nonpublic information and our operations. Further, on February 9, 2021, Tang announced its intention to nominate two candidates for election to our board of directors at our 2021 annual meeting of stockholders and submitted an advisory stockholder proposal for consideration at our 2021 annual meeting to commence a process to sell Aptevo to the highest bidder (the “Tang Stockholder Proposals”). We have incurred and may continue to incur additional expenses by retaining the services of various professionals to advise us on responding to these matters.</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Aptevo Board was open to exploring the indication of interest from Tang and made earnest efforts to evaluate it. However, it was unable to do so because it was unable to reach agreement with Tang on the terms of a customary non-disclosure agreement, including limitations on the use of confidential information by Tang. Had agreement on the terms of a non-disclosure agreement been reached, it would have permitted the exchange of confidential information and would have enabled both parties to conduct due diligence. In this early stage of the Company’s development, the Aptevo Board believes it is difficult for the market to accurately value the potential of Aptevo’s proprietary platform technologies and therapeutic candidates, which have just begun to demonstrate their effectiveness and potentially life-saving capabilities to the Company’s patients, shareholders and other stakeholders. The Board will continue to carefully evaluate any indications of interest and proposals for strategic transactions that it receives from current shareholders or otherwise, in line with its fiduciary duties and commitment to acting in the best interests of all of the Company’s shareholders.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30, 2021, the Company entered into and closed a royalty purchase agreement (the Royalty Purchase Agreement) with an entity managed by HealthCare Royalty Management, LLC (HCR) pursuant to which the Company sold to HCR the right to receive all royalty payments made by Pfizer Inc. (Pfizer) in respect of net sales of RUXIENCE. Under the terms of the agreement, the Company received $35 million (the Investment Amount) at closing and the Company is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by HCR to the Company, Aptevo will be entitled to receive 50% of any additional royalty payments by Pfizer thereafter.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both"/>
        <w:ind w:right="20"/>
        <w:spacing w:after="0" w:line="308" w:lineRule="auto"/>
        <w:rPr>
          <w:sz w:val="20"/>
          <w:szCs w:val="20"/>
          <w:color w:val="auto"/>
        </w:rPr>
      </w:pPr>
      <w:r>
        <w:rPr>
          <w:rFonts w:ascii="Arial" w:cs="Arial" w:eastAsia="Arial" w:hAnsi="Arial"/>
          <w:sz w:val="17"/>
          <w:szCs w:val="17"/>
          <w:color w:val="auto"/>
        </w:rPr>
        <w:t>In connection with the Royalty Purchase Agreement, we amended our Credit Agreement with MidCap Financial and used $10 million of the proceeds received from the Royalty Purchase Agreement with HCR to pay down the outstanding principal under this agreement from $25 million to $15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seek to grow our business by, among other things:</w:t>
      </w:r>
    </w:p>
    <w:p>
      <w:pPr>
        <w:spacing w:after="0" w:line="117"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b w:val="1"/>
          <w:bCs w:val="1"/>
          <w:i w:val="1"/>
          <w:iCs w:val="1"/>
          <w:color w:val="auto"/>
        </w:rPr>
        <w:t xml:space="preserve">Advancing our ADAPTIR and ADAPTIR-FLEX platforms, initially focusing on immunotherapy and the development of novel bispecific and multispecific proteins for the treatment of cancer. </w:t>
      </w:r>
      <w:r>
        <w:rPr>
          <w:rFonts w:ascii="Arial" w:cs="Arial" w:eastAsia="Arial" w:hAnsi="Arial"/>
          <w:sz w:val="16"/>
          <w:szCs w:val="16"/>
          <w:color w:val="auto"/>
        </w:rPr>
        <w:t>We focus on product development using our ADAPTIR and ADAPTIR-FLEX platforms. We plan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 additional bispecific protein immunotherapies for early development, potentially with other collaborative partners, to further validate the potential of the ADAPTIR and ADAPTIR-FLEX platforms. We intend to favor the development of bispecific candidates that have the potential to demonstrate proof of concept early in development and are differentiated in key oncology indications. We expect to continue to expand the ADAPTIR and ADAPTIR-FLEX product pipelines to address areas of unmet medical need. Our goal is to generate monospecific, bispecific, and multispecific ADAPTIR and ADAPTIR-FLEX proteins to target tumors using the immune system or direct cytokine delivery to selective cell populations or modulate immune cells to treat diseases. We believe these product candidates may have utility in oncology and other therapeutic areas.</w:t>
      </w:r>
    </w:p>
    <w:p>
      <w:pPr>
        <w:spacing w:after="0" w:line="5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b w:val="1"/>
          <w:bCs w:val="1"/>
          <w:i w:val="1"/>
          <w:iCs w:val="1"/>
          <w:color w:val="auto"/>
        </w:rPr>
        <w:t xml:space="preserve">Continuing to develop new products. </w:t>
      </w:r>
      <w:r>
        <w:rPr>
          <w:rFonts w:ascii="Arial" w:cs="Arial" w:eastAsia="Arial" w:hAnsi="Arial"/>
          <w:sz w:val="17"/>
          <w:szCs w:val="17"/>
          <w:color w:val="auto"/>
        </w:rPr>
        <w:t>We are committed to new product development. We have expertise in molecular biology, antibody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engineering and the development of protein therapeutics, including cell line development, protein purification, process development and analytical characterization. We believe that these core areas of expertise enable the development of therapeutics based on the ADAPTIR and ADAPTIR-FLEX platform technologies from design, pre-clinical testing, and clinical development to preparation of a biologics license application, or BLA.</w:t>
      </w:r>
    </w:p>
    <w:p>
      <w:pPr>
        <w:sectPr>
          <w:pgSz w:w="11900" w:h="16838" w:orient="portrait"/>
          <w:cols w:equalWidth="0" w:num="1">
            <w:col w:w="11240"/>
          </w:cols>
          <w:pgMar w:left="320" w:top="449" w:right="339" w:bottom="1440" w:gutter="0" w:footer="0" w:header="0"/>
        </w:sectPr>
      </w:pPr>
    </w:p>
    <w:p>
      <w:pPr>
        <w:spacing w:after="0" w:line="63"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Establishing collaborative partnerships to broaden our pipeline and provide funding for research and development. </w:t>
      </w:r>
      <w:r>
        <w:rPr>
          <w:rFonts w:ascii="Arial" w:cs="Arial" w:eastAsia="Arial" w:hAnsi="Arial"/>
          <w:sz w:val="18"/>
          <w:szCs w:val="18"/>
          <w:color w:val="auto"/>
        </w:rPr>
        <w:t>develop and grow our product portfolio through internal research and development as well as through collaborations with pharmaceutical companies, academia, and non-governmental organizations.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hanging="12"/>
        <w:spacing w:after="0" w:line="342" w:lineRule="auto"/>
        <w:rPr>
          <w:sz w:val="20"/>
          <w:szCs w:val="20"/>
          <w:color w:val="auto"/>
        </w:rPr>
      </w:pPr>
      <w:r>
        <w:rPr>
          <w:rFonts w:ascii="Arial" w:cs="Arial" w:eastAsia="Arial" w:hAnsi="Arial"/>
          <w:sz w:val="16"/>
          <w:szCs w:val="16"/>
          <w:color w:val="auto"/>
        </w:rPr>
        <w:t>We intend to continue to other biotechnology and</w:t>
      </w:r>
    </w:p>
    <w:p>
      <w:pPr>
        <w:spacing w:after="0" w:line="336" w:lineRule="exact"/>
        <w:rPr>
          <w:sz w:val="20"/>
          <w:szCs w:val="20"/>
          <w:color w:val="auto"/>
        </w:rPr>
      </w:pPr>
    </w:p>
    <w:p>
      <w:pPr>
        <w:sectPr>
          <w:pgSz w:w="11900" w:h="16838" w:orient="portrait"/>
          <w:cols w:equalWidth="0" w:num="2">
            <w:col w:w="9340" w:space="80"/>
            <w:col w:w="1820"/>
          </w:cols>
          <w:pgMar w:left="320" w:top="44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PLATFORM TECHNOLOGY AND PRODUCT CANDIDATES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Characteristics</w:t>
            </w:r>
          </w:p>
        </w:tc>
        <w:tc>
          <w:tcPr>
            <w:tcW w:w="74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76"/>
        </w:trPr>
        <w:tc>
          <w:tcPr>
            <w:tcW w:w="3760" w:type="dxa"/>
            <w:vAlign w:val="bottom"/>
            <w:tcBorders>
              <w:left w:val="single" w:sz="8" w:color="auto"/>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ADAPTIR</w:t>
            </w:r>
          </w:p>
        </w:tc>
        <w:tc>
          <w:tcPr>
            <w:tcW w:w="3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ADAPTIR-FLEX</w:t>
            </w:r>
          </w:p>
        </w:tc>
        <w:tc>
          <w:tcPr>
            <w:tcW w:w="0" w:type="dxa"/>
            <w:vAlign w:val="bottom"/>
          </w:tcPr>
          <w:p>
            <w:pPr>
              <w:spacing w:after="0"/>
              <w:rPr>
                <w:sz w:val="1"/>
                <w:szCs w:val="1"/>
                <w:color w:val="auto"/>
              </w:rPr>
            </w:pPr>
          </w:p>
        </w:tc>
      </w:tr>
      <w:tr>
        <w:trPr>
          <w:trHeight w:val="66"/>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vMerge w:val="continue"/>
          </w:tcPr>
          <w:p>
            <w:pPr>
              <w:spacing w:after="0"/>
              <w:rPr>
                <w:sz w:val="5"/>
                <w:szCs w:val="5"/>
                <w:color w:val="auto"/>
              </w:rPr>
            </w:pPr>
          </w:p>
        </w:tc>
        <w:tc>
          <w:tcPr>
            <w:tcW w:w="37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Drug Targeting</w:t>
            </w:r>
          </w:p>
        </w:tc>
        <w:tc>
          <w:tcPr>
            <w:tcW w:w="3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Bind up to two targets</w:t>
            </w:r>
          </w:p>
        </w:tc>
        <w:tc>
          <w:tcPr>
            <w:tcW w:w="3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Bind up to four targets</w:t>
            </w:r>
          </w:p>
        </w:tc>
        <w:tc>
          <w:tcPr>
            <w:tcW w:w="0" w:type="dxa"/>
            <w:vAlign w:val="bottom"/>
          </w:tcPr>
          <w:p>
            <w:pPr>
              <w:spacing w:after="0"/>
              <w:rPr>
                <w:sz w:val="1"/>
                <w:szCs w:val="1"/>
                <w:color w:val="auto"/>
              </w:rPr>
            </w:pPr>
          </w:p>
        </w:tc>
      </w:tr>
      <w:tr>
        <w:trPr>
          <w:trHeight w:val="123"/>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Genetic and Structural Format</w:t>
            </w:r>
          </w:p>
        </w:tc>
        <w:tc>
          <w:tcPr>
            <w:tcW w:w="37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Single gene that assembles into a homodimer based on an</w:t>
            </w:r>
          </w:p>
        </w:tc>
        <w:tc>
          <w:tcPr>
            <w:tcW w:w="3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Two genes that assemble into a heterodimer based on an</w:t>
            </w:r>
          </w:p>
        </w:tc>
        <w:tc>
          <w:tcPr>
            <w:tcW w:w="0" w:type="dxa"/>
            <w:vAlign w:val="bottom"/>
          </w:tcPr>
          <w:p>
            <w:pPr>
              <w:spacing w:after="0"/>
              <w:rPr>
                <w:sz w:val="1"/>
                <w:szCs w:val="1"/>
                <w:color w:val="auto"/>
              </w:rPr>
            </w:pPr>
          </w:p>
        </w:tc>
      </w:tr>
      <w:tr>
        <w:trPr>
          <w:trHeight w:val="101"/>
        </w:trPr>
        <w:tc>
          <w:tcPr>
            <w:tcW w:w="3760" w:type="dxa"/>
            <w:vAlign w:val="bottom"/>
            <w:tcBorders>
              <w:left w:val="single" w:sz="8" w:color="auto"/>
              <w:right w:val="single" w:sz="8" w:color="auto"/>
            </w:tcBorders>
            <w:vMerge w:val="continue"/>
          </w:tcPr>
          <w:p>
            <w:pPr>
              <w:spacing w:after="0"/>
              <w:rPr>
                <w:sz w:val="8"/>
                <w:szCs w:val="8"/>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antibody backbone</w:t>
            </w:r>
          </w:p>
        </w:tc>
        <w:tc>
          <w:tcPr>
            <w:tcW w:w="3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antibody backbone</w:t>
            </w:r>
          </w:p>
        </w:tc>
        <w:tc>
          <w:tcPr>
            <w:tcW w:w="0" w:type="dxa"/>
            <w:vAlign w:val="bottom"/>
          </w:tcPr>
          <w:p>
            <w:pPr>
              <w:spacing w:after="0"/>
              <w:rPr>
                <w:sz w:val="1"/>
                <w:szCs w:val="1"/>
                <w:color w:val="auto"/>
              </w:rPr>
            </w:pPr>
          </w:p>
        </w:tc>
      </w:tr>
      <w:tr>
        <w:trPr>
          <w:trHeight w:val="66"/>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vMerge w:val="continue"/>
          </w:tcPr>
          <w:p>
            <w:pPr>
              <w:spacing w:after="0"/>
              <w:rPr>
                <w:sz w:val="5"/>
                <w:szCs w:val="5"/>
                <w:color w:val="auto"/>
              </w:rPr>
            </w:pPr>
          </w:p>
        </w:tc>
        <w:tc>
          <w:tcPr>
            <w:tcW w:w="37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Half-life</w:t>
            </w:r>
          </w:p>
        </w:tc>
        <w:tc>
          <w:tcPr>
            <w:tcW w:w="7480" w:type="dxa"/>
            <w:vAlign w:val="bottom"/>
            <w:tcBorders>
              <w:right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Contains Immunoglobulin Gamma 1 Fc</w:t>
            </w:r>
          </w:p>
        </w:tc>
        <w:tc>
          <w:tcPr>
            <w:tcW w:w="0" w:type="dxa"/>
            <w:vAlign w:val="bottom"/>
          </w:tcPr>
          <w:p>
            <w:pPr>
              <w:spacing w:after="0"/>
              <w:rPr>
                <w:sz w:val="1"/>
                <w:szCs w:val="1"/>
                <w:color w:val="auto"/>
              </w:rPr>
            </w:pPr>
          </w:p>
        </w:tc>
      </w:tr>
      <w:tr>
        <w:trPr>
          <w:trHeight w:val="101"/>
        </w:trPr>
        <w:tc>
          <w:tcPr>
            <w:tcW w:w="3760" w:type="dxa"/>
            <w:vAlign w:val="bottom"/>
            <w:tcBorders>
              <w:left w:val="single" w:sz="8" w:color="auto"/>
              <w:right w:val="single" w:sz="8" w:color="auto"/>
            </w:tcBorders>
            <w:vMerge w:val="continue"/>
          </w:tcPr>
          <w:p>
            <w:pPr>
              <w:spacing w:after="0"/>
              <w:rPr>
                <w:sz w:val="8"/>
                <w:szCs w:val="8"/>
                <w:color w:val="auto"/>
              </w:rPr>
            </w:pPr>
          </w:p>
        </w:tc>
        <w:tc>
          <w:tcPr>
            <w:tcW w:w="7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6"/>
              </w:rPr>
              <w:t>Demonstrated antibody-like half-life in mice</w:t>
            </w:r>
          </w:p>
        </w:tc>
        <w:tc>
          <w:tcPr>
            <w:tcW w:w="0" w:type="dxa"/>
            <w:vAlign w:val="bottom"/>
          </w:tcPr>
          <w:p>
            <w:pPr>
              <w:spacing w:after="0"/>
              <w:rPr>
                <w:sz w:val="1"/>
                <w:szCs w:val="1"/>
                <w:color w:val="auto"/>
              </w:rPr>
            </w:pPr>
          </w:p>
        </w:tc>
      </w:tr>
      <w:tr>
        <w:trPr>
          <w:trHeight w:val="66"/>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7480" w:type="dxa"/>
            <w:vAlign w:val="bottom"/>
            <w:tcBorders>
              <w:bottom w:val="single" w:sz="8" w:color="auto"/>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Effector function</w:t>
            </w:r>
          </w:p>
        </w:tc>
        <w:tc>
          <w:tcPr>
            <w:tcW w:w="748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3"/>
              </w:rPr>
              <w:t>Fc mutations may be utilized to eliminate binding to Fc Gamma Receptors or to enhance effector function</w:t>
            </w: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Manufacturing</w:t>
            </w:r>
          </w:p>
        </w:tc>
        <w:tc>
          <w:tcPr>
            <w:tcW w:w="748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3"/>
              </w:rPr>
              <w:t>Antibody-like manufacturing processes</w:t>
            </w:r>
          </w:p>
        </w:tc>
        <w:tc>
          <w:tcPr>
            <w:tcW w:w="0" w:type="dxa"/>
            <w:vAlign w:val="bottom"/>
          </w:tcPr>
          <w:p>
            <w:pPr>
              <w:spacing w:after="0"/>
              <w:rPr>
                <w:sz w:val="1"/>
                <w:szCs w:val="1"/>
                <w:color w:val="auto"/>
              </w:rPr>
            </w:pPr>
          </w:p>
        </w:tc>
      </w:tr>
      <w:tr>
        <w:trPr>
          <w:trHeight w:val="123"/>
        </w:trPr>
        <w:tc>
          <w:tcPr>
            <w:tcW w:w="3760" w:type="dxa"/>
            <w:vAlign w:val="bottom"/>
            <w:tcBorders>
              <w:left w:val="single" w:sz="8" w:color="auto"/>
              <w:right w:val="single" w:sz="8" w:color="auto"/>
            </w:tcBorders>
          </w:tcPr>
          <w:p>
            <w:pPr>
              <w:spacing w:after="0"/>
              <w:rPr>
                <w:sz w:val="10"/>
                <w:szCs w:val="10"/>
                <w:color w:val="auto"/>
              </w:rPr>
            </w:pPr>
          </w:p>
        </w:tc>
        <w:tc>
          <w:tcPr>
            <w:tcW w:w="376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7"/>
              </w:rPr>
              <w:t>APVO436 (CD123 x CD3)</w:t>
            </w:r>
          </w:p>
        </w:tc>
        <w:tc>
          <w:tcPr>
            <w:tcW w:w="3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Current Pipeline Candidates</w:t>
            </w:r>
          </w:p>
        </w:tc>
        <w:tc>
          <w:tcPr>
            <w:tcW w:w="376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color w:val="auto"/>
                <w:w w:val="97"/>
              </w:rPr>
              <w:t>ALG.APV-527 (41BB x 5T4)</w:t>
            </w:r>
          </w:p>
        </w:tc>
        <w:tc>
          <w:tcPr>
            <w:tcW w:w="3720" w:type="dxa"/>
            <w:vAlign w:val="bottom"/>
            <w:tcBorders>
              <w:right w:val="single" w:sz="8" w:color="auto"/>
            </w:tcBorders>
          </w:tcPr>
          <w:p>
            <w:pPr>
              <w:ind w:left="1160"/>
              <w:spacing w:after="0" w:line="149" w:lineRule="exact"/>
              <w:rPr>
                <w:sz w:val="20"/>
                <w:szCs w:val="20"/>
                <w:color w:val="auto"/>
              </w:rPr>
            </w:pPr>
            <w:r>
              <w:rPr>
                <w:rFonts w:ascii="Arial" w:cs="Arial" w:eastAsia="Arial" w:hAnsi="Arial"/>
                <w:sz w:val="14"/>
                <w:szCs w:val="14"/>
                <w:color w:val="auto"/>
              </w:rPr>
              <w:t>APVO442 (PSMA x CD3)</w:t>
            </w:r>
          </w:p>
        </w:tc>
        <w:tc>
          <w:tcPr>
            <w:tcW w:w="0" w:type="dxa"/>
            <w:vAlign w:val="bottom"/>
          </w:tcPr>
          <w:p>
            <w:pPr>
              <w:spacing w:after="0"/>
              <w:rPr>
                <w:sz w:val="1"/>
                <w:szCs w:val="1"/>
                <w:color w:val="auto"/>
              </w:rPr>
            </w:pPr>
          </w:p>
        </w:tc>
      </w:tr>
      <w:tr>
        <w:trPr>
          <w:trHeight w:val="167"/>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8"/>
              </w:rPr>
              <w:t>APVO603 (41BB x OX40)</w:t>
            </w:r>
          </w:p>
        </w:tc>
        <w:tc>
          <w:tcPr>
            <w:tcW w:w="3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Platform Technology</w:t>
      </w:r>
    </w:p>
    <w:p>
      <w:pPr>
        <w:spacing w:after="0" w:line="12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b w:val="1"/>
          <w:bCs w:val="1"/>
          <w:i w:val="1"/>
          <w:iCs w:val="1"/>
          <w:color w:val="auto"/>
        </w:rPr>
        <w:t>ADAPTIR and ADAPTIR-FLEX Platform Technologies</w:t>
      </w:r>
      <w:r>
        <w:rPr>
          <w:rFonts w:ascii="Arial" w:cs="Arial" w:eastAsia="Arial" w:hAnsi="Arial"/>
          <w:sz w:val="17"/>
          <w:szCs w:val="17"/>
          <w:color w:val="auto"/>
        </w:rPr>
        <w:t>. The ADAPTIR and ADAPTIR-FLEX platform technologies can be used to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monospecific, bispecific, and multispecific immunotherapeutic proteins. These protein candidates bind to one or more targets found on tumor cells, immune cells, or other cells in the body or circulation to either amplify, suppress, or regulate the body’s defense mechanisms to treat cancer. We focus on developing drugs for treatment of oncology indications, but also may pursue other indications including autoimmune diseases. We believe we are well positioned for the development of monospecific, bispecific, or multispecific therapeutics, which are antibody-based molecules that are able to bind one or more targets of therapeutic interest, utilizing our innovative ADAPTIR (modular protein technology) and ADAPTIR-FLEX platform technology. This allows us to take a novel approach to cancer immunotherapy or for treatment of other diseases.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5" w:name="page6"/>
    <w:bookmarkEnd w:id="5"/>
    <w:p>
      <w:pPr>
        <w:jc w:val="both"/>
        <w:ind w:firstLine="589"/>
        <w:spacing w:after="0" w:line="287" w:lineRule="auto"/>
        <w:rPr>
          <w:sz w:val="20"/>
          <w:szCs w:val="20"/>
          <w:color w:val="auto"/>
        </w:rPr>
      </w:pPr>
      <w:r>
        <w:rPr>
          <w:rFonts w:ascii="Arial" w:cs="Arial" w:eastAsia="Arial" w:hAnsi="Arial"/>
          <w:sz w:val="16"/>
          <w:szCs w:val="16"/>
          <w:color w:val="auto"/>
        </w:rPr>
        <w:t>Structurally, ADAPTIR and ADAPTIR-FLEX molecules are similar to antibodies; they can exhibit the same biological functions of an antibody, but can be easily modified to either eliminate or incorporate new activities, all the while maintaining a similar size, stability, half-life and manufacturing advantages of a monoclonal antibody. The ADAPTIR molecules are single-chain polypeptides comprising customized elements, including a protein domain that binds to one or more targets connected to the hinge domain and a set of antibody constant domains known as the fragment crystallizable region, or Fc region of a human antibody. A second protein domain can be connected to the Fc region using a linker. The antibody Fc region can elicit an immune response by binding to the corresponding Fc receptors found on various immune cells such as natural killer (NK) cells, and other cells bearing Fc receptors to mediate antibody-dependent cell cytotoxicity resulting in killing the target. With the ADAPTIR platform, the Fc region can be modified to enhance or eliminate these functions. Incorporation of the Fc region into the ADAPTIR platform also provides for an extended serum half-life by engaging recycling via the neonatal Fc receptor or FcRn. A long serum half-life could potentially reduce dosing frequency and dose quantity. The ADAPTIR-FLEX molecules are comprised of at least two polypeptides that are comprised of customized elements similar to ADAPTIR candidates. The Fc region of these molecules can be modified to enable formation of a stable heterodimer. These candidates have similar mutations in the Fc region as ADAPTIR candidates to enable or eliminate binding to Fc receptors, but retaining binding to FcRn to provide for an extended serum half-life.</w:t>
      </w:r>
    </w:p>
    <w:p>
      <w:pPr>
        <w:spacing w:after="0" w:line="6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ADAPTIR platform technology enables the design of both monospecific and bispecific bi-valent protein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83185</wp:posOffset>
            </wp:positionV>
            <wp:extent cx="4311650" cy="3300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165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Bispecific ADAPTIR molecules are similar in structure to monospecific ADAPTIR molecules, with the exception that they have two customized target binding domains on the ends of the Fc region. We have created several bispecific molecules that are able to redirect T-cell cytotoxicity (RTCC). T-cells are white blood cells that fight infections and tumor cells. RTCC ADAPTIR molecules are designed to activate T-cells to specifically kill a tumor. The RTCC ADAPTIR does so by binding to a common component CD3, a receptor complex that activates T cells, when engaging a specific tumor antigen on a specific tumor via the second binding domain, thereby activating the T-cell to kill the tumor.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jc w:val="both"/>
        <w:ind w:firstLine="589"/>
        <w:spacing w:after="0" w:line="277" w:lineRule="auto"/>
        <w:rPr>
          <w:sz w:val="20"/>
          <w:szCs w:val="20"/>
          <w:color w:val="auto"/>
        </w:rPr>
      </w:pPr>
      <w:r>
        <w:rPr>
          <w:rFonts w:ascii="Arial" w:cs="Arial" w:eastAsia="Arial" w:hAnsi="Arial"/>
          <w:sz w:val="18"/>
          <w:szCs w:val="18"/>
          <w:color w:val="auto"/>
        </w:rPr>
        <w:t>Our ADAPTIR-FLEX platform technology extends advantages of ADAPTIR technology to create protein therapeutics with varied specificity and valency and potentially new modes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48895</wp:posOffset>
            </wp:positionV>
            <wp:extent cx="5460365" cy="2143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6036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ADAPTIR-FLEX molecules are composed of two different polypeptides that form a dimer through modifying specific sequences in the Fc region of each polypeptide. Each end of the polypeptide may contain one or two different binding domains, enabling the ADAPTIR-FLEX molecules to bind up to four targets. In addition, the ADAPTIR-FLEX platform can be used to modify the valency of binding to each target, which means it can bind a target, through one binding domain or through multiple binding domains, to a specific target to enable modifying the strength of binding to a specific target.</w:t>
      </w:r>
    </w:p>
    <w:p>
      <w:pPr>
        <w:spacing w:after="0" w:line="49"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We believe that ADAPTIR and ADAPTIR-FLEX are promising platform technologies within the rapidly growing field of immuno-oncology therapeutics. The structural differences between ADAPTIR and ADAPTIR-FLEX molecules and monoclonal antibodies allow for the development of new immunotherapeutics that engage disease targets in a novel manner and produce a unique signaling response. By customizing the binding domains of our molecules, we can select the desired potency, half-life, toxicity and stability/manufacturability. We have the potential to develop products with mechanisms of action including, but not limited to, RTCC, modulating signals through immunostimulatory or immunoinhibitory receptors and targeted cytokine delivery. We can expand our ADAPTIR and ADAPTIR-FLEX platforms to generate monospecifics, bispecifics, or multispecifics that target tumor antigens in combination with costimulatory molecules, including TNF-Receptor family members and other activating or inhibitory signaling receptors. We believe the ADAPTIR and ADAPTIR-FLEX platform technologies may prove to have advantages over other immunotherapeutics and other bispecific T-cell engaging technologies. In pre-clinical studies, we gathered data indicating that APVO436, a RTCC ADAPTIR bispecific that binds CD123, may have high potency and activity at low doses, a long half-life, and reduced cytokine release compared to other bispecifics targeting the same tumor antigens and CD3. The ADAPTIR and ADAPTIR-FLEX monospecifics, bispecifics, and multispecifics can be produced using standard manufacturing practices. Further clinical and pre-clinical studies may not confirm or establish the anticipated benefits of this platform.</w:t>
      </w:r>
    </w:p>
    <w:p>
      <w:pPr>
        <w:spacing w:after="0" w:line="60"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Our ADAPTIR and ADAPTIR-FLEX platform intellectual property (IP) portfolio consists of IP that we solely own and control, with the exception of non-exclusive licenses to Chinese hamster ovary (CHO) cell lines and related expression systems, and a non-exclusive license to certain transgenic rodents of Open Monoclonal Technology, Inc.’s OmniAb platform, which we non-exclusively license from various third parties. See “Intellectual Property” for additional information about the ownership rights to ADAPTIR and ADAPTIR-FLEX platform intellectual property.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Product Portfolio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871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pipeline includes investigational clinical and pre-clinical stage anti-cancer drug candidates with clinical impact potential for treating both hematologic malignancies, also known as “liquid” tumors, and solid tumor cancers.</w:t>
      </w:r>
    </w:p>
    <w:p>
      <w:pPr>
        <w:spacing w:after="0" w:line="6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b w:val="1"/>
          <w:bCs w:val="1"/>
          <w:i w:val="1"/>
          <w:iCs w:val="1"/>
          <w:color w:val="auto"/>
        </w:rPr>
        <w:t xml:space="preserve">APVO436. </w:t>
      </w:r>
      <w:r>
        <w:rPr>
          <w:rFonts w:ascii="Arial" w:cs="Arial" w:eastAsia="Arial" w:hAnsi="Arial"/>
          <w:sz w:val="18"/>
          <w:szCs w:val="18"/>
          <w:color w:val="auto"/>
        </w:rPr>
        <w:t>a recombinant, bispecific T-cell engaging antibody candidate built on Aptevo’s proprietary ADAPTIR protein therapeutic platform,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simultaneously target CD123 and CD3 and redirect T-cell cytotoxicity to the tumor.</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APVO436 is currently being evaluated in a Phase 1/1b open-label, dose-escalation clinical trial in the United States involving patients with AML and MDS. In the current Phase 1a trial, patients receive APVO436 by intravenous dosing up to six 28-day cycles. The objective of the trial is to evaluate safety, pharmacokinetics, and pharmacodynamics of APVO436 in patients. Phase 1 will consist of up to 60 patients and is designed to determine the recommended dose for Phase 1b. The primary endpoint for Phase 1 is designed to be the identification of a maximally tolerated dose (MTD), as the incidence of dose-limiting toxicities (DLT’s) occurring during Cycle 1 of each dose cohort.</w:t>
      </w:r>
    </w:p>
    <w:p>
      <w:pPr>
        <w:spacing w:after="0" w:line="8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Phase 1b is designed to further evaluate the safety and tolerability of APVO436 as well as assess its clinical activity as a single agent at the recommended Phase 2 dose (RP2D) level. The Phase 1b portion of the study will include efficacy endpoints, including but not limited to the overall response rate.</w:t>
      </w:r>
    </w:p>
    <w:p>
      <w:pPr>
        <w:spacing w:after="0" w:line="76"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To date, enrollment in cohorts 1 through 9 has been completed and enrollment in cohort 10 is ongoing. We have observed, as signs of clinical activity, stabilization of leukemia, a response that consequently deepened to partial remission and complete remission (CR) in two difficult to treat relapsed/refractory AML patients. Preliminary data regarding APVO436, indicated that two patients in cohort 6 of the APVO436 clinical trial achieved complete remission. The first patient is no longer in a complete remission status but is continuing therapy, while the second patient progressed and discontinued therapy. Most patients have either completed their dose regimens or have discontinued dosing without a dose-limiting toxicity.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both"/>
        <w:ind w:firstLine="589"/>
        <w:spacing w:after="0" w:line="271" w:lineRule="auto"/>
        <w:rPr>
          <w:sz w:val="20"/>
          <w:szCs w:val="20"/>
          <w:color w:val="auto"/>
        </w:rPr>
      </w:pPr>
      <w:r>
        <w:rPr>
          <w:rFonts w:ascii="Arial" w:cs="Arial" w:eastAsia="Arial" w:hAnsi="Arial"/>
          <w:sz w:val="17"/>
          <w:szCs w:val="17"/>
          <w:color w:val="auto"/>
        </w:rPr>
        <w:t>One of the most significant and frequent side effects associated with the use bispecific, T-cell engaging antibodies are neurologic toxicities. For example, approximately 65 percent of patients treated with Blinatumomab (a bispecific antibody approved for an oncologic indication, sold under the brand name Blincyto, targeting the leukemia-associated CD19 antigen found on acute lymphoblastic leukemia (ALL) cells and redirecting CD3 antigen-carrying T-cells against these leukemia cells) experienced neurologic toxicities, most frequently dizziness, tremor, confusional state, and encephalopathy. Neurological toxicities may be severe, life-threatening, or fatal. Grade 3 or higher neuropsychiatric toxicity has occurred in approximately 15 percent of patients treated with Blinatumomab, including encephalopathy, seizures, speech disorders, disturbance of consciousness, confusion, disorientation, and coordination and balance disorders. Use of dexamethasone is the standard of care for neurotoxicity. Our preliminary data indicates that serious neurologic toxicity is not a frequent complication associated with APVO436 treatment.</w:t>
      </w:r>
    </w:p>
    <w:p>
      <w:pPr>
        <w:spacing w:after="0" w:line="70"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Another potential complication associated with treatment using bispecific, T-cell engaging antibodies is a systemic inflammatory syndrome known as Cytokine Release Syndrome (CRS). CRS may occur within minutes to hours after infusion of the bispecific T-cell engaging antibody or emerge as a delayed onset complication after several days. Clinical manifestations of CRS may range from mild to severe including hypotension, hypoxia, and uncontrolled systemic inflammatory response with circulatory collapse, vascular leakage, peripheral and/or pulmonary edema, renal failure, cardiac dysfunction, and fatal multiorgan system failure. Heart failure can also be a consequence of the systemic inflammatory syndrome of CRS. Another form of systemic inflammation a bispecific T-cell engaging antibody can cause is Hemophagocytic Lymphohistiocytosis (HLH)/Macrophage Activation Syndrome (MAS) which shares many clinical and laboratory features with CRS. HLH/MAS is considered a form of CRS when it occurs after treatment with a bispecific T-cell engaging antibody.</w:t>
      </w:r>
    </w:p>
    <w:p>
      <w:pPr>
        <w:spacing w:after="0" w:line="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CRS have occurred in some APVO436 patients, which have been effectively treated using the generally recommended standard CRS treatment, which includes the use of tocilizumab and dexamethasone, combined with standard supportive care. This has been confirmed effective in the APVO436 patients that have experienced CRS. Several additional treatments for CRS have recently become available, and we are working with key opinion leaders and site investigators to further optimize our algorithm for addressing CRS.</w:t>
      </w:r>
    </w:p>
    <w:p>
      <w:pPr>
        <w:spacing w:after="0" w:line="7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On November 26, 2019, the FDA granted Orphan Drug Designation for AML to APVO436, which grants us exclusive marketing and development rights, as well as eligibility for market exclusivity upon FDA approval of APVO436.</w:t>
      </w:r>
    </w:p>
    <w:p>
      <w:pPr>
        <w:spacing w:after="0" w:line="170"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b w:val="1"/>
          <w:bCs w:val="1"/>
          <w:i w:val="1"/>
          <w:iCs w:val="1"/>
          <w:color w:val="auto"/>
        </w:rPr>
        <w:t xml:space="preserve">ALG.APV-527. </w:t>
      </w:r>
      <w:r>
        <w:rPr>
          <w:rFonts w:ascii="Arial" w:cs="Arial" w:eastAsia="Arial" w:hAnsi="Arial"/>
          <w:sz w:val="18"/>
          <w:szCs w:val="18"/>
          <w:color w:val="auto"/>
        </w:rPr>
        <w:t>a novel investigational bispecific ADAPTIR candidate, developed in partnership with Alligator Bioscience AB (Alligator),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featuring a novel mechanism of action designed to simultaneously target 4-1BB (CD137) and 5T4, a tumor antigen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5T4 tumor antigen, including mesothelioma, non-small-cell-lung, head and neck, pancreatic, renal, ovarian and bladder cancers. Aptevo and Alligator plan to file a clinical trial application (CTA) in Europe in 2021 and to subsequently commence first in human dosing in the fourth quarter of 2021.</w:t>
      </w:r>
    </w:p>
    <w:p>
      <w:pPr>
        <w:spacing w:after="0" w:line="222"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b w:val="1"/>
          <w:bCs w:val="1"/>
          <w:i w:val="1"/>
          <w:iCs w:val="1"/>
          <w:color w:val="auto"/>
        </w:rPr>
        <w:t xml:space="preserve">APVO603. </w:t>
      </w:r>
      <w:r>
        <w:rPr>
          <w:rFonts w:ascii="Arial" w:cs="Arial" w:eastAsia="Arial" w:hAnsi="Arial"/>
          <w:sz w:val="16"/>
          <w:szCs w:val="16"/>
          <w:color w:val="auto"/>
        </w:rPr>
        <w:t>a preclinical dual agonist bispecific ADAPTIR candidate employing a novel mechanism of action to simultaneously target 4-1BB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(CD137) and OX40 (CD134), both members of the TNF-receptor family. Dual targeting of 4-1BB and OX40 provides synergistic co-stimulation of T cells with the potential to amplify the cytotoxic function of activated T cells and NK cells, potentially leading to more robust anti-tumor responses. APVO603’s combined activation of both the 4-1BB and OX40 TNF receptors represents an attractive approach in potentially overcoming the suppressive tumor microenvironment. The targeted co-stimulation of 4-1BB and OX40 has the potential to promote an important immunological cascade, enhancing T-cell activation, prolonging T-cell survival, and improving tumor killing. This product candidate is not dependent on any one tumor antigen and has the potential to treat multiple solid tumors. Additionally, we are initiating IND-enabling studies and CMC activities to support IND submission in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ind w:firstLine="589"/>
        <w:spacing w:after="0" w:line="275" w:lineRule="auto"/>
        <w:rPr>
          <w:sz w:val="20"/>
          <w:szCs w:val="20"/>
          <w:color w:val="auto"/>
        </w:rPr>
      </w:pPr>
      <w:r>
        <w:rPr>
          <w:rFonts w:ascii="Arial" w:cs="Arial" w:eastAsia="Arial" w:hAnsi="Arial"/>
          <w:sz w:val="17"/>
          <w:szCs w:val="17"/>
          <w:b w:val="1"/>
          <w:bCs w:val="1"/>
          <w:i w:val="1"/>
          <w:iCs w:val="1"/>
          <w:color w:val="auto"/>
        </w:rPr>
        <w:t xml:space="preserve">APVO442. </w:t>
      </w:r>
      <w:r>
        <w:rPr>
          <w:rFonts w:ascii="Arial" w:cs="Arial" w:eastAsia="Arial" w:hAnsi="Arial"/>
          <w:sz w:val="17"/>
          <w:szCs w:val="17"/>
          <w:color w:val="auto"/>
        </w:rPr>
        <w:t>a novel bispecific candidate based on the ADAPTIR-FLEX platform technology that binds to PSMA with two identical binding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domains to PSMA and with one binding domain to CD3 with reduced binding affinity. This candidate was designed to increase biodistribution of drugs to PSMA positive tumors for treatment of prostate cancer. The low-affinity single binding domain to CD3 has the potential to allow for increased concentrations at the tumor due to possibly reducing absorption of a drug by circulating peripheral T cells. Preclinical studies have been completed demonstrating in vitro RTCC that is directed to PSMA bearing tumor cell lines in vitro and in vivo animal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face, and will continue to face, intense competition from both U.S.-based and foreign producers of both large and small molecule immunotherapeutic products, some of which have lower cost structures, greater access to capital, greater resources for research and development, and sophisticated marketing capabilities. Any product candidate that we successfully develop and commercialize is likely to compete with currently marketed products, as well as other novel product candidates that are in development for the same indications.</w:t>
      </w:r>
    </w:p>
    <w:p>
      <w:pPr>
        <w:spacing w:after="0" w:line="79"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b w:val="1"/>
          <w:bCs w:val="1"/>
          <w:i w:val="1"/>
          <w:iCs w:val="1"/>
          <w:color w:val="auto"/>
        </w:rPr>
        <w:t xml:space="preserve">APVO436: </w:t>
      </w:r>
      <w:r>
        <w:rPr>
          <w:rFonts w:ascii="Arial" w:cs="Arial" w:eastAsia="Arial" w:hAnsi="Arial"/>
          <w:sz w:val="17"/>
          <w:szCs w:val="17"/>
          <w:color w:val="auto"/>
        </w:rPr>
        <w:t>We anticipate that APVO436 would compete with other agents targeting CD123 that are in development if they are also approved.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Bispecifics in development targeting CD123 include: flotetuzumab (formerly MGD006, Macrogenics), JNJ-63709178 (Janssen) and vibecotamab (formerly XmAb14045, Xencor). There are numerous CAR-T therapies in development: CART123 (University of Penn.), CARTCD123 (NCI/City of Hope), UCART123 (Cellectis), MB-102 (Mustang Bio) and several others in development in China. Other competitive products targeting CD123 are: tagraxofusp (formerly SL-401, an antibody immunotoxin, Stemline), KHK2833 (monoclonal antibody, Kyowa Hakko Kirin Pharma), CSL362 (monoclonal antibody, CSL/Janssen) and IMGN632 (ImmunoGen and Jazz Pharmaceuticals).</w:t>
      </w:r>
    </w:p>
    <w:p>
      <w:pPr>
        <w:spacing w:after="0" w:line="7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b w:val="1"/>
          <w:bCs w:val="1"/>
          <w:i w:val="1"/>
          <w:iCs w:val="1"/>
          <w:color w:val="auto"/>
        </w:rPr>
        <w:t xml:space="preserve">ALG.APV-527: </w:t>
      </w:r>
      <w:r>
        <w:rPr>
          <w:rFonts w:ascii="Arial" w:cs="Arial" w:eastAsia="Arial" w:hAnsi="Arial"/>
          <w:sz w:val="17"/>
          <w:szCs w:val="17"/>
          <w:color w:val="auto"/>
        </w:rPr>
        <w:t>This asset targets 4-1BB in a bispecific format when cross-linked with the tumor antigen 5T4. We anticipate that ALG.APV-527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would compete with bispecifics targeting 5T4 and 4-1BB which are currently in preclinical development (Crescendo Biologics and Macrogenics). In addition, other competitors include bispecifics targeting 4-1BB in combination with other targets such as 4-1BB x FAP (FAP is expressed on tumor associated stomal fibroblasts). 4-1BB x FAP is currently in phase 1 clinical development by Molecular Partners and Amgen for treatment of epithelial cancers. Another bispecific targets 4-1BB x HER (PRS343) which is in phase 1 clinical development by Pieris for treatment of breast cancer.</w:t>
      </w:r>
    </w:p>
    <w:p>
      <w:pPr>
        <w:spacing w:after="0" w:line="68"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Furthermore, we face significant competition in the oncology market in general, including from: AbbVie Inc., Aduro, Inc., Affirmed, Amgen Inc., AnaptysBio, Inc., Astellas Pharma Inc., Bayer AG, Biogen Idec Inc., Boehringer Ingelheim GmbH, F-Star Biotechnology Ltd., Genentech Inc. (a subsidiary of F. Hoffmann-La Roche Ltd.), Genmab A/S, GlaxoSmithKline plc, Grifols USA LLC, Bristol Myers Squibb, ImmunoGen, Inc., Immunomedics, Inc., Janssen BioTech Inc., Johnson &amp; Johnson, Macrogenics, Inc., Novartis International AG, Pieris Pharmaceuticals, Inc., Sanofi-Aventis US LLC, Takeda Pharmaceuticals U.S.A., Inc., Teneobio Inc., Xencor, Inc. and Zymeworks Biopharmaceuticals, Inc. Additionally, there may be other potential competitors or companies developing competitive products that may not be known to us at this time.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COLLABORATIONS WITH ALLIGATOR BIOSCIENCE</w:t>
      </w:r>
    </w:p>
    <w:p>
      <w:pPr>
        <w:spacing w:after="0" w:line="22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T-cells, and 5T4 a tumor antigen overexpressed in a number of different types of cancer. This product candidate is built on our novel ADAPTIR platform.</w:t>
      </w:r>
    </w:p>
    <w:p>
      <w:pPr>
        <w:spacing w:after="0" w:line="8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Subject to certain exceptions for Aptevo R&amp;D’s manufacturing and platform technologies, the parties will jointly own intellectual property generated in the performance of the development activities under the Collaboration Agreement.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ind w:firstLine="589"/>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70"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66"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IXINITY</w:t>
      </w:r>
    </w:p>
    <w:p>
      <w:pPr>
        <w:spacing w:after="0" w:line="229"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b w:val="1"/>
          <w:bCs w:val="1"/>
          <w:i w:val="1"/>
          <w:iCs w:val="1"/>
          <w:color w:val="auto"/>
        </w:rPr>
        <w:t>IXINITY (coagulation factor IX (recombinant))</w:t>
      </w:r>
      <w:r>
        <w:rPr>
          <w:rFonts w:ascii="Arial" w:cs="Arial" w:eastAsia="Arial" w:hAnsi="Arial"/>
          <w:sz w:val="18"/>
          <w:szCs w:val="18"/>
          <w:color w:val="auto"/>
        </w:rPr>
        <w:t>. IXINITY is a third-generation recombinant human coagulation factor IX approved by the FDA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April 2015 in the United States for the control and prevention of bleeding episodes and for perioperative management in adults and children 12 years of age or older with hemophilia B. Hemophilia B, also known as Christmas disease, is a rare, inherited bleeding disorder. The blood of hemophilia B patients has an impaired clotting ability, which results from substantially reduced or missing factor IX activity. Patients with hemophilia B commonly experience joint bleeding with pain and swelling, which can result in irreversible joint damage. They may also experience more serious or life-threatening hemorrhages. People with hemophilia B require factor IX injections to restore normal blood coagulation temporarily. Many patients use regular, prophylactic treatment to try to prevent bleeding episodes, while others use on-demand treatment to control bleeding episodes after they occur. Treatment selection and approach is individualized based on factors including the patient’s condition and age, factor level severity, bleeding pattern, activity level and individual pharmacokinetic parameters.</w:t>
      </w:r>
    </w:p>
    <w:p>
      <w:pPr>
        <w:spacing w:after="0" w:line="10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On February 28, 2020, we entered into an LLC Purchase Agreement with Medexus, pursuant to which Aptevo sold all of the issued and outstanding limited liability company interests of Aptevo BioTherapeutics, a subsidiary of Aptevo wholly owns IXINITY and related Hemophilia B business. As a result of the transaction, Medexus obtained all rights, title and interest to the IXINITY product and intellectual property. In addition, Aptevo BioTherapeutics personnel responsible for the sale and marketing of IXINITY also transitioned to Medexus as part of the transaction.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We rely on a combination of patents, trademarks, trade secrets, and nondisclosure and non-competition agreements to protect our proprietary intellectual property and will continue to do so. We own or exclusively license the patents and patent applications in our patent portfolio that support the ADAPTIR-FLEX platform, ADAPTIR platform and pipeline products, including APVO436, with the exception of certain cell line rights and other research tools, which we license on a non-exclusive basis. We practice patent life cycle management by filing patent applications to protect new inventions relating to meaningful improvements to our products and related methods. We primarily seek patent protection for inventions that support our products and product candidates, but from time to time, we may seek patent protection for inventions that could, for instance, support a potential business opportunity or block a competitor from designing around our existing patents.</w:t>
      </w:r>
    </w:p>
    <w:p>
      <w:pPr>
        <w:spacing w:after="0" w:line="69"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In general, and where possible, we pursue patent protection in countries where we believe there will be a significant market for the corresponding product or product candidate. We generally do not seek patent protection in countries where we have reason to believe we would not be able to enforce patents. For instance, we tend to not file in countries that are frequently listed on the Priority Watch List of the Special 301 Report prepared by the Office of the United States Trade Representative, with the exception that we typically file patent applications in China, Russia and India. We may also decide to take a narrower filing approach for secondary and improvement type inventions as compared to inventions that are more foundational to our products. We do not seek patent protection in countries that are on the United Nations, or U.N., list of Least Developed Countries.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firstLine="589"/>
        <w:spacing w:after="0" w:line="255" w:lineRule="auto"/>
        <w:rPr>
          <w:sz w:val="20"/>
          <w:szCs w:val="20"/>
          <w:color w:val="auto"/>
        </w:rPr>
      </w:pPr>
      <w:r>
        <w:rPr>
          <w:rFonts w:ascii="Arial" w:cs="Arial" w:eastAsia="Arial" w:hAnsi="Arial"/>
          <w:sz w:val="18"/>
          <w:szCs w:val="18"/>
          <w:color w:val="auto"/>
        </w:rPr>
        <w:t>The term of protection for various patents associated with, and expected to be associated with, our marketed product and product candidates is typically twenty years from the filing date, but may vary depending on a variety of factors, including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necessity for terminal disclaimers, the availability of legal remedies in a particular country, and the validity and enforceability of the patents.</w:t>
      </w:r>
    </w:p>
    <w:p>
      <w:pPr>
        <w:spacing w:after="0" w:line="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some cases, we may decide that the best way to protect our intellectual property is to retain proprietary information as trade secrets and confidential information, rather than to apply for patents, which would involve disclosure of proprietary information to the public. When determining whether to protect intellectual property as a trade secret, we consider many factors including, for instance, our ability to maintain the trade secret, the likelihood that a competitor will independently develop the information, our ability to patent protect the intellectual property and the likelihood we would be able to enforce a resulting patent.</w:t>
      </w:r>
    </w:p>
    <w:p>
      <w:pPr>
        <w:spacing w:after="0" w:line="8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These agreements impose various commercial diligence and financial payment obligations on us. We expect to continue to enter into these types of license agreements in the future.</w:t>
      </w:r>
    </w:p>
    <w:p>
      <w:pPr>
        <w:spacing w:after="0" w:line="18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b w:val="1"/>
          <w:bCs w:val="1"/>
          <w:i w:val="1"/>
          <w:iCs w:val="1"/>
          <w:color w:val="auto"/>
        </w:rPr>
        <w:t xml:space="preserve">ADAPTIR and ADAPTIR-FLEX Platforms. </w:t>
      </w:r>
      <w:r>
        <w:rPr>
          <w:rFonts w:ascii="Arial" w:cs="Arial" w:eastAsia="Arial" w:hAnsi="Arial"/>
          <w:sz w:val="18"/>
          <w:szCs w:val="18"/>
          <w:color w:val="auto"/>
        </w:rPr>
        <w:t>We protect the ADAPTIR platform technology through a combination of patents and trade secrets.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own all ADAPTIR and ADAPTIR-FLEX platform intellectual property, with the exception that we have licenses to certain intellectual property related to third party research tools that we use in conjunction with our ADAPTIR platform technology such as cell lines, vectors, expression systems, and transgenic rodents. For instance, we have a non-exclusive commercial license and research license with Lonza Group AG (Lonza) related to its CHO cell lines and vectors. Under our Lonza research license, we have an option to take a license to use the GS System to develop and manufacture therapeutic proteins for our commercial purposes. We also have a non-exclusive license to certain transgenic rodents of Open Monoclonal Technology, Inc.’s OmniAb platform.</w:t>
      </w:r>
    </w:p>
    <w:p>
      <w:pPr>
        <w:spacing w:after="0" w:line="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initial version of the ADAPTIR platform technology was originally developed by Trubion Pharmaceuticals, Inc. (Trubion) prior to its acquisition by Emergent. A patent family supporting use of unique linkers in the homodimer (a molecule consisting of two identical halves) version of the ADAPTIR platform was invented jointly by Trubion and Wyeth Pharmaceuticals, Inc. (Wyeth) as part of a collaboration between the two companies. Wyeth assigned the rights it had in that platform patent family to Trubion. We subsequently acquired the rights to the platform patent family upon our spinoff from Emergent.</w:t>
      </w:r>
    </w:p>
    <w:p>
      <w:pPr>
        <w:spacing w:after="0" w:line="80"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In order to differentiate our platform inventions from antibodies and other antibody-like constructs that have been publicly disclosed, many of our patents and patent applications are directed to unique aspects or components of our platform such as linkers, targets, or binding domains.</w:t>
      </w:r>
    </w:p>
    <w:p>
      <w:pPr>
        <w:spacing w:after="0" w:line="3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have patents relating to the ADAPTIR platform issued in the United States, Australia, Israel, Japan, South Korea, Mexico, Malaysia, New Zealand, Philippines, Russia, Singapore, South Africa, and Vietnam. We also have applications pending in various territories including Europe and Brazil. We plan to continue to improve our ADAPTIR platform and to file patent applications on those improvements. Our decision as to where to file any new ADAPTIR improvement inventions will be based in part on the significance of the improvement. If patents issue on the pending ADAPTIR patent applications, the patent term for those patents are estimated to expire between 2027 and 2036. As our ADAPTIR platform technology evolves, we may decide to allow patent applications and patents to expire if they contain claims that are limited to aspects of the platform that are no longer of value to Aptevo.</w:t>
      </w:r>
    </w:p>
    <w:p>
      <w:pPr>
        <w:spacing w:after="0" w:line="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ADAPTIR-FLEX, our heterodimer platform, is covered by a pending United States provisional patent application. We anticipate filing a patent application under the Patent Cooperation Treaty (PCT) in 2021. The PCT patent application will allow us to file patent applications in PCT member state countries including, for instance, the United States, Europe, Japan, China, Australia, and Canada. If patents claiming priority to the pending ADAPTIR-FLEX patent application are issued, the resulting patents are estimated to expire in 2041.</w:t>
      </w:r>
    </w:p>
    <w:p>
      <w:pPr>
        <w:spacing w:after="0" w:line="7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own patent families directed to use of particular binding domains in the ADAPTIR and ADAPTIR-FLEX platforms. For instance, we have some patents that cover the use of an ADAPTIR therapeutic to target CD3. We also have pending patent applications that cover ADAPTIR therapeutics containing our preferred humanized CD3 binding domain polypeptide sequences.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APVO436. </w:t>
      </w:r>
      <w:r>
        <w:rPr>
          <w:rFonts w:ascii="Arial" w:cs="Arial" w:eastAsia="Arial" w:hAnsi="Arial"/>
          <w:sz w:val="18"/>
          <w:szCs w:val="18"/>
          <w:color w:val="auto"/>
        </w:rPr>
        <w:t>We nationalized our core patent family, which covers the APVO436 product candidate in various countries and territories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Australia, Brazil, Canada, China, Colombia, Europe, Eurasia, India, Indonesia, Israel, Japan, Malaysia, Mexico, New Zealand, Philippines, Singapore, South Africa, South Korea, Ukraine, and Vietnam.</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ALG.APV-527. </w:t>
      </w:r>
      <w:r>
        <w:rPr>
          <w:rFonts w:ascii="Arial" w:cs="Arial" w:eastAsia="Arial" w:hAnsi="Arial"/>
          <w:sz w:val="18"/>
          <w:szCs w:val="18"/>
          <w:color w:val="auto"/>
        </w:rPr>
        <w:t>We co-own with Alligator a patent family corresponding to PCT application PCT/EP2018/069850, which covers the ALG.APV-527 product candidate. In January and February of 2020, this patent family was nationalized in various countries. Aptevo and Alligator also co-own U.S. patent 10,239,949, which relates to protein molecules that specifically bind to 5T4 and/or 4-1BB.</w:t>
      </w:r>
    </w:p>
    <w:p>
      <w:pPr>
        <w:spacing w:after="0" w:line="76"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In addition to the co-owned assets, Alligator owns a patent family corresponding to PCT application PCT/EP2017/059656, which also covers ALG.APV-527. Aptevo has an exclusive license from Alligator to this patent family for the development of the ALG.APV-527 product candidate.</w:t>
      </w:r>
    </w:p>
    <w:p>
      <w:pPr>
        <w:spacing w:after="0" w:line="14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Pre-Clinical Therapeutic Candidates. </w:t>
      </w:r>
      <w:r>
        <w:rPr>
          <w:rFonts w:ascii="Arial" w:cs="Arial" w:eastAsia="Arial" w:hAnsi="Arial"/>
          <w:sz w:val="18"/>
          <w:szCs w:val="18"/>
          <w:color w:val="auto"/>
        </w:rPr>
        <w:t>We routinely file United States provisional patent applications and/or Patent Cooperation Treaty (PCT)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 applications on our pre-clinical therapeutic assets when we believe we have sufficient data to support a patent application filing. Aptevo owns pending patent applications, for instance, which support its APVO603 and APVO442 therapeutic candidates.</w:t>
      </w:r>
    </w:p>
    <w:p>
      <w:pPr>
        <w:spacing w:after="0" w:line="184"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b w:val="1"/>
          <w:bCs w:val="1"/>
          <w:i w:val="1"/>
          <w:iCs w:val="1"/>
          <w:color w:val="auto"/>
        </w:rPr>
        <w:t xml:space="preserve">Trademarks owned by Aptevo Therapeutics Inc. and its subsidiaries. </w:t>
      </w:r>
      <w:r>
        <w:rPr>
          <w:rFonts w:ascii="Arial" w:cs="Arial" w:eastAsia="Arial" w:hAnsi="Arial"/>
          <w:sz w:val="16"/>
          <w:szCs w:val="16"/>
          <w:color w:val="auto"/>
        </w:rPr>
        <w:t>Where possible, we pursue registered trademarks for our marketed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significant markets. We own trademark registrations and pending applications for the marks: APTEVO THERAPEUTICS, APTEVO BIOTHERAPEUTICS, APTEVO RESEARCH AND DEVELOPMENT, the Aptevo logo, ADAPTIR, and ADAPTIR-FLEX in relevant jurisdictions.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Regulations in the United States and other countries have a significant impact on our product development, manufacturing, and marketing activities. Government authorities in the United States, at the federal, state, and local level, and in other countries, extensively regulate, among other things, the research, development, testing, approval, manufacture, packaging, storage, recordkeeping, labeling, advertising, promotion, distribution, marketing, import, and export of biopharmaceutical products. In addition, sponsors of biopharmaceutical products participating in Medicaid and Medicare are required to comply with mandatory price reporting, discount, and rebate requirements. The processes for obtaining regulatory approvals in the United States and in foreign countries, along with compliance with applicable statutes and regulations, require the expenditure of substantial time and financial resources. In the United States, the FDA regulates biopharmaceutical products under the Federal Food, Drug, and Cosmetic Act, or FDCA, the Public Health Services Act, or PHSA, and their implementing regulations. FDA’s requirements and expectations with respect to product development are constantly evolving. By example, in light of the COVID-19 pandemic, the FDA issued a number of guidance documents to assist companies navigating COVID-19, product development, and manufacturing.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for Therapeutics</w:t>
      </w:r>
    </w:p>
    <w:p>
      <w:pPr>
        <w:spacing w:after="0" w:line="12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b w:val="1"/>
          <w:bCs w:val="1"/>
          <w:i w:val="1"/>
          <w:iCs w:val="1"/>
          <w:color w:val="auto"/>
        </w:rPr>
        <w:t xml:space="preserve">Pre-clinical Testing. </w:t>
      </w:r>
      <w:r>
        <w:rPr>
          <w:rFonts w:ascii="Arial" w:cs="Arial" w:eastAsia="Arial" w:hAnsi="Arial"/>
          <w:sz w:val="16"/>
          <w:szCs w:val="16"/>
          <w:color w:val="auto"/>
        </w:rPr>
        <w:t>Before beginning testing of any compounds with potential therapeutic value in human subjects in the United States, stringent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 as well as its chemistry, pharmacology, and toxicity. We perform pre-clinical testing on all of our product candidates before we initiate any human trials.</w:t>
      </w:r>
    </w:p>
    <w:p>
      <w:pPr>
        <w:spacing w:after="0" w:line="49"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b w:val="1"/>
          <w:bCs w:val="1"/>
          <w:i w:val="1"/>
          <w:iCs w:val="1"/>
          <w:color w:val="auto"/>
        </w:rPr>
        <w:t xml:space="preserve">Investigational New Drug Application. </w:t>
      </w:r>
      <w:r>
        <w:rPr>
          <w:rFonts w:ascii="Arial" w:cs="Arial" w:eastAsia="Arial" w:hAnsi="Arial"/>
          <w:sz w:val="16"/>
          <w:szCs w:val="16"/>
          <w:color w:val="auto"/>
        </w:rPr>
        <w:t>Before clinical testing may begin, the results of pre-clinical testing, together with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analytical data and any other available clinical data or literature, must be submitted to the United States Food and Drug Administration, or FDA, as part of an Investigational New Drug Application, or IND. The sponsor must also include an initial protocol detailing the first phase of the proposed clinical investigation, together with information regarding the qualifications of the clinical investigators. The provided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ind w:firstLine="589"/>
        <w:spacing w:after="0" w:line="275" w:lineRule="auto"/>
        <w:rPr>
          <w:sz w:val="20"/>
          <w:szCs w:val="20"/>
          <w:color w:val="auto"/>
        </w:rPr>
      </w:pPr>
      <w:r>
        <w:rPr>
          <w:rFonts w:ascii="Arial" w:cs="Arial" w:eastAsia="Arial" w:hAnsi="Arial"/>
          <w:sz w:val="17"/>
          <w:szCs w:val="17"/>
          <w:b w:val="1"/>
          <w:bCs w:val="1"/>
          <w:i w:val="1"/>
          <w:iCs w:val="1"/>
          <w:color w:val="auto"/>
        </w:rPr>
        <w:t xml:space="preserve">Clinical Trials. </w:t>
      </w:r>
      <w:r>
        <w:rPr>
          <w:rFonts w:ascii="Arial" w:cs="Arial" w:eastAsia="Arial" w:hAnsi="Arial"/>
          <w:sz w:val="17"/>
          <w:szCs w:val="17"/>
          <w:color w:val="auto"/>
        </w:rPr>
        <w:t>Clinical trials involve the administration of the drug to healthy human volunteers, or to patients with the target disease or disorder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supervision of a qualified 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and any subsequent amendments, must be submitted to the FDA, as part of the IND, or comparable foreign regulatory authorities.</w:t>
      </w:r>
    </w:p>
    <w:p>
      <w:pPr>
        <w:spacing w:after="0" w:line="68" w:lineRule="exact"/>
        <w:rPr>
          <w:sz w:val="20"/>
          <w:szCs w:val="20"/>
          <w:color w:val="auto"/>
        </w:rPr>
      </w:pPr>
    </w:p>
    <w:p>
      <w:pPr>
        <w:jc w:val="both"/>
        <w:ind w:left="1160" w:hanging="572"/>
        <w:spacing w:after="0" w:line="269"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Phase 1 clinical trials test for safety, dose tolerance, absorption, bio-distribution, metabolism, excretion, structure activity relationships, mechanism of action, and clinical pharmacology and, if possible, for early evidence regarding efficacy. Phase 1 studies may be conducted in healthy human volunteers or patients with the target disease or condition. Phase 1a is typically a dose escalation trial. Phase 1b may involve cohort expansion at one or more dose levels to determine the recommended Phase 2 dose.</w:t>
      </w:r>
    </w:p>
    <w:p>
      <w:pPr>
        <w:spacing w:after="0" w:line="1" w:lineRule="exact"/>
        <w:rPr>
          <w:rFonts w:ascii="Arial" w:cs="Arial" w:eastAsia="Arial" w:hAnsi="Arial"/>
          <w:sz w:val="17"/>
          <w:szCs w:val="17"/>
          <w:color w:val="auto"/>
        </w:rPr>
      </w:pPr>
    </w:p>
    <w:p>
      <w:pPr>
        <w:jc w:val="both"/>
        <w:ind w:left="1160" w:hanging="572"/>
        <w:spacing w:after="0" w:line="250"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2 clinical trials are controlled studies that involve a small sample of individuals with the target disease or disorder and seek to assess the efficacy of the drug for specific targeted indications to determine dose response and the optimal dose range and dose regimen and to gather additional information relating to safety and potential adverse effects.</w:t>
      </w:r>
    </w:p>
    <w:p>
      <w:pPr>
        <w:spacing w:after="0" w:line="1" w:lineRule="exact"/>
        <w:rPr>
          <w:rFonts w:ascii="Arial" w:cs="Arial" w:eastAsia="Arial" w:hAnsi="Arial"/>
          <w:sz w:val="18"/>
          <w:szCs w:val="18"/>
          <w:color w:val="auto"/>
        </w:rPr>
      </w:pPr>
    </w:p>
    <w:p>
      <w:pPr>
        <w:jc w:val="both"/>
        <w:ind w:left="1160" w:hanging="572"/>
        <w:spacing w:after="0" w:line="265"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Phase 3 clinical trials are adequate and controlled studies that consist of expanded, large-scale studies of patients, at geographically dispersed sites, with the target disease or disorder to obtain definitive statistical evidence of the efficacy and safety of the proposed product and dosing regimen. The safety and efficacy data generated from Phase 3 clinical trials typically form the basis for FDA or comparable foreign regulatory authorities approval of the product candidate, as well as product labeling. Typically, two Phase 3 trials are required by the FDA for product approval. Under some limited circumstances, however, the FDA may approve a BLA based upon a single Phase 3 clinical study plus confirmatory evidence or a single large multicenter trial without confirmatory evidence.</w:t>
      </w:r>
    </w:p>
    <w:p>
      <w:pPr>
        <w:jc w:val="both"/>
        <w:ind w:left="1160" w:hanging="572"/>
        <w:spacing w:after="0" w:line="25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4 clinical trials, if conducted, are conducted after a product has been approved. These trials can be conducted for a number of purposes, including to collect long-term safety information or to collect additional data about a specific population. As part of a product approval, the FDA or comparable foreign regulatory authorities may require that certain Phase 4 studies, which are called post-marketing commitment studies, be conducted post-approval. The results of Phase 4 studies can confirm or refute the effectiveness of a product candidate, and can provide important safety information.</w:t>
      </w:r>
    </w:p>
    <w:p>
      <w:pPr>
        <w:spacing w:after="0" w:line="83"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Additional kinds of data may also help to support a BLA or product development, such as patient experience and real world evidence. For appropriate indications sought through supplemental BLAs, data summaries may provide marketing application support. For genetically targeted products and variant protein targeted products intended to address an unmet medical need in one or more patient subgroups with a serious or life threatening rare disease or condition, the FDA may allow a sponsor to rely upon data and information previously developed by the sponsor or for which the sponsor has a right of reference, that was submitted previously to support an approved application for a product that incorporates or utilizes the same or similar genetically targeted technology or a product that is the same or utilizes the same variant protein targeted drug as the product that is the subject of the application.</w:t>
      </w:r>
    </w:p>
    <w:p>
      <w:pPr>
        <w:spacing w:after="0" w:line="8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In addition, under the Pediatric Research Equity Act of 2003, or PREA, BLAs and supplements for a new active ingredient, indication, dosage form, dosage regimen, or route of administration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 for the relevant indication.</w:t>
      </w:r>
    </w:p>
    <w:p>
      <w:pPr>
        <w:spacing w:after="0" w:line="176"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b w:val="1"/>
          <w:bCs w:val="1"/>
          <w:i w:val="1"/>
          <w:iCs w:val="1"/>
          <w:color w:val="auto"/>
        </w:rPr>
        <w:t xml:space="preserve">Good Clinical Practice. </w:t>
      </w:r>
      <w:r>
        <w:rPr>
          <w:rFonts w:ascii="Arial" w:cs="Arial" w:eastAsia="Arial" w:hAnsi="Arial"/>
          <w:sz w:val="17"/>
          <w:szCs w:val="17"/>
          <w:color w:val="auto"/>
        </w:rPr>
        <w:t>All of the phases of clinical studies must be conducted in conformance with the FDA’s Good Clinical Practices (GCPs)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equivalent standards from comparable foreign regulatory authorities, which are ethical and scientific quality standards for conducting, recording and reporting clinical trials to assure that the data and reported results are credible and accurate and that the rights, safety and well-being of trial participants are protected. GCPs include requirements that all research subjects provide their informed consent in writing for their participation in any clinical trial. Investigators must also provide certain information to the clinical trial sponsors to allow the sponsors to make certain financial disclosures to the FDA. In addition, an Institutional Review Board, or IRB, at each study site participating in the clinical trial or a central IRB must review and approve the plan for any clinical trial, informed consent forms, and communications to study subjects before a study commences at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If a product candidate is being investigated for multiple intended indications, separate INDs may also be required. Progress reports detailing the results of the clinical trials must also be submitted at least annually to the FDA and the IRB and more frequently if serious adverse events or other significant safety information is found.</w:t>
      </w:r>
    </w:p>
    <w:p>
      <w:pPr>
        <w:spacing w:after="0" w:line="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7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manufacture of investigational biologics for the conduct of human clinical trials is subject to FDA’s current Good Manufacturing Practice, or cGMP requirements. Investigational biologics and therapeutic substances imported into the United States are also subject to regulation by the FDA. Further, the export of investigational products outside of the United States is subject to regulatory requirements of the receiving country as well as U.S. export requirements under the FDCA.</w:t>
      </w:r>
    </w:p>
    <w:p>
      <w:pPr>
        <w:spacing w:after="0" w:line="79"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84"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Approval - Biologics</w:t>
      </w:r>
    </w:p>
    <w:p>
      <w:pPr>
        <w:spacing w:after="0" w:line="12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b w:val="1"/>
          <w:bCs w:val="1"/>
          <w:i w:val="1"/>
          <w:iCs w:val="1"/>
          <w:color w:val="auto"/>
        </w:rPr>
        <w:t xml:space="preserve">Biologics License Application. </w:t>
      </w:r>
      <w:r>
        <w:rPr>
          <w:rFonts w:ascii="Arial" w:cs="Arial" w:eastAsia="Arial" w:hAnsi="Arial"/>
          <w:sz w:val="18"/>
          <w:szCs w:val="18"/>
          <w:color w:val="auto"/>
        </w:rPr>
        <w:t>All data obtained from a comprehensive development program, including research and product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pre-clinical and clinical trials, labeling and related information are submitted in a biologics license application, or BLA, to the FDA and in similar regulatory filings with the corresponding agencies in other countries for review and approval. In most cases, the submission of a marketing application is subject to a substantial application user fee. These user fees must be paid at the time of the first submission of the application, even if the application is being submitted on a rolling basis. Fee waivers or reductions are available in certain circumstances. By example, product candidates that are designated as orphan products, which are further described below, are not subject to application user fees unless the application includes an indication other than the orphan indication.</w:t>
      </w:r>
    </w:p>
    <w:p>
      <w:pPr>
        <w:spacing w:after="0" w:line="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The resubmitted application is also subject to review before the FDA accepts it for filing. The FDA has two months to review an application for its acceptability for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firstLine="589"/>
        <w:spacing w:after="0" w:line="254" w:lineRule="auto"/>
        <w:rPr>
          <w:sz w:val="20"/>
          <w:szCs w:val="20"/>
          <w:color w:val="auto"/>
        </w:rPr>
      </w:pPr>
      <w:r>
        <w:rPr>
          <w:rFonts w:ascii="Arial" w:cs="Arial" w:eastAsia="Arial" w:hAnsi="Arial"/>
          <w:sz w:val="18"/>
          <w:szCs w:val="18"/>
          <w:color w:val="auto"/>
        </w:rPr>
        <w:t>Once an application is accepted for filing, the FDA begins an in-depth substantive review. The Prescription Drug User Fee Act, or PDUFA, establishes a two-tiered review system: Standard Review and Priority Review. When conducting Priority Review, the FDA has a goal to review and act on BLA submissions within six months from the date of the FDA’s acceptance for filing of the application, rather than the ten-month goal under a Standard Review. The FDA gives Priority Review status to product candidates that provide safe and effective therapies where no satisfactory alternative exists or to a product candidate that are intended to treat serious conditions and, if approved, would provide significant improvements in the safety or effectiveness of the treatment, diagnosis, or prevention of the serious condition. The PDUFA date is only a goal, thus, the FDA does not always meet its PDUFA dates. The review process and the PDUFA date may also be extended if the FDA requests or the sponsor otherwise provides substantial additional information or clarification regarding the submission.</w:t>
      </w:r>
    </w:p>
    <w:p>
      <w:pPr>
        <w:spacing w:after="0" w:line="8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The FDA may refer certain applications to an advisory committee. Before approving a product candidate for which no active ingredient (including any ester or salt of active ingredients) has previously been approved by the FDA, the FDA must either refer that product candidate to an external advisory committee or provide in an action letter, a summary of the reasons why the FDA did not refer the product candidate to an advisory committee. The FDA may also refer other product candidates to an advisory committee if FDA believes that the advisory committee’s expertise would be beneficial.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8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 marketing application the FDA will inspect one or more clinical trial sites to assure compliance with GCPs.</w:t>
      </w:r>
    </w:p>
    <w:p>
      <w:pPr>
        <w:spacing w:after="0" w:line="56" w:lineRule="exact"/>
        <w:rPr>
          <w:sz w:val="20"/>
          <w:szCs w:val="20"/>
          <w:color w:val="auto"/>
        </w:rPr>
      </w:pPr>
    </w:p>
    <w:p>
      <w:pPr>
        <w:jc w:val="both"/>
        <w:ind w:firstLine="594"/>
        <w:spacing w:after="0" w:line="271" w:lineRule="auto"/>
        <w:rPr>
          <w:sz w:val="20"/>
          <w:szCs w:val="20"/>
          <w:color w:val="auto"/>
        </w:rPr>
      </w:pPr>
      <w:r>
        <w:rPr>
          <w:rFonts w:ascii="Arial" w:cs="Arial" w:eastAsia="Arial" w:hAnsi="Arial"/>
          <w:sz w:val="17"/>
          <w:szCs w:val="17"/>
          <w:color w:val="auto"/>
        </w:rPr>
        <w:t>In reviewing a BLA, the FDA may grant approval or deny the application through a complete response letter, or CRL, if it determines the application does not provide an adequate basis for approval requesting additional information. A CRL indicates that the review cycle of the application is complete and the application is not ready for approval and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Even if additional information outlined in a CRL is submitted, the FDA may ultimately decide that the BLA does not satisfy the criteria for approval.</w:t>
      </w:r>
    </w:p>
    <w:p>
      <w:pPr>
        <w:spacing w:after="0" w:line="70" w:lineRule="exact"/>
        <w:rPr>
          <w:sz w:val="20"/>
          <w:szCs w:val="20"/>
          <w:color w:val="auto"/>
        </w:rPr>
      </w:pPr>
    </w:p>
    <w:p>
      <w:pPr>
        <w:jc w:val="both"/>
        <w:ind w:firstLine="594"/>
        <w:spacing w:after="0" w:line="272" w:lineRule="auto"/>
        <w:rPr>
          <w:sz w:val="20"/>
          <w:szCs w:val="20"/>
          <w:color w:val="auto"/>
        </w:rPr>
      </w:pPr>
      <w:r>
        <w:rPr>
          <w:rFonts w:ascii="Arial" w:cs="Arial" w:eastAsia="Arial" w:hAnsi="Arial"/>
          <w:sz w:val="17"/>
          <w:szCs w:val="17"/>
          <w:color w:val="auto"/>
        </w:rPr>
        <w:t>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or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Following product approval, a REMS may also be required by the FDA if new safety information is discovered and the FDA determines that a REMS is necessary to ensure that the benefits of the product outweigh the risks.</w:t>
      </w:r>
    </w:p>
    <w:p>
      <w:pPr>
        <w:spacing w:after="0" w:line="69" w:lineRule="exact"/>
        <w:rPr>
          <w:sz w:val="20"/>
          <w:szCs w:val="20"/>
          <w:color w:val="auto"/>
        </w:rPr>
      </w:pPr>
    </w:p>
    <w:p>
      <w:pPr>
        <w:jc w:val="both"/>
        <w:ind w:firstLine="594"/>
        <w:spacing w:after="0" w:line="275" w:lineRule="auto"/>
        <w:rPr>
          <w:sz w:val="20"/>
          <w:szCs w:val="20"/>
          <w:color w:val="auto"/>
        </w:rPr>
      </w:pPr>
      <w:r>
        <w:rPr>
          <w:rFonts w:ascii="Arial" w:cs="Arial" w:eastAsia="Arial" w:hAnsi="Arial"/>
          <w:sz w:val="17"/>
          <w:szCs w:val="17"/>
          <w:color w:val="auto"/>
        </w:rPr>
        <w:t>The FDA may also significantly limit the indications or populations approved for a given product, require that contraindications, warnings, or precautions be included in the product labeling, including a boxed warning, and/or require, as a condition of approval, enhanced labeling, special packaging or labeling, post-approval clinical trials, distribution or other risk management mechanisms, expedited reporting of certain adverse events, pre-approval of promotional materials or restrictions on direct-to-consumer advertising, any of which could negatively impact the commercial success of a drug. The FDA may also not approve label statements that are necessary for successful commercialization and marketing.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ind w:firstLine="589"/>
        <w:spacing w:after="0" w:line="279" w:lineRule="auto"/>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pacing w:after="0" w:line="17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b w:val="1"/>
          <w:bCs w:val="1"/>
          <w:i w:val="1"/>
          <w:iCs w:val="1"/>
          <w:color w:val="auto"/>
        </w:rPr>
        <w:t xml:space="preserve">Breakthrough Therapy. </w:t>
      </w:r>
      <w:r>
        <w:rPr>
          <w:rFonts w:ascii="Arial" w:cs="Arial" w:eastAsia="Arial" w:hAnsi="Arial"/>
          <w:sz w:val="17"/>
          <w:szCs w:val="17"/>
          <w:color w:val="auto"/>
        </w:rPr>
        <w:t>Under the provisions of the Food and Drug Administration Safety and Innovation Act, or FDASIA, the FDA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designate a product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8"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b w:val="1"/>
          <w:bCs w:val="1"/>
          <w:i w:val="1"/>
          <w:iCs w:val="1"/>
          <w:color w:val="auto"/>
        </w:rPr>
        <w:t xml:space="preserve">Orphan Drugs. </w:t>
      </w:r>
      <w:r>
        <w:rPr>
          <w:rFonts w:ascii="Arial" w:cs="Arial" w:eastAsia="Arial" w:hAnsi="Arial"/>
          <w:sz w:val="16"/>
          <w:szCs w:val="16"/>
          <w:color w:val="auto"/>
        </w:rPr>
        <w:t>Under the Orphan Drug Act, an applicant can request the FDA to designate a product as an “orphan drug” in the United States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drug is intended to treat an orphan, or rare, disease or condition. A disease or condition is considered orphan if it affects fewer than 200,000 people in the United States, or affecting more than 200,000 in the United States and for which there is no reasonable expectation that the cost of developing and making the product available in the United States will be recovered from United States sales. Additionally, sponsors must present a plausible hypothesis for clinical superiority to obtain orphan drug designation if there is a product already approved by the FDA that that is considered by the FDA to be the same as the already approved product and is intended for the same indication. This hypothesis must be demonstrated to obtain orphan exclusivity. Orphan drug designation must be requested before submitting a BLA. Products designated as orphan drugs are eligible for special grant funding for research and development, potential tax credits for research, waived user fees for marketing applications and a seven-year period of market exclusivity after marketing approval. The tax advantages, however, were limited in the 2017 Tax Cuts and Jobs Act.</w:t>
      </w:r>
    </w:p>
    <w:p>
      <w:pPr>
        <w:spacing w:after="0" w:line="58"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On November 26, 2019 FDA granted Orphan Drug Designation to APVO436, a bispecific antibody candidate intended for the treatment of acute myelogenous leukemia (AML). APVO436 is currently being evaluated in a Phase 1/1b clinical trial in patients with AML and myelodysplastic syndrome (MDS).</w:t>
      </w:r>
    </w:p>
    <w:p>
      <w:pPr>
        <w:spacing w:after="0" w:line="17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b w:val="1"/>
          <w:bCs w:val="1"/>
          <w:i w:val="1"/>
          <w:iCs w:val="1"/>
          <w:color w:val="auto"/>
        </w:rPr>
        <w:t xml:space="preserve">Post-Approval Requirements. </w:t>
      </w:r>
      <w:r>
        <w:rPr>
          <w:rFonts w:ascii="Arial" w:cs="Arial" w:eastAsia="Arial" w:hAnsi="Arial"/>
          <w:sz w:val="16"/>
          <w:szCs w:val="16"/>
          <w:color w:val="auto"/>
        </w:rPr>
        <w:t>Any biologic for which we receive FDA approval will be subject to continuing regulation by the FDA,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other things, record keeping requirements, reporting of adverse experiences, reporting of deviations and shortages,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authority to require post-approval clinical trials and/or safety labeling changes if warranted. In certain circumstances, the FDA may impose a REMS after a product has been approved.</w:t>
      </w:r>
    </w:p>
    <w:p>
      <w:pPr>
        <w:spacing w:after="0" w:line="56"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Facilities involved in the manufacture and distribution of approved products are required to register their establishments with the FDA and certain state agencies, list their manufactured products, and are subject to periodic unannounced inspections by the FDA for compliance with cGMP and other laws. Recently, the information that must be submitted to FDA regarding manufactured products was expanded through the Coronavirus Aid, Relief, and Economic Security, or CARES, Act to include the volume of drugs produced during the prior year. Manufacturers must continue to expend time, money, and effort in the areas of production and quality-control to maintain compliance with cGMPs. Regulatory authorities may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ind w:firstLine="589"/>
        <w:spacing w:after="0" w:line="270" w:lineRule="auto"/>
        <w:rPr>
          <w:sz w:val="20"/>
          <w:szCs w:val="20"/>
          <w:color w:val="auto"/>
        </w:rPr>
      </w:pPr>
      <w:r>
        <w:rPr>
          <w:rFonts w:ascii="Arial" w:cs="Arial" w:eastAsia="Arial" w:hAnsi="Arial"/>
          <w:sz w:val="17"/>
          <w:szCs w:val="17"/>
          <w:color w:val="auto"/>
        </w:rPr>
        <w:t>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Physicians, in their independent professional medical judgment, however, may prescribe legally available products for unapproved indications that are not described in the product’s labeling and that differ from those tested and approved by the FDA. Certain additional restrictions on advertising and promotion exist for products that have boxed warnings in their approved package inserts.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exclusion from participation in federal healthcare programs, mandatory compliance programs under corporate integrity agreements, suspension and debarment from government contracts, and refusal of orders under existing government contracts.</w:t>
      </w:r>
    </w:p>
    <w:p>
      <w:pPr>
        <w:spacing w:after="0" w:line="181"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b w:val="1"/>
          <w:bCs w:val="1"/>
          <w:i w:val="1"/>
          <w:iCs w:val="1"/>
          <w:color w:val="auto"/>
        </w:rPr>
        <w:t xml:space="preserve">Biosimilars and Exclusivity. </w:t>
      </w:r>
      <w:r>
        <w:rPr>
          <w:rFonts w:ascii="Arial" w:cs="Arial" w:eastAsia="Arial" w:hAnsi="Arial"/>
          <w:sz w:val="18"/>
          <w:szCs w:val="18"/>
          <w:color w:val="auto"/>
        </w:rPr>
        <w:t>The Biologics Price Competition and Innovation Act of 2009, or BPCIA, creates an abbreviated approval pathway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biological products shown to be highly similar to or interchangeable with an FDA-licensed reference biological product.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86"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A reference biologic is granted 12 years of exclusivity from the time of first licensure, and no application for a biosimilar can be submitted for four years from the date of licensure. However, certain changes and supplements to an approved BLA, and subsequent applications filed by the same sponsor, manufacturer, licensor, predecessor in interest, or other related entity do not qualify for the twelve-year exclusivity period. The PHSA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5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an effort to increase competition in the biologic product marketplace, Congress, the executive branch, and FDA have taken certain legislative and regulatory steps. For example, in 2020, FDA finalized a guidance to facilitate drug and biologic product importation. Moreover, the 2020 Further Consolidated Appropriations Act included provisions requiring that sponsors of approved biologic products, including those subject to REMS, provide samples of the approved products to persons developing biosimilar products within specified timeframes, in sufficient quantities, and on commercially reasonable market-based terms. Failure to do so can subject the approved product sponsor to civil actions, penalties, and responsibility for attorney’s fees and costs of the civil action. This same bill also includes provisions with respect to shared and separate REMS programs for reference and generic drug products.</w:t>
      </w:r>
    </w:p>
    <w:p>
      <w:pPr>
        <w:spacing w:after="0" w:line="19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b w:val="1"/>
          <w:bCs w:val="1"/>
          <w:i w:val="1"/>
          <w:iCs w:val="1"/>
          <w:color w:val="auto"/>
        </w:rPr>
        <w:t xml:space="preserve">Patent Term Restoration. </w:t>
      </w:r>
      <w:r>
        <w:rPr>
          <w:rFonts w:ascii="Arial" w:cs="Arial" w:eastAsia="Arial" w:hAnsi="Arial"/>
          <w:sz w:val="18"/>
          <w:szCs w:val="18"/>
          <w:color w:val="auto"/>
        </w:rPr>
        <w:t>If approved, biologic products may also be eligible for periods of U.S. patent term restoration. If granted, patent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restoration extends the patent life of a single unexpired patent, that has not previously been extended, for a maximum of five years. The total patent life of the product with the extension also cannot exceed fourteen years from the product’ approval date. Subject to the prior limitations, the period of the extension is calculated by adding half of the time from the effective date of an IND to the initial submission of a marketing application, and all of the time between the submission of the marketing application and its approval. This period may also be reduced by any time that the applicant did not act with due diligence.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ind w:firstLine="589"/>
        <w:spacing w:after="0" w:line="269" w:lineRule="auto"/>
        <w:rPr>
          <w:sz w:val="20"/>
          <w:szCs w:val="20"/>
          <w:color w:val="auto"/>
        </w:rPr>
      </w:pPr>
      <w:r>
        <w:rPr>
          <w:rFonts w:ascii="Arial" w:cs="Arial" w:eastAsia="Arial" w:hAnsi="Arial"/>
          <w:sz w:val="17"/>
          <w:szCs w:val="17"/>
          <w:b w:val="1"/>
          <w:bCs w:val="1"/>
          <w:i w:val="1"/>
          <w:iCs w:val="1"/>
          <w:color w:val="auto"/>
        </w:rPr>
        <w:t xml:space="preserve">Regulation in the European Union. </w:t>
      </w:r>
      <w:r>
        <w:rPr>
          <w:rFonts w:ascii="Arial" w:cs="Arial" w:eastAsia="Arial" w:hAnsi="Arial"/>
          <w:sz w:val="17"/>
          <w:szCs w:val="17"/>
          <w:color w:val="auto"/>
        </w:rPr>
        <w:t>Product development, the regulatory approval process and safety monitoring of medicinal products and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manufacturers in the European Union proceed broadly in the same way as they do in the United States. Therefore, many of the issues discussed above apply similarly in the context of the European Union. In addition, drugs are subject to the extensive price and reimbursement regulations of the various EU member states. The Clinical Trials Directive 2001/20/EC, as amended (“CTD”) (and to be replaced by the Clinical Trial Regulation EU 536/2014) (“CTR”) (it is anticipated by December 2021), provides a system for the approval of clinical trials in the European Union via (in the case of the CTD) implementation through national legislation of the member states. The CTR is directly applicable in all member states without the need for national implementation. Under this system, approval (a CTA) must be obtained from the competent national authority of an EU member state in which the clinical trial is to be conducted. Once the CTR comes into effect however, it will be possible within the EU to make a single harmonized electronic submission and have a single assessment process for clinical trials conducted in multiple member states. CTA applications must be supported by an investigational medicinal product dossier with supporting information prescribed by the CTD and corresponding national laws of the member states and further detailed in applicable guidance documents. Furthermore, a clinical trial may only be started after a competent ethics committee has issued a favorable opinion in response to a request for an opinion to the Ethics Committee.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Healthcare Fraud and Abuse and Anti-Corruption Laws</w:t>
      </w:r>
    </w:p>
    <w:p>
      <w:pPr>
        <w:spacing w:after="0" w:line="121" w:lineRule="exact"/>
        <w:rPr>
          <w:sz w:val="20"/>
          <w:szCs w:val="20"/>
          <w:color w:val="auto"/>
        </w:rPr>
      </w:pPr>
    </w:p>
    <w:p>
      <w:pPr>
        <w:jc w:val="both"/>
        <w:ind w:firstLine="594"/>
        <w:spacing w:after="0" w:line="286" w:lineRule="auto"/>
        <w:rPr>
          <w:sz w:val="20"/>
          <w:szCs w:val="20"/>
          <w:color w:val="auto"/>
        </w:rPr>
      </w:pPr>
      <w:r>
        <w:rPr>
          <w:rFonts w:ascii="Arial" w:cs="Arial" w:eastAsia="Arial" w:hAnsi="Arial"/>
          <w:sz w:val="16"/>
          <w:szCs w:val="16"/>
          <w:color w:val="auto"/>
        </w:rPr>
        <w:t>Various federal and state laws pertaining to health care “fraud and abuse” exist, including state and federal anti-kickback laws false claims laws, and patent privacy and security laws. Anti-kickback laws make it illegal for a drug manufacturer to knowingly and willfully solicit, offer, receive or pay any remuneration in exchange for, to induce, or in return for, the referral of business that may be reimbursed by a third party payor (including Medicare and Medicaid), including the purchase, prescribing or recommendation of a particular drug. Due to the breadth of the statutory provisions, it is possible that our practices might be challenged under anti-kickback or similar laws. Civil and criminal false claims laws, false statement laws and civil monetary penalty laws prohibit, among other things, anyone from knowingly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Privacy and security laws, such as the Health Insurance Portability and Accountability Act of 1996, or HIPAA, create federal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Additionally, HIPAA, as amended by the Health Information Technology for Economic and Clinical Health, or HITECH, and their respective implementing regulations, impose certain requirements relating to the privacy, security, and transmission of individually identifiable health information.</w:t>
      </w:r>
    </w:p>
    <w:p>
      <w:pPr>
        <w:spacing w:after="0" w:line="66"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In addition, as part of the Affordable Care Act, the federal government enacted the Physician Payment Sunshine Act. Manufacturers of drugs biologics and devices that are reimbursed by Medicare, Medicaid or the Children’s Health Insurance Program are required to annually report to CMS payments and transfers of value made to physicians and teaching hospitals, and ownership or investment interest held by physicians and their family members.</w:t>
      </w:r>
    </w:p>
    <w:p>
      <w:pPr>
        <w:spacing w:after="0" w:line="79" w:lineRule="exact"/>
        <w:rPr>
          <w:sz w:val="20"/>
          <w:szCs w:val="20"/>
          <w:color w:val="auto"/>
        </w:rPr>
      </w:pPr>
    </w:p>
    <w:p>
      <w:pPr>
        <w:jc w:val="both"/>
        <w:ind w:firstLine="594"/>
        <w:spacing w:after="0" w:line="296" w:lineRule="auto"/>
        <w:rPr>
          <w:sz w:val="20"/>
          <w:szCs w:val="20"/>
          <w:color w:val="auto"/>
        </w:rPr>
      </w:pPr>
      <w:r>
        <w:rPr>
          <w:rFonts w:ascii="Arial" w:cs="Arial" w:eastAsia="Arial" w:hAnsi="Arial"/>
          <w:sz w:val="16"/>
          <w:szCs w:val="16"/>
          <w:color w:val="auto"/>
        </w:rPr>
        <w:t>Our operations are also subject to compliance with the U.S. Foreign Corrupt Practices Act, or FCPA, which prohibits corporations and individuals from directly or indirectly paying, offering to pay, or authorizing the payment of anything of value to any foreign government official or employee, or any foreign political party or political candidate in an attempt to obtain or retain business or to otherwise influence such official, employee, party or candidate in his or her or its official capacity. Our operations are also subject to compliance with the U.K. Bribery Act of 2010, which applies to activities both in the public and private sector, Canada’s Corruption of Foreign Public Officials Act and similar laws and industry codes in other countries where we do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Regulation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 and Office Location</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Aptevo employed 58 full-time persons as of December 31, 2020. The team is comprised of a dedicated group of accomplished professionals who bring a broad range of academic achievements combined with significant industry experience. We believe that our future success will depend in part on our continued ability to attract, hire and retain qualified personnel. To this end, we strive to maintain competitive base compensation structures and comprehensive benefits packages, and to engage our employees through ongoing development and training. None of our employees are represented by a labor union or covered by collective bargaining agreements. We believe that our relations with our employees are good.</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executive offices are located at 2401 4th Ave., Suite 1050, Seattle, Washington 98121. Our telephone number is (206) 838-0500.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Diversity, Equity, and Inclusion</w:t>
      </w:r>
    </w:p>
    <w:p>
      <w:pPr>
        <w:spacing w:after="0" w:line="12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Aptevo is an equal opportunity employer, and we are committed to fostering diversity and inclusion within our work environment and beyond. Our efforts are focused on hiring and retaining qualified candidates, and promoting a supportive and inclusive working environment for all of our employees. The Company is resolute on its commitment to the development and fair treatment of all candidates and employees, including equal opportunity hiring and advancement practices and policies, and anti-harassment and anti-retaliation policies. We believe that fostering diversity, equity, and inclusion is a key element to discovering, developing, and bringing transformative therapies to patients. As of December 31, 2020, 60% of our workforce and 46% of our leadership (at the Director level and above) were female. In addition, 23% of our workforce and 29% of our leadership (at the Director level and above) were racially or ethnically diverse. We strive to build a workforce representative of the people we serve and to nurture an inclusive culture where all voices are welcomed, heard, and respected.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Recruiting and Retention</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believe that we have been successful in attracting and retaining talented personnel to support our business, though competition for personnel in our industry is intense.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and Benefits</w:t>
      </w:r>
    </w:p>
    <w:p>
      <w:pPr>
        <w:spacing w:after="0" w:line="121"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We offer competitive pay and benefits designed to attract and retain talent and drive Company performance. In setting appropriate compensation levels, we look at the average base pay rate for each position based on market data. We also offer an annual cash incentive program and long-term equity incentive plans designed to assist in attracting, retaining, and motivating employees and promoting the creation of long-term value for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 &amp; Safety</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an Environmental, Health and Safety program that focuses on implementing policies and training programs, as well as performing self-audits to enhance work safety. Importantly, during the COVID-19 pandemic, our continuing focus on safe work practices has enabled us to preserve business continuity without sacrificing our commitment to keeping our colleagues and workplace visitors safe.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Aptevo was formed as a wholly-owned subsidiary of Emergent for the purpose of serving as the parent company for the development-based biotechnology business focused on novel oncology, hematology, and autoimmune and inflammatory therapeutics and was incorporated in Delaware in February 2016. On August 1, 2016, Emergent effectuated a spin-off of Aptevo into an independent publicly traded company and made a pro rata distribution of Aptevo common stock to Emergent’s stockholder base at that time. Accordingly, Aptevo has operated as an independent publicly traded company since August 1, 2016.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The Aptevo website is located at </w:t>
      </w:r>
      <w:r>
        <w:rPr>
          <w:rFonts w:ascii="Arial" w:cs="Arial" w:eastAsia="Arial" w:hAnsi="Arial"/>
          <w:sz w:val="18"/>
          <w:szCs w:val="18"/>
          <w:i w:val="1"/>
          <w:iCs w:val="1"/>
          <w:color w:val="auto"/>
        </w:rPr>
        <w:t>www.AptevoTherapeutics.com</w:t>
      </w:r>
      <w:r>
        <w:rPr>
          <w:rFonts w:ascii="Arial" w:cs="Arial" w:eastAsia="Arial" w:hAnsi="Arial"/>
          <w:sz w:val="18"/>
          <w:szCs w:val="18"/>
          <w:color w:val="auto"/>
        </w:rPr>
        <w:t>. Aptevo makes certain filings with the Securities and Exchange Commission (the SEC), including its Annual Report on Form 10-K, Quarterly Reports on Form 10-Q, Current Reports on Form 8-K, and all amendments to those reports filed or furnished pursuant to Section 13(a) or 15(d) of the Exchange Act available free of charge through its website as soon as reasonably practicable after we electronically file those reports with, or furnish them to, the SEC.</w:t>
      </w:r>
    </w:p>
    <w:p>
      <w:pPr>
        <w:spacing w:after="0" w:line="7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 addition, all disclosures that are required to be posted by applicable law, the rules of the SEC or the Nasdaq listing standards regarding any amendment to, or waiver of, our code of business conduct and ethics are available free of charge on our website. We have included our website address as an inactive textual reference only. The information contained on, or that can be accessed through, our website is not a part of, or incorporated by reference into, this Annual Report on form 10-K.</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Annual Report on Form 10-K in evaluating us and our common stock.</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the material risks to our business, operations, and ownership of our common stock:</w:t>
      </w:r>
    </w:p>
    <w:p>
      <w:pPr>
        <w:spacing w:after="0" w:line="23" w:lineRule="exact"/>
        <w:rPr>
          <w:sz w:val="20"/>
          <w:szCs w:val="20"/>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be profitable in the future.</w:t>
      </w:r>
    </w:p>
    <w:p>
      <w:pPr>
        <w:spacing w:after="0" w:line="21"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additional capital and may be unable to raise capital when needed or on acceptable terms.</w:t>
      </w:r>
    </w:p>
    <w:p>
      <w:pPr>
        <w:spacing w:after="0" w:line="36" w:lineRule="exact"/>
        <w:rPr>
          <w:rFonts w:ascii="Arial" w:cs="Arial" w:eastAsia="Arial" w:hAnsi="Arial"/>
          <w:sz w:val="18"/>
          <w:szCs w:val="18"/>
          <w:color w:val="auto"/>
        </w:rPr>
      </w:pPr>
    </w:p>
    <w:p>
      <w:pPr>
        <w:ind w:left="1160" w:hanging="572"/>
        <w:spacing w:after="0" w:line="25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income will depend, in part, on the ability of Medexus to successfully further develop, market and commercialize IXINITY, resulting in milestone payments and deferred payments to the Company by Medexus.</w:t>
      </w:r>
    </w:p>
    <w:p>
      <w:pPr>
        <w:spacing w:after="0" w:line="1" w:lineRule="exact"/>
        <w:rPr>
          <w:rFonts w:ascii="Arial" w:cs="Arial" w:eastAsia="Arial" w:hAnsi="Arial"/>
          <w:sz w:val="18"/>
          <w:szCs w:val="18"/>
          <w:color w:val="auto"/>
        </w:rPr>
      </w:pPr>
    </w:p>
    <w:p>
      <w:pPr>
        <w:jc w:val="both"/>
        <w:ind w:left="1160" w:hanging="572"/>
        <w:spacing w:after="0" w:line="250"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income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1"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could adversely impact our business, including our clinical trials.</w:t>
      </w:r>
    </w:p>
    <w:p>
      <w:pPr>
        <w:spacing w:after="0" w:line="21" w:lineRule="exact"/>
        <w:rPr>
          <w:rFonts w:ascii="Arial" w:cs="Arial" w:eastAsia="Arial" w:hAnsi="Arial"/>
          <w:sz w:val="18"/>
          <w:szCs w:val="18"/>
          <w:color w:val="auto"/>
        </w:rPr>
      </w:pPr>
    </w:p>
    <w:p>
      <w:pPr>
        <w:ind w:left="1160" w:hanging="572"/>
        <w:spacing w:after="0" w:line="25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credit agreement may restrict the operation of our business and limit the cash available for investment in our business operations.</w:t>
      </w:r>
    </w:p>
    <w:p>
      <w:pPr>
        <w:spacing w:after="0" w:line="1" w:lineRule="exact"/>
        <w:rPr>
          <w:rFonts w:ascii="Arial" w:cs="Arial" w:eastAsia="Arial" w:hAnsi="Arial"/>
          <w:sz w:val="18"/>
          <w:szCs w:val="18"/>
          <w:color w:val="auto"/>
        </w:rPr>
      </w:pPr>
    </w:p>
    <w:p>
      <w:pPr>
        <w:ind w:left="1160" w:hanging="572"/>
        <w:spacing w:after="0" w:line="250"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the time to reach critical trial data and receipt of any necessary regulatory approvals could be delayed.</w:t>
      </w:r>
    </w:p>
    <w:p>
      <w:pPr>
        <w:ind w:left="1160" w:hanging="572"/>
        <w:spacing w:after="0" w:line="250"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revenues and execute on our long-term strategy depends heavily on our ability to discover, develop, and obtain marketing approval for our product candidates.</w:t>
      </w: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further develop our ADAPTIR or ADAPTIR-FLEX platforms.</w:t>
      </w:r>
    </w:p>
    <w:p>
      <w:pPr>
        <w:spacing w:after="0" w:line="21" w:lineRule="exact"/>
        <w:rPr>
          <w:rFonts w:ascii="Arial" w:cs="Arial" w:eastAsia="Arial" w:hAnsi="Arial"/>
          <w:sz w:val="18"/>
          <w:szCs w:val="18"/>
          <w:color w:val="auto"/>
        </w:rPr>
      </w:pPr>
    </w:p>
    <w:p>
      <w:pPr>
        <w:ind w:left="1160" w:hanging="572"/>
        <w:spacing w:after="0" w:line="25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long-term success depends, in part, upon our ability to develop, receive regulatory approval for and commercialize our product candidates.</w:t>
      </w:r>
    </w:p>
    <w:p>
      <w:pPr>
        <w:spacing w:after="0" w:line="1"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protect our intellectual proprietary rights, our business could be harmed.</w:t>
      </w:r>
    </w:p>
    <w:p>
      <w:pPr>
        <w:spacing w:after="0" w:line="21"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may be volatile.</w:t>
      </w:r>
    </w:p>
    <w:p>
      <w:pPr>
        <w:spacing w:after="0" w:line="36"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periodic litigation, which could result in losses or unexpected expenditure of time and resources.</w:t>
      </w:r>
    </w:p>
    <w:p>
      <w:pPr>
        <w:spacing w:after="0" w:line="36" w:lineRule="exact"/>
        <w:rPr>
          <w:rFonts w:ascii="Arial" w:cs="Arial" w:eastAsia="Arial" w:hAnsi="Arial"/>
          <w:sz w:val="18"/>
          <w:szCs w:val="18"/>
          <w:color w:val="auto"/>
        </w:rPr>
      </w:pPr>
    </w:p>
    <w:p>
      <w:pPr>
        <w:ind w:left="1160" w:hanging="572"/>
        <w:spacing w:after="0" w:line="342"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Actions of an activist stockholder against us have been disruptive and costly and the notice the activist stockholder has sent indicating he will wage a proxy contest and seek representation on our Board could cause uncertainty about the strategic direction of our business.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ind w:left="116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Proposal, the Tang Stockholder Proposals and similar proposals from other third-parties, and our responses thereto, may cause volatility in the trading price of our common stock and interfere with our efforts to raise capital.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58"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We have experienced significant operating losses and we may not achieve profitability in the future. For the year ended December 31, 2020 and 2019, we had net losses of $17.8 million and $40.4 million, respectively. As of December 31, 2020, we had an accumulated deficit of $185.6 million. We expect to continue to incur annual net operating losses, and will require substantial resources over the next several years as we expand our efforts to discover, develop and commercialize immunotherapeutic candidates, for the foreseeable future. While we believe our existing cash and cash equivalents and the funding provided by our IXINITY deferred payment streams, the Royalty Purchase Agreement with HCR, credit agreement, our Equity Distribution Agreement with Piper Sandler &amp; Co (Piper Sandler) entered into in December 2020 (the Equity Distribution Agreement) and our Purchase Agreement with Lincoln Park Capital Fund, LLC (Lincoln Park), entered into in December 2018 (the Purchase Agreement), and exercises of warrants will provide us with sufficient liquidity to meet our cash requirements through 2021, our future success and ability to attain profitability will depend upon our ability to develop and take to market our product candidates.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As of December 31, 2020, we had cash, cash equivalents, and restricted cash in the amount of $42.5 million. We will require additional funding to grow our business including to develop additional products, support commercial marketing activities, or otherwise provide additional financial flexibility. In October 2019, we implemented an expense reduction plan that reduced annual expenditures by approximately 30%, including streamlining research and development programs, through reducing investment in certain programs; cut-backs in legal, professional and consulting expenses; reduction of leased space, cut-backs in non-commercial headcount; and reductions in executive and board cash compensation, with such compensation restored to previous levels in August 2020. If we are not able to secure adequate additional funding, we may need to make further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58" w:lineRule="exact"/>
        <w:rPr>
          <w:sz w:val="20"/>
          <w:szCs w:val="20"/>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resolution of actions of activist investors;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level, timing and receipt of any milestone or deferred payments under our agreement with Medexus with respect to the sales of</w:t>
      </w:r>
    </w:p>
    <w:p>
      <w:pPr>
        <w:spacing w:after="0" w:line="34"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8"/>
          <w:szCs w:val="18"/>
          <w:color w:val="auto"/>
        </w:rPr>
        <w:t>IXINITY;</w:t>
      </w:r>
    </w:p>
    <w:p>
      <w:pPr>
        <w:spacing w:after="0" w:line="102" w:lineRule="exact"/>
        <w:rPr>
          <w:rFonts w:ascii="Arial" w:cs="Arial" w:eastAsia="Arial" w:hAnsi="Arial"/>
          <w:sz w:val="17"/>
          <w:szCs w:val="17"/>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clinical development costs and requirements to complete dosing of Phase 1/1b clinical trial for APVO436, as well as future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firstLine="589"/>
        <w:spacing w:after="0" w:line="291"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Future issuances of common stock may include</w:t>
      </w:r>
    </w:p>
    <w:p>
      <w:pPr>
        <w:jc w:val="both"/>
        <w:ind w:firstLine="8"/>
        <w:spacing w:after="0" w:line="268" w:lineRule="auto"/>
        <w:tabs>
          <w:tab w:leader="none" w:pos="2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sale of up to the remaining $50.0 million worth of shares of our common stock pursuant to our Equity Distribution Agreement with Piper Sandler &amp; Co entered into in December 2020, (ii) any sale of up to $35.0 million worth of shares of our common stock in a private placement pursuant to our Purchase Agreement with Lincoln Park Capital Fund, LLC, or Lincoln Park, entered into in December 2018, and (iii) the issuance of up to 404,694 remaining outstanding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73"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Current economic conditions, including the impact of COVID-19 on our operations or on the global economy and capital markets,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Actions of an activist stockholder against us have been disruptive and costly and the notice the activist stockholder has sent indicating he will wage a proxy contest and seek representation on our Board could cause uncertainty about the strategic direction of our business.</w:t>
      </w:r>
    </w:p>
    <w:p>
      <w:pPr>
        <w:spacing w:after="0" w:line="3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November 6, 2020, Tang filed a statement on Schedule 13D to report that Tang had purchased 1,760,000 shares of our common stock, representing at the time approximately 54% of our issued and outstanding shares of Common Stock (the Tang Ownership Change), although Tang has subsequently been diluted to a 39.6% beneficial ownership position, primarily through the exercise of certain warrants that were issued and outstanding prior to Tang acquiring its ownership position in Aptevo.</w:t>
      </w:r>
    </w:p>
    <w:p>
      <w:pPr>
        <w:spacing w:after="0" w:line="7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November 18, 2020, our Board received a written unsolicited, non-binding indication of interest from Tang, proposing to acquire all of the outstanding shares of our common stock not already beneficially owned by Tang for $50.00 per share in cash, subject to confirmatory due diligence conducted under a customary non-disclosure agreement. We have had a series of communications with Tang during which we attempted to negotiate a non-disclosure agreement to permit discussions covering our nonpublic information and our operations.</w:t>
      </w:r>
    </w:p>
    <w:p>
      <w:pPr>
        <w:spacing w:after="0" w:line="79"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The Aptevo Board was open to exploring the indication of interest from Tang and made earnest efforts to evaluate it. However, it was unable to do so because it was unable to reach agreement with Tang on the terms of a customary non-disclosure agreement, including limitations on the use of confidential information by Tang. Had agreement on the terms of a non-disclosure agreement been reached, it would have permitted the exchange of confidential information and would have enabled both parties to conduct due diligence. In this early stage of the Company’s development, the Aptevo Board believes it is difficult for the market to accurately value the potential of Aptevo’s proprietary platform technologies and therapeutic candidates, which have just begun to demonstrate their effectiveness and potentially life-saving capabilities to the Company’s patients, shareholders and other stakeholders. The Board will continue to carefully evaluate any indications of interest and proposals for strategic transactions that it receives from current shareholders or otherwise, in line with its fiduciary duties and commitment to acting in the best interests of all of the Company’s shareholders.</w:t>
      </w:r>
    </w:p>
    <w:p>
      <w:pPr>
        <w:spacing w:after="0" w:line="5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February 9, 2021, Tang announced its intention to nominate two candidates for election to our board of directors at our 2021 annual meeting of stockholders and submitted an advisory stockholder proposal for consideration at our 2021 annual meeting of stockholders to commence a process to sell Aptevo to the highest bidder. We have incurred and may continue to incur additional expenses by retaining the services of various professionals to advise us on responding to these matters.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both"/>
        <w:ind w:firstLine="589"/>
        <w:spacing w:after="0" w:line="263" w:lineRule="auto"/>
        <w:rPr>
          <w:sz w:val="20"/>
          <w:szCs w:val="20"/>
          <w:color w:val="auto"/>
        </w:rPr>
      </w:pPr>
      <w:r>
        <w:rPr>
          <w:rFonts w:ascii="Arial" w:cs="Arial" w:eastAsia="Arial" w:hAnsi="Arial"/>
          <w:sz w:val="18"/>
          <w:szCs w:val="18"/>
          <w:color w:val="auto"/>
        </w:rPr>
        <w:t>The Board and management team strive to maintain constructive communications with our stockholders, including Tang, and welcomes their views and opinions with the goal of enhancing value for all stockholders. However, an activist campaign that seeks to replace members of our Board or changes in our strategic direction could have an adverse effect on us because:</w:t>
      </w:r>
    </w:p>
    <w:p>
      <w:pPr>
        <w:spacing w:after="0" w:line="76" w:lineRule="exact"/>
        <w:rPr>
          <w:sz w:val="20"/>
          <w:szCs w:val="20"/>
          <w:color w:val="auto"/>
        </w:rPr>
      </w:pPr>
    </w:p>
    <w:p>
      <w:pPr>
        <w:jc w:val="both"/>
        <w:ind w:left="1160" w:hanging="572"/>
        <w:spacing w:after="0" w:line="26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Responding to actions by Tang and other activist stockholders can disrupt our operations, are costly and time-consuming, and divert the attention of our Board and senior management team from the pursuit of business strategies, which could adversely affect our results of operations and financial condition;</w:t>
      </w:r>
    </w:p>
    <w:p>
      <w:pPr>
        <w:spacing w:after="0" w:line="75" w:lineRule="exact"/>
        <w:rPr>
          <w:rFonts w:ascii="Arial" w:cs="Arial" w:eastAsia="Arial" w:hAnsi="Arial"/>
          <w:sz w:val="18"/>
          <w:szCs w:val="18"/>
          <w:color w:val="auto"/>
        </w:rPr>
      </w:pPr>
    </w:p>
    <w:p>
      <w:pPr>
        <w:jc w:val="both"/>
        <w:ind w:left="1160" w:hanging="572"/>
        <w:spacing w:after="0" w:line="25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as a result of changes to the composition of our Board or changes to our stockholder base may lead to the perception of a change in the direction of the business, instability or lack of continuity which may be exploited by our competitors, may result in the loss of potential business opportunities, cause concern for those enrolling in our clinical trial, and make it more difficult to attract and retain qualified personnel and business partners;</w:t>
      </w:r>
    </w:p>
    <w:p>
      <w:pPr>
        <w:spacing w:after="0" w:line="78"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Proposal has interfered, and may continue to interfere, with our efforts to raise capital;</w:t>
      </w:r>
    </w:p>
    <w:p>
      <w:pPr>
        <w:spacing w:after="0" w:line="144"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and similar types of actions could cause significant fluctuations in our stock price based on temporary or speculative market perceptions or other factors that do not necessarily reflect the underlying fundamentals and prospects of our business;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the pending proxy contest, or if other activist stockholder activities ensue, our business could be adversely affected because responding to proxy contests can be disruptive, costly, and time-consuming; and,</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individuals are elected to our Board with a specific agenda, it may adversely affect our ability to effectively implement our business strategy and to create additional value for our stockholders.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Initial Proposal, the Tang Stockholder Proposals and similar proposals from other third-parties, and our responses thereto, may cause volatility in the trading price of our common stock and interfere with our efforts to raise capital.</w:t>
      </w:r>
    </w:p>
    <w:p>
      <w:pPr>
        <w:spacing w:after="0" w:line="62"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We have retained Piper Sandler to assist and advise the Board in its evaluation of the Initial Proposal, as well as our other strategic alternatives, including remaining independent and executing our existing strategic plans. The Board has met on a number of occasions to carefully evaluate and consider the Initial Proposal and representatives of the Company have discussed the Initial Proposal directly with representatives of Tang.</w:t>
      </w:r>
    </w:p>
    <w:p>
      <w:pPr>
        <w:spacing w:after="0" w:line="41"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The Aptevo Board was open to exploring the indication of interest from Tang and made earnest efforts to evaluate it. However, it was unable to do so because it was unable to reach agreement with Tang on the terms of a customary non-disclosure agreement, including limitations on the use of confidential information by Tang. Had agreement on the terms of a non-disclosure agreement been reached, it would have permitted the exchange of confidential information and would have enabled both parties to conduct due diligence. In this early stage of the Company’s development, the Aptevo Board believes it is difficult for the market to accurately value the potential of Aptevo’s proprietary platform technologies and therapeutic candidates, which have just begun to demonstrate their effectiveness and potentially life-saving capabilities to the Company’s patients, shareholders and other stakeholders. The Board will continue to carefully evaluate any indications of interest and proposals for strategic transactions that it receives from current shareholders or otherwise, in line with its fiduciary duties and commitment to acting in the best interests of all of the Company’s shareholders.</w:t>
      </w:r>
    </w:p>
    <w:p>
      <w:pPr>
        <w:spacing w:after="0" w:line="5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a result of the uncertainty surrounding the Tang Stockholder Proposals, our response to the Initial Proposal, and similar proposals from other third-parties, the future trading price of our common stock is likely to be volatile and could be subject to wide price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operating results are difficult to predict and will likely fluctuate from quarter to quarter and year to year, due to a variety of factors, including:</w:t>
      </w:r>
    </w:p>
    <w:p>
      <w:pPr>
        <w:spacing w:after="0" w:line="140" w:lineRule="exact"/>
        <w:rPr>
          <w:sz w:val="20"/>
          <w:szCs w:val="20"/>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resolution of the Tang Stockholder Proposals;</w:t>
      </w:r>
    </w:p>
    <w:p>
      <w:pPr>
        <w:spacing w:after="0" w:line="23"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and timing of any milestone or deferred payments with respect to sales of IXINITY by Medexus;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23" w:lineRule="exact"/>
        <w:rPr>
          <w:rFonts w:ascii="Arial" w:cs="Arial" w:eastAsia="Arial" w:hAnsi="Arial"/>
          <w:sz w:val="18"/>
          <w:szCs w:val="18"/>
          <w:color w:val="auto"/>
        </w:rPr>
      </w:pPr>
    </w:p>
    <w:p>
      <w:pPr>
        <w:jc w:val="both"/>
        <w:ind w:left="1160" w:hanging="572"/>
        <w:spacing w:after="0" w:line="250"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1" w:lineRule="exact"/>
        <w:rPr>
          <w:rFonts w:ascii="Arial" w:cs="Arial" w:eastAsia="Arial" w:hAnsi="Arial"/>
          <w:sz w:val="18"/>
          <w:szCs w:val="18"/>
          <w:color w:val="auto"/>
        </w:rPr>
      </w:pPr>
    </w:p>
    <w:p>
      <w:pPr>
        <w:ind w:left="1160" w:hanging="572"/>
        <w:spacing w:after="0" w:line="260"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7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Due to COVID-19, we may experience delays in opportunities to partner our product candidates, due to financial and other impacts on potential partners. Additionally, we may experience potential impacts on our future milestone or deferred payments from Medexus, which may impact Medexus’ ability to continue to successfully commercialize the IXINITY businesses, respectively. In 2020, we did see an impact of COVID-19 on our business as some of our clinical sites were at reduced capacity or closed, as well as our participation in the BEAT AML trial being delayed by the Leukemia and Lymphoma Society. These and other factors may have a material adverse effect on our business, results of operations and financial condition.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income will depend, in part, on the ability of Medexus to successfully further develop, market and commercialize IXINITY, resulting in milestone payments and deferred payments to the Company by Medexus.</w:t>
      </w:r>
    </w:p>
    <w:p>
      <w:pPr>
        <w:spacing w:after="0" w:line="6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On February 28, 2020, we entered into an LLC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are earned at the rate of 2% of net revenue through the earlier of June 2022 or completion of the IXINITY pediatric trial being run by Medexus. After that, the royalty rate will increase to 5%.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the effect of the COVID-19 pandemic on the current and future environment for clinical development and regulatory approval, Medexus’ ability to continue to successfully commercialize the IXINITY business may be effected, and we may experience potential impacts on our future deferred payments from Medexus. The failure of Medexus to successfully market and commercialize IXINITY, including because of factors outside of Medexus’ control, could result in lower than expected milestone or deferred payments to us and negatively impact our future financial and operating results.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future income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The agreement was originally executed by Trubion Pharmaceuticals (which was subsequently acquired by Emergent) and Wyeth (a wholly-owned subsidiary of Pfizer). The royalty term runs until the seventh anniversary of the first commercial sale of the biosimilar. Royalty payments to us are due within 60 days after the end of each quarter. Although the agreement was terminated in 2012, the royalty obligation thereunder survived.</w:t>
      </w:r>
    </w:p>
    <w:p>
      <w:pPr>
        <w:spacing w:after="0" w:line="69"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On March 30, 2021, we entered into and closed a Royalty Purchase Agreement with HCR (Royalty Purchase Agreement) pursuant to which we sold to HCR the right to receive all royalty payments made by Pfizer in respect of net sales of RUXIENCE. Under the terms of the Royalty Purchase Agreement, we received $35 million (the Investment Amount) at closing and we are eligible to receive additional payments in aggregate of up to an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to us by HCR, we will be entitled to receive 50% of any additional royalty payments by Pfizer thereafter.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firstLine="589"/>
        <w:spacing w:after="0" w:line="273" w:lineRule="auto"/>
        <w:rPr>
          <w:sz w:val="20"/>
          <w:szCs w:val="20"/>
          <w:color w:val="auto"/>
        </w:rPr>
      </w:pPr>
      <w:r>
        <w:rPr>
          <w:rFonts w:ascii="Arial" w:cs="Arial" w:eastAsia="Arial" w:hAnsi="Arial"/>
          <w:sz w:val="17"/>
          <w:szCs w:val="17"/>
          <w:color w:val="auto"/>
        </w:rPr>
        <w:t>We have no control over the sales of RUXIENCE and are therefore dependent on the efforts and ability of Pfizer to generate net sales of RUXIENCE sufficient for us to receive Milestone Payments and additional royalty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144"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Chief Scientific Officer, Jane Gross Ph.D.,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Furthermore, we have experienced and may experience an impact on the health of key personnel due to COVID-19.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w:t>
      </w:r>
    </w:p>
    <w:p>
      <w:pPr>
        <w:spacing w:after="0" w:line="117"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Since March of 2020, a novel strain of coronavirus, COVID-19, has spread through the world, including the United States. The COVID-19 outbreak has caused severe global economic and societal disruptions and uncertainties, and we have experienced disruptions that have impacted our business and clinical trials, including, limitation of company operations, including implementing work from home policies and office closures; delays or difficulties in receiving deliveries of critical experimental materials; delays or difficulties in enrolling patients in our clinical trials; delays or difficulties in clinical site initiation, including difficulties in recruiting clinical site investigators and clinical site staff; diversion of healthcare resources away from the conduct of clinical trials, including the diversion of hospitals serving as our clinical trial sites and hospital staff supporting the conduct of our clinical trials; delay in participation of APVO436 in the Beat AML trial; interruption of key clinical trial activities, such as patient enrollment and clinical trial site monitoring; and, limitations in employee resources that would otherwise be focused on our business, including the conduct of our research and development activities and process development activities, due to the illness of employees or their families, or the preference of employees to avoid contact with large groups of people.</w:t>
      </w:r>
    </w:p>
    <w:p>
      <w:pPr>
        <w:spacing w:after="0" w:line="86"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may continue to experience disruptions in the future, or additional disruptions that could severely impact our business, such as delays or difficulties to the financing environment and raising capital due to economic uncertainty; delays in opportunities to partner our product candidates, due to financial and other impacts on potential partners; diversion of healthcare resources away from the conduct of clinical trials, including the diversion of hospitals serving as our clinical trial sites and hospital staff supporting the conduct of our clinical trials; potential impacts on our future deferred payments and milestones from Medexus due to the environment which may impact Medexus’ ability to continue to successfully commercialize the IXINITY business; and negative impacts on suppliers and licensees. The global outbreak of COVID-19 continues to rapidly evolve. The COVID-19 pandemic may also result in the need to suspend enrollment into studies, patient withdrawals, postponement of preclinical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and the FDA or comparable foreign regulatory authorities. The foregoing may also impact the integrity of our study data. The pandemic could further impact our ability to interact with the FDA or other regulatory authorities, and may result in delays in the conduct of inspections or review of pending submissions.</w:t>
      </w:r>
    </w:p>
    <w:p>
      <w:pPr>
        <w:spacing w:after="0" w:line="7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The COVID-19 pandemic may further impact our suppliers and manufacturers. If any of our suppliers or manufacturers are adversely impacted by the COVID-19 pandemic or the restrictions resulting from the outbreak, if they cannot obtain the necessary supplies, or if such third parties need to prioritize other products or customers over us, including under the Defense Production Act, we may experience delays or disruptions in our supply chain, which could have a material and adverse impact on our business and development plans. Third party manufacturers may also need to implement measures and changes, or deviate from typical requirements, because of the COVID-19 pandemic that may otherwise adversely impact our supply chains or the quality of the resulting products or supplies. Depending on the change, we may need to obtain FDA pre-approval or otherwise provide FDA with a notification of the change.</w:t>
      </w:r>
    </w:p>
    <w:p>
      <w:pPr>
        <w:spacing w:after="0" w:line="8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The COVID-19 pandemic may result in changes in laws, policies, and regulations. By example, due to the potential impact of the COVID-19 outbreak on clinical trials, drug development, and manufacturing, FDA issued a number of guidances concerning how sponsors and investigators may address these challenges. FDA’s guidance is continually evolving. By further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ind w:firstLine="589"/>
        <w:spacing w:after="0" w:line="259" w:lineRule="auto"/>
        <w:rPr>
          <w:sz w:val="20"/>
          <w:szCs w:val="20"/>
          <w:color w:val="auto"/>
        </w:rPr>
      </w:pPr>
      <w:r>
        <w:rPr>
          <w:rFonts w:ascii="Arial" w:cs="Arial" w:eastAsia="Arial" w:hAnsi="Arial"/>
          <w:sz w:val="18"/>
          <w:szCs w:val="18"/>
          <w:color w:val="auto"/>
        </w:rPr>
        <w:t>The extent to which the COVID-19 pandemic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In August 2020, we entered into a Credit and Security Agreement (the Credit Agreement), by and among us and certain our subsidiaries as borrowers, MidCap Financial, as agent, and the lenders from time to time party thereto. The terms of the Credit Agreement and borrowings we may make under the Credit Agreement in the future, could have significant adverse consequences for our business, including:</w:t>
      </w:r>
    </w:p>
    <w:p>
      <w:pPr>
        <w:spacing w:after="0" w:line="57" w:lineRule="exact"/>
        <w:rPr>
          <w:sz w:val="20"/>
          <w:szCs w:val="20"/>
          <w:color w:val="auto"/>
        </w:rPr>
      </w:pPr>
    </w:p>
    <w:p>
      <w:pPr>
        <w:ind w:left="116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55"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compliance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compliance with affirmative covenants including payment and reporting covenants; and</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6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the Credit Agreement. In addition, failure to comply with the covenants under the Credit Agreement, including those outside of our control, such as the appointment by Tang of a majority of directors to our board, could result in an event of default, notwithstanding the initial waiver and consent obtained upon the Tang Ownership Change.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believe it is likely that we experienced by virtue of the Tang Ownership Change, an “ownership change” as defined in Section 382 of the U.S. Internal Revenue Code of 1986, as amended (the Code), and, if we are correct, the tax benefits of our pre-“ownership change” net operating loss carryforwards and certain other tax attributes will be subject to annual limitation under Sections 382 and 383 of the Code.</w:t>
      </w:r>
    </w:p>
    <w:p>
      <w:pPr>
        <w:spacing w:after="0" w:line="5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general, a corporation undergoes an “ownership change” under Section 382 of the Code if, among other things, the stockholders who own, directly or indirectly, 5% or more of the corporation’s stock (by value), or are otherwise treated as “5% shareholders” under Section 382 of the Code and the Treasury regulations promulgated thereunder, increase their aggregate percentage ownership (by value) of the corporation’s stock by more than 50 percentage points over the lowest percentage of value owned by the 5% shareholders at any time during the applicable testing period, which is generally the rolling three-year period preceding the potential ownership change. Such potential ownership change testing events include changes involving a shareholder becoming a 5% shareholder or arising from a new issuance of capital stock or share repurchases by the corporation, subject to certain exceptions.</w:t>
      </w:r>
    </w:p>
    <w:p>
      <w:pPr>
        <w:spacing w:after="0" w:line="8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ind w:firstLine="589"/>
        <w:spacing w:after="0" w:line="255" w:lineRule="auto"/>
        <w:rPr>
          <w:sz w:val="20"/>
          <w:szCs w:val="20"/>
          <w:color w:val="auto"/>
        </w:rPr>
      </w:pPr>
      <w:r>
        <w:rPr>
          <w:rFonts w:ascii="Arial" w:cs="Arial" w:eastAsia="Arial" w:hAnsi="Arial"/>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 382 and 383 of the Code in the taxable year that such built-in gains are recognized or deemed recognized (but only up to the amount of the net unrealized built-in gain), while certain built-in losses recognized during such five-year period is subject to the annual limitation under Section 382 of the Code (but only up to the amount of the net unrealized built-in loss).</w:t>
      </w:r>
    </w:p>
    <w:p>
      <w:pPr>
        <w:spacing w:after="0" w:line="84"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As of December 31, 2020, we had approximately $162.5 million and $68.1 million of federal and state net operating loss carryforwards, respectively, available to reduce future taxable income that will begin to expire in 2037 for federal purposes. These net operating loss carryforwards could expire unused and be unavailable to offset future income tax liabilities. Under the newly enacted federal income tax, federal net operating loss carryforwards incurred in 2018 and in future years may be carried forward indefinitely, but the deductibility of such federal net operating losses is limited. It is still uncertain if and to what extent various states will conform to the enacted tax law. We are in the process of completing an IRC Section 382/383 study on our federal and state tax attributes in connection with the acquisition by Tang of 1,760,000 shares of our common stock in order to determine whether our ability to use our net operating loss carryforwards and certain other tax attributes in existence prior to the Tang Ownership Change will be subject to an annual limitation under Sections 382 and 383 of the Code as described above.</w:t>
      </w:r>
    </w:p>
    <w:p>
      <w:pPr>
        <w:spacing w:after="0" w:line="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results of our current and planned clinical trials may not satisfy the requirements of the FDA or non-U.S. regulatory authorities. Interim or top line data may be subject to change or qualification based the complete analysis of data.</w:t>
      </w:r>
    </w:p>
    <w:p>
      <w:pPr>
        <w:spacing w:after="0" w:line="6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Clinical failure can occur at any stage of clinical development. Clinical trials may produce negative or inconclusive results. The FDA or a non-US regulatory authority may require us, to conduct additional clinical or preclinical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84"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For example, we have previously reported on a patient in cohort 4 of our APVO 436 Phase 1/1b clinical trial who showed a complete marrow response. That patient dropped out of the trial during the eleventh cycle of treatment because his/her disease progressed.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ind w:firstLine="589"/>
        <w:spacing w:after="0" w:line="263" w:lineRule="auto"/>
        <w:rPr>
          <w:sz w:val="20"/>
          <w:szCs w:val="20"/>
          <w:color w:val="auto"/>
        </w:rPr>
      </w:pPr>
      <w:r>
        <w:rPr>
          <w:rFonts w:ascii="Arial" w:cs="Arial" w:eastAsia="Arial" w:hAnsi="Arial"/>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76" w:lineRule="exact"/>
        <w:rPr>
          <w:sz w:val="20"/>
          <w:szCs w:val="20"/>
          <w:color w:val="auto"/>
        </w:rPr>
      </w:pPr>
    </w:p>
    <w:p>
      <w:pPr>
        <w:jc w:val="both"/>
        <w:ind w:left="1160" w:hanging="572"/>
        <w:spacing w:after="0" w:line="263"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7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our studies may fail to reach the necessary level of statistical significance;</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marketing approval policies, laws, regulations, or the regulatory review process during the development period rendering our data insufficient to obtain marketing approval;</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or IRBs regarding the scope, design, or implementation of our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62"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accept data from studies with clinical trial sites in foreign countries;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62"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preclinical studies and clinical trials. In particular, the FDA may not view our data as being clinically meaningful or statistically persuasive.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the time to reach critical trial data and receipt of any necessary regulatory approvals could be delayed.</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In addition, the global outbreak of the COVID-19 pandemic makes it more difficult to initiate studies and enroll patients.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4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inability to enroll a sufficient number of patients for clinical trials could result in significant delays and could require us to abandon one or more clinical trials altogether. Enrollment delays in our clinical trials may result in increased development costs for our product candidates and in delays to commercially launching our product candidates, if approved, which may cause the value of our company to decline and limit our ability to obtain additional financing.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5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As we continue developing our product candidates and initiate clinical trials of our additional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70" w:lineRule="exact"/>
        <w:rPr>
          <w:sz w:val="20"/>
          <w:szCs w:val="20"/>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44" w:lineRule="exact"/>
        <w:rPr>
          <w:rFonts w:ascii="Arial" w:cs="Arial" w:eastAsia="Arial" w:hAnsi="Arial"/>
          <w:sz w:val="18"/>
          <w:szCs w:val="18"/>
          <w:color w:val="auto"/>
        </w:rPr>
      </w:pPr>
    </w:p>
    <w:p>
      <w:pPr>
        <w:jc w:val="both"/>
        <w:ind w:left="1160" w:hanging="572"/>
        <w:spacing w:after="0" w:line="25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8"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or CROs, and other third-party service providers to conduct the clinical and non-clinical trials of our product candidates, and we expect to continue to do so. For example, Dr. Scott Stromatt, our former full-time Chief Medical Officer, is now providing clinical trial and medical affairs oversight duties as an independent consultant. We rely heavily on Dr. Stromatt and these other third parties for successful execution of our clinical and non-clinical trials, but we do not exercise day-to-day control over their activities.</w:t>
      </w:r>
    </w:p>
    <w:p>
      <w:pPr>
        <w:spacing w:after="0" w:line="84" w:lineRule="exact"/>
        <w:rPr>
          <w:sz w:val="20"/>
          <w:szCs w:val="20"/>
          <w:color w:val="auto"/>
        </w:rPr>
      </w:pPr>
    </w:p>
    <w:p>
      <w:pPr>
        <w:jc w:val="both"/>
        <w:ind w:firstLine="594"/>
        <w:spacing w:after="0" w:line="269" w:lineRule="auto"/>
        <w:rPr>
          <w:sz w:val="20"/>
          <w:szCs w:val="20"/>
          <w:color w:val="auto"/>
        </w:rPr>
      </w:pPr>
      <w:r>
        <w:rPr>
          <w:rFonts w:ascii="Arial" w:cs="Arial" w:eastAsia="Arial" w:hAnsi="Arial"/>
          <w:sz w:val="17"/>
          <w:szCs w:val="17"/>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non-clinical, and preclinical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77" w:lineRule="exact"/>
        <w:rPr>
          <w:sz w:val="20"/>
          <w:szCs w:val="20"/>
          <w:color w:val="auto"/>
        </w:rPr>
      </w:pPr>
    </w:p>
    <w:p>
      <w:pPr>
        <w:jc w:val="both"/>
        <w:ind w:firstLine="594"/>
        <w:spacing w:after="0" w:line="290" w:lineRule="auto"/>
        <w:rPr>
          <w:sz w:val="20"/>
          <w:szCs w:val="20"/>
          <w:color w:val="auto"/>
        </w:rPr>
      </w:pPr>
      <w:r>
        <w:rPr>
          <w:rFonts w:ascii="Arial" w:cs="Arial" w:eastAsia="Arial" w:hAnsi="Arial"/>
          <w:sz w:val="16"/>
          <w:szCs w:val="16"/>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the COVID-19 pandemic could negatively affect the ability of some of the independent clinical investigators, contract research organizations and other third-party service providers that conduct our clinical and non-clinical trials of our product candidates. Any delay in or inability to complete our trials could delay or prevent the development, approval, and commercialization of our product candidates.</w:t>
      </w:r>
    </w:p>
    <w:p>
      <w:pPr>
        <w:spacing w:after="0" w:line="57" w:lineRule="exact"/>
        <w:rPr>
          <w:sz w:val="20"/>
          <w:szCs w:val="20"/>
          <w:color w:val="auto"/>
        </w:rPr>
      </w:pPr>
    </w:p>
    <w:p>
      <w:pPr>
        <w:jc w:val="both"/>
        <w:ind w:firstLine="594"/>
        <w:spacing w:after="0" w:line="254" w:lineRule="auto"/>
        <w:rPr>
          <w:sz w:val="20"/>
          <w:szCs w:val="20"/>
          <w:color w:val="auto"/>
        </w:rPr>
      </w:pPr>
      <w:r>
        <w:rPr>
          <w:rFonts w:ascii="Arial" w:cs="Arial" w:eastAsia="Arial" w:hAnsi="Arial"/>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GCPs. In addition, our clinical trials must be conducted with product produced under GMPs and similar regulations outside of the United States. Our failure, or the failure of our product manufacturers, to comply with these regulations may require us to repeat or redesign clinical trials, or conduct additional trials, which would increase our development costs and delay or impact the likelihood of regulatory approval.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jc w:val="both"/>
        <w:ind w:firstLine="589"/>
        <w:spacing w:after="0" w:line="279"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63"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69"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76"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5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5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8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8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non-clinical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87"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or ADAPTIR-FLEX platforms.</w:t>
      </w:r>
    </w:p>
    <w:p>
      <w:pPr>
        <w:spacing w:after="0" w:line="11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70"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We believe that our most significant competitors in the oncology market include: AbbVie Inc., Aduro, Inc., Affirmed, Amgen Inc., AnaptysBio, Inc., Astellas Pharma Inc., Bayer AG, Biogen Idec Inc., Boehringer Ingelheim GmbH, F-Star Biotechnology Ltd., Genentech Inc. (a subsidiary of F. Hoffmann-La Roche Ltd.), Genmab A/S, GlaxoSmithKline plc, Grifols USA LLC, Bristol Myers Squibb, ImmunoGen, Inc., Immunomedics, Inc., Janssen BioTech Inc., Johnson &amp; Johnson, Macrogenics, Inc., Novartis International AG, Pieris Pharmaceuticals, Inc., Sanofi-Aventis US LLC, Takeda Pharmaceuticals U.S.A., Inc., Teneobio,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healthcare reform measures may have a material adverse effect on our business and results of operations.</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75" w:lineRule="auto"/>
        <w:rPr>
          <w:sz w:val="20"/>
          <w:szCs w:val="20"/>
          <w:color w:val="auto"/>
        </w:rPr>
      </w:pPr>
      <w:r>
        <w:rPr>
          <w:rFonts w:ascii="Arial" w:cs="Arial" w:eastAsia="Arial" w:hAnsi="Arial"/>
          <w:sz w:val="17"/>
          <w:szCs w:val="17"/>
          <w:color w:val="auto"/>
        </w:rPr>
        <w:t>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 &amp; Jobs Act and the case is currently pending before the United States Supreme Court.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68"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0"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On January 21, 2021, Joe Biden was sworn in as the U.S. president, and the Democratic Party obtained an equal number of seats in the U.S. Senate as the Republican Party, as well as maintained control of the U.S. House of Representatives. Many expect that the Biden administration will pursue stronger healthcare consumer protections, and it may act to overturn some of the prior Trump administration initiatives; however, the legislative and regulatory agendas, as they relate to the healthcare and pharmaceutical industries and the economy as a whole, of the Biden administration and the U.S. Congress currently remain uncertain.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5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 The loss of any of our third-party manufacturers, or delays or problems in the manufacture our product candidates, could result in product shortages and/or delays in clinical development.</w:t>
      </w:r>
    </w:p>
    <w:p>
      <w:pPr>
        <w:spacing w:after="0" w:line="76"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do not have manufacturing capabilities and do not plan to develop such capacity in the foreseeable future. We depend on a limited number of sole source third-party suppliers for our product candidates. Accordingly, our ability to develop and deliver products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jc w:val="both"/>
        <w:ind w:firstLine="589"/>
        <w:spacing w:after="0" w:line="311"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4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68"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GMP regulations and that are both capable of manufacturing for us and willing to do so.</w:t>
      </w:r>
    </w:p>
    <w:p>
      <w:pPr>
        <w:spacing w:after="0" w:line="41"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The addition of a new or alternative manufacturer may also require FDA approvals and may have a material adverse effect on our business.</w:t>
      </w:r>
    </w:p>
    <w:p>
      <w:pPr>
        <w:spacing w:after="0" w:line="5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6"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or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56"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COVID-19, our third-party manufacturers may experience difficulties that impact our product candidates.</w:t>
      </w:r>
    </w:p>
    <w:p>
      <w:pPr>
        <w:spacing w:after="0" w:line="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our product candidates in development, our results of operations and prospects would be materially and adversely affected.</w:t>
      </w:r>
    </w:p>
    <w:p>
      <w:pPr>
        <w:spacing w:after="0" w:line="79"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7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spacing w:after="0" w:line="8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COVID-19,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8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6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80"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preclinical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jc w:val="both"/>
        <w:ind w:firstLine="589"/>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84"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38"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5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76"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and our product candidates are subject to extensive and ongoing requirements of and review by the FDA and other regulatory authorities, including requirements related to the conduct of clinical and pre-clinical studies,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w:t>
      </w:r>
    </w:p>
    <w:p>
      <w:pPr>
        <w:spacing w:after="0" w:line="5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8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and any of our collaborators could be subject to periodic unannounced inspections by the FDA to monitor and ensure compliance with GMPs and other FDA regulatory requirements. Application holders must further notify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spacing w:after="0" w:line="286" w:lineRule="auto"/>
        <w:rPr>
          <w:sz w:val="20"/>
          <w:szCs w:val="20"/>
          <w:color w:val="auto"/>
        </w:rPr>
      </w:pPr>
      <w:r>
        <w:rPr>
          <w:rFonts w:ascii="Arial" w:cs="Arial" w:eastAsia="Arial" w:hAnsi="Arial"/>
          <w:sz w:val="17"/>
          <w:szCs w:val="17"/>
          <w:color w:val="auto"/>
        </w:rPr>
        <w:t>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57"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modifications to promotional pieces and product labels;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other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to establish or modify a REMS or a similar strategy;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the way the product is administered;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recalls of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44"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49"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By example the change in the U.S. administration that occurred on January 20, 2021 may result in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ind w:right="20" w:firstLine="589"/>
        <w:spacing w:after="0" w:line="277" w:lineRule="auto"/>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200" w:hanging="598"/>
        <w:spacing w:after="0" w:line="255"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4" w:lineRule="exact"/>
        <w:rPr>
          <w:rFonts w:ascii="Arial" w:cs="Arial" w:eastAsia="Arial" w:hAnsi="Arial"/>
          <w:sz w:val="18"/>
          <w:szCs w:val="18"/>
          <w:color w:val="auto"/>
        </w:rPr>
      </w:pPr>
    </w:p>
    <w:p>
      <w:pPr>
        <w:jc w:val="both"/>
        <w:ind w:left="1200" w:hanging="598"/>
        <w:spacing w:after="0" w:line="257"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9" w:lineRule="exact"/>
        <w:rPr>
          <w:rFonts w:ascii="Arial" w:cs="Arial" w:eastAsia="Arial" w:hAnsi="Arial"/>
          <w:sz w:val="18"/>
          <w:szCs w:val="18"/>
          <w:color w:val="auto"/>
        </w:rPr>
      </w:pPr>
    </w:p>
    <w:p>
      <w:pPr>
        <w:jc w:val="both"/>
        <w:ind w:left="1200" w:hanging="598"/>
        <w:spacing w:after="0" w:line="291" w:lineRule="auto"/>
        <w:tabs>
          <w:tab w:leader="none" w:pos="12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jc w:val="both"/>
        <w:ind w:left="1200" w:hanging="598"/>
        <w:spacing w:after="0" w:line="254"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6" w:lineRule="exact"/>
        <w:rPr>
          <w:rFonts w:ascii="Arial" w:cs="Arial" w:eastAsia="Arial" w:hAnsi="Arial"/>
          <w:sz w:val="18"/>
          <w:szCs w:val="18"/>
          <w:color w:val="auto"/>
        </w:rPr>
      </w:pPr>
    </w:p>
    <w:p>
      <w:pPr>
        <w:jc w:val="both"/>
        <w:ind w:left="1160" w:hanging="572"/>
        <w:spacing w:after="0" w:line="255"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jc w:val="both"/>
        <w:ind w:left="1160" w:hanging="572"/>
        <w:spacing w:after="0" w:line="271" w:lineRule="auto"/>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70"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68"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68"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85"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spacing w:after="0" w:line="269" w:lineRule="auto"/>
        <w:rPr>
          <w:sz w:val="20"/>
          <w:szCs w:val="20"/>
          <w:color w:val="auto"/>
        </w:rPr>
      </w:pPr>
      <w:r>
        <w:rPr>
          <w:rFonts w:ascii="Arial" w:cs="Arial" w:eastAsia="Arial" w:hAnsi="Arial"/>
          <w:sz w:val="17"/>
          <w:szCs w:val="17"/>
          <w:color w:val="auto"/>
        </w:rPr>
        <w:t>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8" w:lineRule="exact"/>
        <w:rPr>
          <w:sz w:val="20"/>
          <w:szCs w:val="20"/>
          <w:color w:val="auto"/>
        </w:rPr>
      </w:pPr>
    </w:p>
    <w:p>
      <w:pPr>
        <w:ind w:left="1160" w:hanging="572"/>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67" w:lineRule="exact"/>
        <w:rPr>
          <w:rFonts w:ascii="Arial" w:cs="Arial" w:eastAsia="Arial" w:hAnsi="Arial"/>
          <w:sz w:val="16"/>
          <w:szCs w:val="16"/>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5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6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6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70"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49"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80"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cold have a material and adverse effect on our business, financial condition and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58"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 and Other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7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160" w:right="2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jc w:val="both"/>
        <w:ind w:firstLine="589"/>
        <w:spacing w:after="0" w:line="254"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COVID-19, we may experience delays in opportunities to develop our product candidates, due to financial and other impacts on potential partners.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$3.29 and $112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COVID-19 and its impact on the global economy. The market price of our common stock may fluctuate significantly due to a number of factors, some of which may be beyond our control or unrelated to our operations, including, among others:</w:t>
      </w:r>
    </w:p>
    <w:p>
      <w:pPr>
        <w:spacing w:after="0" w:line="56"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resolution of the Tang Stockholder Proposals;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8" w:name="page49"/>
    <w:bookmarkEnd w:id="48"/>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estimated or actual sales of IXINITY by Medexus;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COVID-19 or similar global health challenges;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industry conditions and domestic and global financial, economic, and geo-political instability;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4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9"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the event that coverage under our directors’ and officers’ liability insurance is reduced or terminated as a result of the Tang Ownership Change or otherwise, our indemnification obligations and limitations of our directors’ and officers’ liability insurance may have a material adverse effect on our financial condition, results of operations and cash flows.</w:t>
      </w:r>
    </w:p>
    <w:p>
      <w:pPr>
        <w:spacing w:after="0" w:line="76"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However, as a result of the Tang Ownership Change, the cost to us of our directors’ and officers’ liability insurance coverage has increased, and it may continue to increase in the future,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maintain effective internal controls, we may not be able to accurately report our financial results and our business could be harmed.</w:t>
      </w:r>
    </w:p>
    <w:p>
      <w:pPr>
        <w:spacing w:after="0" w:line="140"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jc w:val="both"/>
        <w:spacing w:after="0" w:line="279" w:lineRule="auto"/>
        <w:rPr>
          <w:sz w:val="20"/>
          <w:szCs w:val="20"/>
          <w:color w:val="auto"/>
        </w:rPr>
      </w:pPr>
      <w:r>
        <w:rPr>
          <w:rFonts w:ascii="Arial" w:cs="Arial" w:eastAsia="Arial" w:hAnsi="Arial"/>
          <w:sz w:val="17"/>
          <w:szCs w:val="17"/>
          <w:color w:val="auto"/>
        </w:rPr>
        <w:t>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63"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Capital Market in the future. Delisting could adversely affect the liquidity of our common stock and the market price of our common stock could decrease.</w:t>
      </w:r>
    </w:p>
    <w:p>
      <w:pPr>
        <w:spacing w:after="0" w:line="6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Our common stock is currently listed on the Nasdaq Capital Market. The Nasdaq Stock Market LLC has minimum requirements that a company must meet in order to remain listed on Nasdaq, including corporate governance standards and a requirement that we maintain a minimum closing bid price of $1.00 per share.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80" w:lineRule="exact"/>
        <w:rPr>
          <w:sz w:val="20"/>
          <w:szCs w:val="20"/>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 special written suitability determination for the purchaser;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the purchaser’s written agreement to the transaction prior to sale;</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62"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As a result of these requirements, the market price of our securities may be adversely impacted, and current stockholders may find it more difficult to sell our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but not limited to, equity issuances under our existing equity sales agreement with Lincoln Park Financial LLC,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8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3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ind w:firstLine="432"/>
        <w:spacing w:after="0" w:line="257" w:lineRule="auto"/>
        <w:rPr>
          <w:sz w:val="20"/>
          <w:szCs w:val="20"/>
          <w:color w:val="auto"/>
        </w:rPr>
      </w:pPr>
      <w:r>
        <w:rPr>
          <w:rFonts w:ascii="Arial" w:cs="Arial" w:eastAsia="Arial" w:hAnsi="Arial"/>
          <w:sz w:val="18"/>
          <w:szCs w:val="18"/>
          <w:color w:val="auto"/>
        </w:rPr>
        <w:t>Moreover, in November 2020 our Board adopted a short-term stockholder rights agreement with an expiration date of November 8, 2021.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include a forum selection clause, which may impact your ability to bring actions against us.</w:t>
      </w:r>
    </w:p>
    <w:p>
      <w:pPr>
        <w:spacing w:after="0" w:line="117"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5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both"/>
        <w:spacing w:after="0" w:line="269" w:lineRule="auto"/>
        <w:rPr>
          <w:sz w:val="20"/>
          <w:szCs w:val="20"/>
          <w:color w:val="auto"/>
        </w:rPr>
      </w:pPr>
      <w:r>
        <w:rPr>
          <w:rFonts w:ascii="Arial" w:cs="Arial" w:eastAsia="Arial" w:hAnsi="Arial"/>
          <w:sz w:val="17"/>
          <w:szCs w:val="17"/>
          <w:color w:val="auto"/>
        </w:rPr>
        <w:t>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6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the COVID-19 pandemic also poses an increased security risk, due to the mandatory remote working orders.</w:t>
      </w:r>
    </w:p>
    <w:p>
      <w:pPr>
        <w:spacing w:after="0" w:line="63"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80"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4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w:t>
      </w:r>
    </w:p>
    <w:p>
      <w:pPr>
        <w:spacing w:after="0" w:line="80"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lease our headquarters office and laboratory space in Seattle, Washington. The Seattle facility is approximately 48,000 square feet and the lease for the Seattle facility expires in April 2030.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We may from time to time be named as a party to legal claims, actions and complaints, including matters involving employment claims, our intellectual property or other third party claims. Our management believes that there are currently no claims or actions pending against us, the ultimate disposition of which could have a material adverse effect on our results of operations, financial condition, or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common stock has been listed on The Nasdaq Capital Market under the symbol “APVO” since October 18, 2019, and was listed on The Nasdaq Global Market from August 1, 2016 to October 17,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8"/>
          <w:szCs w:val="18"/>
          <w:color w:val="auto"/>
        </w:rPr>
        <w:t>As of March 31, 2021, there were 162 holders of record of our common stock.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and other factors the board of directors deems relevant.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sell any unregistered securities during the year ended December 31,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repurchase any shares of our common stock during the year ended December 31,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(this MD&amp;A) together with the consolidated financial statements and the related notes thereto included in this Annual Report on Form 10-K. This MD&amp;A contains forward-looking statements that are subject to risks and uncertainties, such as those set forth in the sections of this Annual Report on Form 10-K captioned “Cautionary Note Regarding Forward-Looking Statements,” “Risk Factors” and elsewhere. As a result, our actual results may differ materially from those anticipated in these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cancer. We have successfully designed and constructed numerous investigational-stage prototype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preclinical candidates based on the ADAPTIR-FLEX platform which are advancing in our pipeline. We are developing our ADAPTIR and ADAPTIR-FLEX molecules by way of our protein engineering, preclinical development, process development, and clinical development capabilities.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Corporate Highlights:</w:t>
      </w:r>
    </w:p>
    <w:p>
      <w:pPr>
        <w:spacing w:after="0" w:line="229"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On February 28, 2020, we entered into an LLC Purchase Agreement with Medexus, pursuant to which we sold all of the issued and outstanding limited liability company interests of Aptevo BioTherapeutics, a wholly owned subsidiary of Aptevo. As consideration for the sale, at closing Aptevo received an amount equal to $30 million in cash. We used $22.1 million of the $30 million in proceeds to repay in full our previous term debt facility with MidCap Financial, including $20 million of principal and $2.1 million in an end of facility fee, accrued interest, legal fees and prepayment fees. As a result of the transaction, Medexus obtained all right, title and interest to the IXINITY® product and the related Hemophilia B business and intellectual property. In addition, Aptevo BioTherapeutics personnel responsible for the sale and marketing of IXINITY also transitioned to Medexus as part of the transaction. We receive deferred payments (royalties) from Medexus related to sales of IXINITY and may earn milestone payments in the future. Royalties are earned at the rate of 2% of net revenue through the earlier of June 2022 or completion of the IXINITY pediatric trial being run by Medexus. After that, the royalty rate will increase to 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589"/>
        <w:spacing w:after="0" w:line="272" w:lineRule="auto"/>
        <w:rPr>
          <w:sz w:val="20"/>
          <w:szCs w:val="20"/>
          <w:color w:val="auto"/>
        </w:rPr>
      </w:pPr>
      <w:r>
        <w:rPr>
          <w:rFonts w:ascii="Arial" w:cs="Arial" w:eastAsia="Arial" w:hAnsi="Arial"/>
          <w:sz w:val="17"/>
          <w:szCs w:val="17"/>
          <w:color w:val="auto"/>
        </w:rPr>
        <w:t>In July 2020, we announced that we engaged Piper Sandler &amp; Co to sell our RUXIENCE and IXINITY royalty stream and deferred payments and milestones, respectively. Aptevo is entitled to receive a CD20 biosimilar product (royalty) payments from Pfizer Inc. of 2.5% of global net sales of RUXIENCE. The royalty term runs for seven years, until early 2027, and payments are due quarterly. Additionally, Aptevo is entitled to receive deferred payments from Medexus pertaining to the net sales of IXINITY in the United States and Canada. Royalties are earned at the rate of 2% of net revenue through the earlier of June 2022 or completion of the IXINITY pediatric trial being run by Medexus. After that, the royalty rate will increase to 5%. The royalty term runs for up to fifteen years, until early 2035, and payments are due quarterly. Additionally, milestone payments totaling up to $11 million may be earned from Medexus related to certain regulatory and commercial achievements.</w:t>
      </w:r>
    </w:p>
    <w:p>
      <w:pPr>
        <w:spacing w:after="0" w:line="69"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On August 5, 2020, we entered into a Credit and Security Agreement (Credit Agreement), with MidCap Financial. The Credit Agreement provided us with up to $25 million of available borrowing capacity. The full $25 million was drawn on the closing date of the Credit Agreement. The MidCap Financial loan has a 48-month term, is interest-only for the first 18 months, with straight-line amortization for the remaining 30 months and bears interest at a rate of one month LIBOR plus 6.25% per annum, subject to a 1.50% LIBOR floor and a 2.50% LIBOR cap. The loan includes additional repayment provisions should either or both of the royalties or milestones related to IXINITY or royalties related to RUXIENCE be sold during the term of the loan.</w:t>
      </w:r>
    </w:p>
    <w:p>
      <w:pPr>
        <w:spacing w:after="0" w:line="53"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As of December 2020, we have advanced ALG.APV-527 into Phase 1 clinical development in a co-development 50/50 partnership. Aptevo and Alligator plan to file a clinical trial application (CTA) in Europe in 2021 and to subsequently commence first in human dosing in the fourth quarter of 2021.</w:t>
      </w:r>
    </w:p>
    <w:p>
      <w:pPr>
        <w:spacing w:after="0" w:line="1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For the year ended December 31, 2020, certain of the holders of the Company’s warrants exercised warrants with a strike price of $18.20 per share, resulting in the issuance of approximately 1.2 million shares of the Company’s common stock and aggregate proceeds to the Company of approximately $21.2 million. As of December 31, 2020, there were 404,694 warrants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594"/>
        <w:spacing w:after="0" w:line="269" w:lineRule="auto"/>
        <w:rPr>
          <w:sz w:val="20"/>
          <w:szCs w:val="20"/>
          <w:color w:val="auto"/>
        </w:rPr>
      </w:pPr>
      <w:r>
        <w:rPr>
          <w:rFonts w:ascii="Arial" w:cs="Arial" w:eastAsia="Arial" w:hAnsi="Arial"/>
          <w:sz w:val="17"/>
          <w:szCs w:val="17"/>
          <w:color w:val="auto"/>
        </w:rPr>
        <w:t>On November 6, 2020, Tang filed a statement on Schedule 13D to report that Tang had purchased 1,760,000 shares of our common stock, representing approximately 54% of our issued and outstanding shares of common stock as of the date of filing such Schedule 13D. As of the date of this Annual Report on Form 10-K, Tang has subsequently been diluted to a 39.6% beneficial ownership position, primarily through the exercise of certain warrants that were issued and outstanding prior to Tang acquiring its ownership position in Aptevo. Additionally, on November 18, 2020, our Board received a written unsolicited, non-binding indication of interest from Tang, proposing to acquire all of the outstanding shares of our common stock not already beneficially owned by Tang for $50.00 per share in cash, subject to confirmatory due diligence conducted under a customary non-disclosure agreement. We have had a series of communications during which we attempted to negotiate a non-disclosure agreement with Tang to permit discussions covering our nonpublic information and our operations. Further, on February 9, 2021, Tang announced its intention to nominate two candidates for election to our board of directors at our 2021 annual meeting of stockholders and submitted an advisory stockholder proposal for consideration at our 2021 annual meeting to commence a process to sell Aptevo to the highest bidder. We have incurred and may continue to incur additional expenses by retaining the services of various professionals to advise us on responding to these matters.</w:t>
      </w:r>
    </w:p>
    <w:p>
      <w:pPr>
        <w:spacing w:after="0" w:line="74"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The Aptevo Board was open to exploring the indication of interest from Tang and made earnest efforts to evaluate it. However, it was unable to do so because it was unable to reach agreement with Tang on the terms of a customary non-disclosure agreement, including limitations on the use of confidential information by Tang. Had agreement on the terms of a non-disclosure agreement been reached, it would have permitted the exchange of confidential information and would have enabled both parties to conduct due diligence. In this early stage of the Company’s development, the Aptevo Board believes it is difficult for the market to accurately value the potential of Aptevo’s proprietary platform technologies and therapeutic candidates, which have just begun to demonstrate their effectiveness and potentially life-saving capabilities to the Company’s patients, shareholders and other stakeholders. The Board will continue to carefully evaluate any indications of interest and proposals for strategic transactions that it receives from current shareholders or otherwise, in line with its fiduciary duties and commitment to acting in the best interests of all of the Company’s shareholders.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ind w:firstLine="589"/>
        <w:spacing w:after="0" w:line="293" w:lineRule="auto"/>
        <w:rPr>
          <w:sz w:val="20"/>
          <w:szCs w:val="20"/>
          <w:color w:val="auto"/>
        </w:rPr>
      </w:pPr>
      <w:r>
        <w:rPr>
          <w:rFonts w:ascii="Arial" w:cs="Arial" w:eastAsia="Arial" w:hAnsi="Arial"/>
          <w:sz w:val="16"/>
          <w:szCs w:val="16"/>
          <w:color w:val="auto"/>
        </w:rPr>
        <w:t>On March 30, 2021, the Company entered into and closed a Royalty Purchase Agreement with HCR pursuant to which the Company sold to HCR the right to receive all royalty payments made by Pfizer in respect of net sales of RUXIENCE. Under the terms of the agreement, the Company received $35 million (the Investment Amount) at closing and the Company is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by HCR to the Company, Aptevo will be entitled to receive 50% of any additional royalty payments by Pfizer thereafter.</w:t>
      </w:r>
    </w:p>
    <w:p>
      <w:pPr>
        <w:spacing w:after="0" w:line="5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connection with the Royalty Purchase Agreement, we amended our Credit Agreement with MidCap Financial and used $10 million of the proceeds received from the Royalty Purchase Agreement with HCR to pay down the outstanding principal under this agreement from $25 million to $15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Except as otherwise stated below, the following discussions of our results of operations reflect the results of our continuing operations, excluding the results related to Aptevo BioTherapeutics, which has been separated from continuing operations and reflected as a discontinued operation. See Note 2</w:t>
      </w:r>
    </w:p>
    <w:p>
      <w:pPr>
        <w:spacing w:after="0"/>
        <w:rPr>
          <w:sz w:val="20"/>
          <w:szCs w:val="20"/>
          <w:color w:val="auto"/>
        </w:rPr>
      </w:pPr>
      <w:r>
        <w:rPr>
          <w:rFonts w:ascii="Arial" w:cs="Arial" w:eastAsia="Arial" w:hAnsi="Arial"/>
          <w:sz w:val="18"/>
          <w:szCs w:val="18"/>
          <w:color w:val="auto"/>
        </w:rPr>
        <w:t>– Discontinued Operations to the accompanying consolidated financial statements for additional information.</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2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For the year ended December 31, 2020 and 2019, we had net losses of $17.8 million and $40.4 million, respectively. As of December 31, 2020, we had an accumulated deficit of $185.6 million.</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Royalty Revenue</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We recorded royalty revenue of $4.3 million for the year ended December 31, 2020. This increase is related to a 2.5% royalty we are entitled to receive from Pfizer related to global net sales of RUXIENCE (rituximab biosimilar), which was approved by the FDA in July 2019 and launched by Pfizer in early 2020. The payment from Pfizer relates to an agreement acquired by Aptevo as part of our spin-off from Emergent in 2016. The agreement was originally executed by Trubion Pharmaceuticals, which was subsequently acquired by Emergent, and Wyeth, a wholly-own subsidiary of Pfizer. The royalty term runs through January 2027, which is the seventh anniversary of the first commercial sale of the CD20 biosimilar.</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We expense research and development costs as incurred. These expenses consist primarily of the costs associated with our research and development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research and development expenses include:</w:t>
      </w:r>
    </w:p>
    <w:p>
      <w:pPr>
        <w:spacing w:after="0" w:line="117" w:lineRule="exact"/>
        <w:rPr>
          <w:sz w:val="20"/>
          <w:szCs w:val="20"/>
          <w:color w:val="auto"/>
        </w:rPr>
      </w:pPr>
    </w:p>
    <w:p>
      <w:pPr>
        <w:ind w:left="116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expenses and material for third-party manufacturing;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jc w:val="both"/>
        <w:ind w:firstLine="589"/>
        <w:spacing w:after="0" w:line="254" w:lineRule="auto"/>
        <w:rPr>
          <w:sz w:val="20"/>
          <w:szCs w:val="20"/>
          <w:color w:val="auto"/>
        </w:rPr>
      </w:pPr>
      <w:r>
        <w:rPr>
          <w:rFonts w:ascii="Arial" w:cs="Arial" w:eastAsia="Arial" w:hAnsi="Arial"/>
          <w:sz w:val="18"/>
          <w:szCs w:val="18"/>
          <w:color w:val="auto"/>
        </w:rPr>
        <w:t>We expect our future research and development spending will also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COVID-19.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research and development expenses by program for the year ended December 31, 2020 and 2019 are shown in the following table:</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2"/>
              </w:rPr>
              <w:t>For the Year Ended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APVO436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4,791</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4,467</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9,041</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Pre-clinical program, general research and discovery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Research and development expenses decreased by $6.9 million, to $17.9 million for the year ended December 31, 2020 from $24.8 million for the year ended December 31, 2019. Expenses decreased primarily related to decreased spending on programs discontinued in 2019. Pre-clinical program, general research and discovery costs decreased primarily due to decreased spending on outside testing and manufacturing for ALG.APV-527. This decrease was offset by an increase in spending in APVO436 for the year ended December 31, 2020, related to increased clinical trial costs.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76"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year ended December 31, 2020 general and administrative expenses decreased by $2.2 million, or 14%, to $14.0 million from $16.2 million for the year ended December 31, 2019. This decrease was primarily due to reduced personnel and professional services costs.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Other expense consists primarily of gains or losses realized on foreign currency revaluation, costs related to debt extinguishment, accrued exit fees on debt, and interest on debt. Other expense was $3.4 million for the year ended December 31, 2020 and $2.1 million for the year ended December 31, 2019. This increase is primarily due to a loss on extinguishment of debt of $2.1 million, which consisted of interest, exit, prepayment, and legal fees recognized during the first quarter of 2020.</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 accompanying consolidated financial statements include discontinued operations from two separate transactions: the sale of hyperimmune business to Saol International Limited in September 2017, from which milestone payments were recognized in 2019, and the sale of Aptevo BioTherapeutics LLC (Aptevo BioTherapeutics) in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p>
      <w:pPr>
        <w:ind w:right="20" w:firstLine="589"/>
        <w:spacing w:after="0" w:line="277" w:lineRule="auto"/>
        <w:rPr>
          <w:sz w:val="20"/>
          <w:szCs w:val="20"/>
          <w:color w:val="auto"/>
        </w:rPr>
      </w:pPr>
      <w:r>
        <w:rPr>
          <w:rFonts w:ascii="Arial" w:cs="Arial" w:eastAsia="Arial" w:hAnsi="Arial"/>
          <w:sz w:val="18"/>
          <w:szCs w:val="18"/>
          <w:color w:val="auto"/>
        </w:rPr>
        <w:t>The following table represents the components attributable to Aptevo BioTherapeutics presented as income from discontinued operations in the consolidated statements of operations (in thousands):</w:t>
      </w:r>
    </w:p>
    <w:p>
      <w:pPr>
        <w:sectPr>
          <w:pgSz w:w="11900" w:h="16838" w:orient="portrait"/>
          <w:cols w:equalWidth="0" w:num="1">
            <w:col w:w="11260"/>
          </w:cols>
          <w:pgMar w:left="320" w:top="449" w:right="3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Loss from operations</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Gain on sale of Aptevo BioTherapeutics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 payment from Saol</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Deferred payment from Medexus</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Income from discontinued operations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(1,582)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(1,634)</w:t>
            </w:r>
          </w:p>
        </w:tc>
      </w:tr>
      <w:tr>
        <w:trPr>
          <w:trHeight w:val="243"/>
        </w:trPr>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4,250</w:t>
            </w:r>
          </w:p>
        </w:tc>
        <w:tc>
          <w:tcPr>
            <w:tcW w:w="6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6"/>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13,173</w:t>
            </w: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60" w:type="dxa"/>
            <w:vAlign w:val="bottom"/>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-814070</wp:posOffset>
            </wp:positionV>
            <wp:extent cx="641223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-496570</wp:posOffset>
            </wp:positionV>
            <wp:extent cx="641223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-187960</wp:posOffset>
            </wp:positionV>
            <wp:extent cx="641223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80" w:space="720"/>
            <w:col w:w="3760"/>
          </w:cols>
          <w:pgMar w:left="320" w:top="449" w:right="319" w:bottom="1440" w:gutter="0" w:footer="0" w:header="0"/>
          <w:type w:val="continuous"/>
        </w:sectPr>
      </w:pPr>
    </w:p>
    <w:p>
      <w:pPr>
        <w:spacing w:after="0" w:line="2" w:lineRule="exact"/>
        <w:rPr>
          <w:sz w:val="20"/>
          <w:szCs w:val="20"/>
          <w:color w:val="auto"/>
        </w:rPr>
      </w:pPr>
    </w:p>
    <w:p>
      <w:pPr>
        <w:jc w:val="both"/>
        <w:ind w:right="20" w:firstLine="777"/>
        <w:spacing w:after="0" w:line="296" w:lineRule="auto"/>
        <w:rPr>
          <w:sz w:val="20"/>
          <w:szCs w:val="20"/>
          <w:color w:val="auto"/>
        </w:rPr>
      </w:pPr>
      <w:r>
        <w:rPr>
          <w:rFonts w:ascii="Arial" w:cs="Arial" w:eastAsia="Arial" w:hAnsi="Arial"/>
          <w:sz w:val="16"/>
          <w:szCs w:val="16"/>
          <w:color w:val="auto"/>
        </w:rPr>
        <w:t>Income from discontinued operations was $13.2 million for the year ended December 31, 2020 and $2.6 million for the year ended December 31, 2019. On February 28, 2020, we entered into an LLC Purchase Agreement with Medexus, pursuant to which we sold all of the issued and outstanding limited liability company interests of Aptevo BioTherapeutics, our former wholly-owned subsidiary which owns the IXINITY and related Hemophilia B business. As a result of the transaction, Medexus obtained all rights, title, and interest to the IXINITY product and intellectual property. In addition, Aptevo BioTherapeutics personnel responsible for the sale and marketing of IXINITY also transitioned to Medexus as part of the transaction.</w:t>
      </w:r>
    </w:p>
    <w:p>
      <w:pPr>
        <w:spacing w:after="0" w:line="121" w:lineRule="exact"/>
        <w:rPr>
          <w:sz w:val="20"/>
          <w:szCs w:val="20"/>
          <w:color w:val="auto"/>
        </w:rPr>
      </w:pPr>
    </w:p>
    <w:p>
      <w:pPr>
        <w:jc w:val="both"/>
        <w:ind w:right="20" w:firstLine="777"/>
        <w:spacing w:after="0" w:line="259" w:lineRule="auto"/>
        <w:rPr>
          <w:sz w:val="20"/>
          <w:szCs w:val="20"/>
          <w:color w:val="auto"/>
        </w:rPr>
      </w:pPr>
      <w:r>
        <w:rPr>
          <w:rFonts w:ascii="Arial" w:cs="Arial" w:eastAsia="Arial" w:hAnsi="Arial"/>
          <w:sz w:val="18"/>
          <w:szCs w:val="18"/>
          <w:color w:val="auto"/>
        </w:rPr>
        <w:t>In addition to the payment received at closing, we may also earn milestone and deferred payments from Medexus in the future. Pursuant to the LLC Purchase Agreement, we agreed to provide certain transition services for a limited period of time following the closing. We used $22.1 million of the $30 million in proceeds to repay in full our term debt facility with MidCap Financial, including $20 million of principal and $2.1 million in an end of facility fee, accrued interest, legal fees, and prepayment fees.</w:t>
      </w:r>
    </w:p>
    <w:p>
      <w:pPr>
        <w:spacing w:after="0" w:line="79"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For the year ended December 31, 2019, income from discontinued operations was primarily due to the receipt of the $4.3 million milestone payment from Saol International Limited, in conjunction with the sale in September 2017 of our hyperimmune business.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20" w:firstLine="589"/>
        <w:spacing w:after="0" w:line="259" w:lineRule="auto"/>
        <w:rPr>
          <w:sz w:val="20"/>
          <w:szCs w:val="20"/>
          <w:color w:val="auto"/>
        </w:rPr>
      </w:pPr>
      <w:r>
        <w:rPr>
          <w:rFonts w:ascii="Arial" w:cs="Arial" w:eastAsia="Arial" w:hAnsi="Arial"/>
          <w:sz w:val="18"/>
          <w:szCs w:val="18"/>
          <w:color w:val="auto"/>
        </w:rPr>
        <w:t>During the periods prior to the spin-off from Emergent, the Company did not file separate tax returns as it was included in the tax returns of Emergent entities within the respective tax jurisdictions. The income tax provision included in these financial statements was calculated using a separate return basis, as if the Company was a separate taxpayer. Under this approach, the Company determines its current taxes, deferred tax assets and liabilities and related tax expense as if it were filing separate tax returns in each tax jurisdiction.</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have an income tax benefit or income tax expense from continuing operations in the years ended December 31,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55"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have any off-balance sheet arrangements at December 31, 2020.</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The following table provides information regarding our cash flows for year ended December 31, 2020 </w:t>
      </w:r>
      <w:r>
        <w:rPr>
          <w:rFonts w:ascii="Arial" w:cs="Arial" w:eastAsia="Arial" w:hAnsi="Arial"/>
          <w:sz w:val="18"/>
          <w:szCs w:val="18"/>
          <w:color w:val="231F20"/>
        </w:rPr>
        <w:t>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For the Year Ended December 31,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gridSpan w:val="2"/>
            <w:vMerge w:val="continue"/>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activities</w:t>
            </w:r>
          </w:p>
        </w:tc>
        <w:tc>
          <w:tcPr>
            <w:tcW w:w="244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(29,318)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(42,383)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20,149</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Increase (decrease) in cash and cash equivalents</w:t>
            </w:r>
          </w:p>
        </w:tc>
        <w:tc>
          <w:tcPr>
            <w:tcW w:w="2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(18,137)</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00" w:type="dxa"/>
            <w:vAlign w:val="bottom"/>
            <w:vMerge w:val="restart"/>
          </w:tcPr>
          <w:p>
            <w:pPr>
              <w:jc w:val="right"/>
              <w:ind w:right="135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type w:val="continuous"/>
        </w:sectPr>
      </w:pPr>
    </w:p>
    <w:bookmarkStart w:id="60" w:name="page61"/>
    <w:bookmarkEnd w:id="60"/>
    <w:p>
      <w:pPr>
        <w:jc w:val="both"/>
        <w:ind w:firstLine="589"/>
        <w:spacing w:after="0" w:line="286" w:lineRule="auto"/>
        <w:rPr>
          <w:sz w:val="20"/>
          <w:szCs w:val="20"/>
          <w:color w:val="auto"/>
        </w:rPr>
      </w:pPr>
      <w:r>
        <w:rPr>
          <w:rFonts w:ascii="Arial" w:cs="Arial" w:eastAsia="Arial" w:hAnsi="Arial"/>
          <w:sz w:val="17"/>
          <w:szCs w:val="17"/>
          <w:color w:val="auto"/>
        </w:rPr>
        <w:t>Net cash used in operating activities for the year ended December 31, 2020 was primarily due to our net operating loss of $17.8 million, the gain on sale of Aptevo BioTherapeutics of $14.3 million, and changes in working capital accounts. Net cash used in operating activities for the year ended December 31, 2019 was primarily due to our net operating loss of $40.4 million, and changes in working capital accounts.</w:t>
      </w:r>
    </w:p>
    <w:p>
      <w:pPr>
        <w:spacing w:after="0" w:line="5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Net cash provided by investing activities for the year ended December 31, 2020, was primarily due to the cash received from the sale of Aptevo BioTherapeutics, net of transaction fees. For the year ended December 31, 2019, the net cash provided by investing activities was primarily due to the receipt of the $4.25 million milestone payment from Saol International Limited, in conjunction with the sale in September 2017 of our hyperimmune business, net of the purchase of property and equipment.</w:t>
      </w:r>
    </w:p>
    <w:p>
      <w:pPr>
        <w:spacing w:after="0" w:line="79"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Net cash provided by financing activities for the year ended December 31, 2020 was primarily due to $21.2 million received from the exercises of warrants and common stock, and proceeds of $24.7 million from the credit agreement we entered into with MidCap Financial on August 5, 2020, which was offset by the $22.1 million repayment of long-term debt in the first quarter of 2020. Net cash provided by financing activities for the year ended December 31, 2019 was primarily due to $20.3 million received from the issuance of common stock and related warrants and the exercise of warrants.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will be effected pursuant to a Registration Statement on Form S-3 which we filed on November 9, 2017 and updated on December 14, 2020.</w:t>
      </w:r>
    </w:p>
    <w:p>
      <w:pPr>
        <w:spacing w:after="0" w:line="80"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Registration Statement</w:t>
      </w:r>
    </w:p>
    <w:p>
      <w:pPr>
        <w:spacing w:after="0" w:line="11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We previously filed a registration statement with the Securities and Exchange Commission on November 13, 2017, amended on December 6, 2017 and declared effective on December 15, 2017 (the Prior Registration Statement). The Prior Registration Statement registered the offer and sale of an indeterminate number of shares of common stock and preferred stock, an indeterminate principal amount of debt securities and an indeterminate number of warrants to purchase common stock, preferred stock, and various series of debt securities and/or warrants to purchase any of such securities, having an aggregate initial offering price of $150 million, of which an aggregate of $127.8 million remained unsold as of the December 14, 2020. On December 14, 2020, we filed a new registration statement covering the offering, issuance, and sale up to $200 million in common stock, preferred stock, and various series of debt securities and/or warrants to purchase any of such securities, which included the unsold securities from the Prior Registration Statement.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3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On December 20, 2018, we entered into the Purchase Agreement, and a registration rights agreement with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Pursuant to this purchase agreement, we issued 13,991 commitment shares of common stock in the first quarter of 2019 and none in the year ended December 31,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1" w:name="page62"/>
    <w:bookmarkEnd w:id="61"/>
    <w:p>
      <w:pPr>
        <w:jc w:val="both"/>
        <w:ind w:firstLine="589"/>
        <w:spacing w:after="0" w:line="273" w:lineRule="auto"/>
        <w:rPr>
          <w:sz w:val="20"/>
          <w:szCs w:val="20"/>
          <w:color w:val="auto"/>
        </w:rPr>
      </w:pPr>
      <w:r>
        <w:rPr>
          <w:rFonts w:ascii="Arial" w:cs="Arial" w:eastAsia="Arial" w:hAnsi="Arial"/>
          <w:sz w:val="17"/>
          <w:szCs w:val="17"/>
          <w:color w:val="auto"/>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 We have not sold any shares under the Purchase Agreement through the year ended December 31, 2020.</w:t>
      </w:r>
    </w:p>
    <w:p>
      <w:pPr>
        <w:spacing w:after="0" w:line="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17" w:lineRule="exact"/>
        <w:rPr>
          <w:sz w:val="20"/>
          <w:szCs w:val="20"/>
          <w:color w:val="auto"/>
        </w:rPr>
      </w:pPr>
    </w:p>
    <w:p>
      <w:pPr>
        <w:ind w:left="1160" w:hanging="572"/>
        <w:spacing w:after="0" w:line="308" w:lineRule="auto"/>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51" w:lineRule="exact"/>
        <w:rPr>
          <w:rFonts w:ascii="Arial" w:cs="Arial" w:eastAsia="Arial" w:hAnsi="Arial"/>
          <w:sz w:val="17"/>
          <w:szCs w:val="17"/>
          <w:color w:val="auto"/>
        </w:rPr>
      </w:pPr>
    </w:p>
    <w:p>
      <w:pPr>
        <w:jc w:val="both"/>
        <w:ind w:left="1160" w:hanging="572"/>
        <w:spacing w:after="0" w:line="259"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7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For the year ended December 31, 2020, certain of the holders of the Company’s warrants exercised warrants with a strike price of $18.20 per share, resulting in the issuance of 1,166,735 million shares of the Company’s common stock and aggregate proceeds to the Company of approximately $21.2 million. As of December 31, 2020, there were 404,694 warrants outstanding.</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89"/>
        <w:spacing w:after="0" w:line="262" w:lineRule="auto"/>
        <w:rPr>
          <w:sz w:val="20"/>
          <w:szCs w:val="20"/>
          <w:color w:val="auto"/>
        </w:rPr>
      </w:pPr>
      <w:r>
        <w:rPr>
          <w:rFonts w:ascii="Arial" w:cs="Arial" w:eastAsia="Arial" w:hAnsi="Arial"/>
          <w:sz w:val="18"/>
          <w:szCs w:val="18"/>
          <w:color w:val="auto"/>
        </w:rPr>
        <w:t>We have financed our operations to date primarily through revenue generated from our commercial products, royalty payments from Pfizer, deferred payments from Medexus,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a net loss of $17.8 million and $40.4 million for the years ended December 31, 2020 and December 31, 2019, respectively. We had cash and cash equivalents of $39.9 million, restricted cash – current of $2.6 million, and an accumulated deficit of $185.6 million as of December 31, 2020.</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2020, net cash used in our operating activities was $29.3 million.</w:t>
      </w:r>
    </w:p>
    <w:p>
      <w:pPr>
        <w:spacing w:after="0" w:line="117"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jc w:val="both"/>
        <w:ind w:firstLine="589"/>
        <w:spacing w:after="0" w:line="254" w:lineRule="auto"/>
        <w:rPr>
          <w:sz w:val="20"/>
          <w:szCs w:val="20"/>
          <w:color w:val="auto"/>
        </w:rPr>
      </w:pPr>
      <w:r>
        <w:rPr>
          <w:rFonts w:ascii="Arial" w:cs="Arial" w:eastAsia="Arial" w:hAnsi="Arial"/>
          <w:sz w:val="18"/>
          <w:szCs w:val="18"/>
          <w:color w:val="auto"/>
        </w:rPr>
        <w:t>Due to COVID-19, we may experience delays in opportunities to partner our product candidates, due to financial and other impacts on potential partners. Additionally, we may experience potential impacts on our future deferred payments and milestones from Medexus due to effects of the COVID-19 pandemic, which may impact Medexus’ ability to continue to successfully commercialize the IXINITY businesses, respectively. We believe that our existing cash resources, the Investment Amount from the Royalty Purchase Agreement with HCR, the cash to be generated from future IXINITY deferred payments, access to cash under the Purchase Agreement with Lincoln Park LLC, release of restricted cash securing letters of credit, and the Credit Agreement with Midcap Financial, will be sufficient to meet our projected operating requirements and debt service for at least twelve months from the date of this filing of this Annual Report on Form 10-K.</w:t>
      </w:r>
    </w:p>
    <w:p>
      <w:pPr>
        <w:spacing w:after="0" w:line="8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In July 2020, we announced that we engaged Piper Sandler to sell our RUXIENCE and IXINITY royalty streams and, deferred payments and milestones, respectively, in order to provide additional funding for the development of our product candidates. On March 30, 2021, the Company entered into and closed a Royalty Purchase Agreement with HCR pursuant to which the Company sold to HCR the right to receive all royalty payments made by Pfizer in respect of net sales of RUXIENCE. Under the terms of the agreement, the Company received $35 million (the Investment Amount) at closing and the Company is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by HCR to the Company, Aptevo will be entitled to receive 50% of any additional royalty payments by Pfizer thereafter.</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Accordingly, our future funding requirements may vary from our current expectations and will depend on many factors, including, but not limited to:</w:t>
      </w:r>
    </w:p>
    <w:p>
      <w:pPr>
        <w:spacing w:after="0" w:line="114" w:lineRule="exact"/>
        <w:rPr>
          <w:sz w:val="20"/>
          <w:szCs w:val="20"/>
          <w:color w:val="auto"/>
        </w:rPr>
      </w:pPr>
    </w:p>
    <w:p>
      <w:pPr>
        <w:ind w:left="1160" w:hanging="572"/>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67" w:lineRule="exact"/>
        <w:rPr>
          <w:rFonts w:ascii="Arial" w:cs="Arial" w:eastAsia="Arial" w:hAnsi="Arial"/>
          <w:sz w:val="16"/>
          <w:szCs w:val="16"/>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of conducting preclinical and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55"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attracting and retaining skilled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and deferred payments from Medexus with respect to IXINITY.</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160" w:hanging="572"/>
        <w:spacing w:after="0"/>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55" w:lineRule="exact"/>
        <w:rPr>
          <w:rFonts w:ascii="Arial" w:cs="Arial" w:eastAsia="Arial" w:hAnsi="Arial"/>
          <w:sz w:val="17"/>
          <w:szCs w:val="17"/>
          <w:color w:val="auto"/>
        </w:rPr>
      </w:pPr>
    </w:p>
    <w:p>
      <w:pPr>
        <w:ind w:left="1160" w:right="2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jc w:val="both"/>
        <w:ind w:firstLine="589"/>
        <w:spacing w:after="0" w:line="291" w:lineRule="auto"/>
        <w:rPr>
          <w:sz w:val="20"/>
          <w:szCs w:val="20"/>
          <w:color w:val="auto"/>
        </w:rPr>
      </w:pPr>
      <w:r>
        <w:rPr>
          <w:rFonts w:ascii="Arial" w:cs="Arial" w:eastAsia="Arial" w:hAnsi="Arial"/>
          <w:sz w:val="16"/>
          <w:szCs w:val="16"/>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COVID-19, we may experience delays in clinical trials and pre-clinical work, and opportunities to partner our product candidates, due to financial and other impacts on potential partners.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spacing w:after="0" w:line="7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Our purchase obligation for the Beat AML Master Clinical Trial totals $8.1 million over the next three years, with payments anticipated to begin in 2021. We note that the Clinical Trial Participation Agreement contains a termination for convenience clause where we may terminate the agreement with 180 days prior written notice.</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5, 2020, we entered into a new Credit and Security Agreement (Credit Agreement), with MidCap Financial. The Credit Agreement provided us with up to $25 million of available borrowing capacity. The MidCap Financial loan has a 48 month term, is interest-only for the first 18 months, with straight-line amortization for the remaining 30 months and bears interest at a rate of one month LIBOR plus 6.25% per annum, subject to a 1.50% LIBOR floor and a 2.50% LIBOR cap. Additionally, on March 30, 2021, we amended our Credit Agreement with MidCap Financial and used $10 million of the proceeds received from the Royalty Purchase Agreement with HCR to pay down the outstanding principal under this agreement from $25 million to $15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preparation of our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1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76"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A substantial portion of our pre-clinical studies and all of our clinical studies have been performed by third-party contract research organizations (CRO). We review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percentage of work completed to date. Our estimates are highly dependent upon the timeliness and accuracy of the data provided by our CROs regarding the status of each program and total program spending and adjustments are made when deemed necessary.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left="6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 xml:space="preserve">Under ASC 718, </w:t>
      </w:r>
      <w:r>
        <w:rPr>
          <w:rFonts w:ascii="Arial" w:cs="Arial" w:eastAsia="Arial" w:hAnsi="Arial"/>
          <w:sz w:val="16"/>
          <w:szCs w:val="16"/>
          <w:i w:val="1"/>
          <w:iCs w:val="1"/>
          <w:color w:val="auto"/>
        </w:rPr>
        <w:t>Compensation—Stock-based Compensation</w:t>
      </w:r>
      <w:r>
        <w:rPr>
          <w:rFonts w:ascii="Arial" w:cs="Arial" w:eastAsia="Arial" w:hAnsi="Arial"/>
          <w:sz w:val="16"/>
          <w:szCs w:val="16"/>
          <w:color w:val="auto"/>
        </w:rPr>
        <w:t>, we measure and recognize compensation expense for restricted stock units (RSUs), and stock options granted to our employees and directors based as of the fair value of the awards on the date of grant. The fair value of stock options is estimated at the date of grant using the Black-Scholes option pricing model that requires management to apply judgment and make estimates, including:</w:t>
      </w:r>
    </w:p>
    <w:p>
      <w:pPr>
        <w:spacing w:after="0" w:line="41" w:lineRule="exact"/>
        <w:rPr>
          <w:sz w:val="20"/>
          <w:szCs w:val="20"/>
          <w:color w:val="auto"/>
        </w:rPr>
      </w:pPr>
    </w:p>
    <w:p>
      <w:pPr>
        <w:jc w:val="both"/>
        <w:ind w:left="1160" w:hanging="572"/>
        <w:spacing w:after="0" w:line="263"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expected term of the stock option award, which we calculate using the simplified method, as permitted by the SEC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as we have insufficient historical information regarding our stock options to provide a basis for an estimate;</w:t>
      </w:r>
    </w:p>
    <w:p>
      <w:pPr>
        <w:spacing w:after="0" w:line="75"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38"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Stock-based compensation expense for RSUs, and stock options is recognized on a straight-line basis over the requisite service period, which is generally the vesting period of the respective award. We are required to estimate a forfeiture rate to calculate the stock-based compensation expense for our awards. Our forfeiture rate is based on an analysis of our actual forfeitures since the adoption of our equity award plan. We routinely evaluate the appropriateness of the forfeiture rate based on actual forfeiture experience, analysis of employee turnover, and expectations of future option exercise behavior.</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tax credit carry forwards. Deferred tax assets and liabilities are measured using enacted tax rates expected to apply to taxable income in the year in which those temporary differences are expected to be recovered or settled.</w:t>
      </w:r>
    </w:p>
    <w:p>
      <w:pPr>
        <w:spacing w:after="0" w:line="79"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historical and future taxable income, future reversals of existing taxable temporary differences, taxable income in prior carryback years,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88"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31"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2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rPr>
              <w:t>APTEVO THERAPEUTICS INC.</w:t>
            </w:r>
          </w:p>
        </w:tc>
        <w:tc>
          <w:tcPr>
            <w:tcW w:w="2260" w:type="dxa"/>
            <w:vAlign w:val="bottom"/>
          </w:tcPr>
          <w:p>
            <w:pPr>
              <w:spacing w:after="0"/>
              <w:rPr>
                <w:sz w:val="20"/>
                <w:szCs w:val="20"/>
                <w:color w:val="auto"/>
              </w:rPr>
            </w:pPr>
          </w:p>
        </w:tc>
      </w:tr>
      <w:tr>
        <w:trPr>
          <w:trHeight w:val="392"/>
        </w:trPr>
        <w:tc>
          <w:tcPr>
            <w:tcW w:w="900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Report of Moss Adams LLP, Independent Registered Public Accounting Firm</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9000" w:type="dxa"/>
            <w:vAlign w:val="bottom"/>
            <w:gridSpan w:val="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Report of Ernst &amp; Young LLP, Independent Registered Public Accounting Firm</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22"/>
        </w:trPr>
        <w:tc>
          <w:tcPr>
            <w:tcW w:w="57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Financial Statements</w:t>
            </w:r>
          </w:p>
        </w:tc>
        <w:tc>
          <w:tcPr>
            <w:tcW w:w="32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w:t>
              </w:r>
            </w:hyperlink>
          </w:p>
        </w:tc>
        <w:tc>
          <w:tcPr>
            <w:tcW w:w="6680" w:type="dxa"/>
            <w:vAlign w:val="bottom"/>
            <w:gridSpan w:val="7"/>
          </w:tcPr>
          <w:p>
            <w:pPr>
              <w:spacing w:after="0"/>
              <w:rPr>
                <w:sz w:val="16"/>
                <w:szCs w:val="16"/>
                <w:color w:val="auto"/>
              </w:rPr>
            </w:pPr>
          </w:p>
        </w:tc>
        <w:tc>
          <w:tcPr>
            <w:tcW w:w="2260" w:type="dxa"/>
            <w:vAlign w:val="bottom"/>
          </w:tcPr>
          <w:p>
            <w:pPr>
              <w:jc w:val="right"/>
              <w:spacing w:after="0" w:line="190" w:lineRule="exact"/>
              <w:rPr>
                <w:sz w:val="20"/>
                <w:szCs w:val="20"/>
                <w:color w:val="auto"/>
              </w:rPr>
            </w:pPr>
            <w:r>
              <w:rPr>
                <w:rFonts w:ascii="Arial" w:cs="Arial" w:eastAsia="Arial" w:hAnsi="Arial"/>
                <w:sz w:val="18"/>
                <w:szCs w:val="18"/>
                <w:color w:val="auto"/>
              </w:rPr>
              <w:t>67</w:t>
            </w: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Operations</w:t>
              </w:r>
            </w:hyperlink>
          </w:p>
        </w:tc>
        <w:tc>
          <w:tcPr>
            <w:tcW w:w="5960" w:type="dxa"/>
            <w:vAlign w:val="bottom"/>
            <w:gridSpan w:val="6"/>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22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Cash Flows</w:t>
              </w:r>
            </w:hyperlink>
          </w:p>
        </w:tc>
        <w:tc>
          <w:tcPr>
            <w:tcW w:w="5900" w:type="dxa"/>
            <w:vAlign w:val="bottom"/>
            <w:gridSpan w:val="5"/>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220" w:type="dxa"/>
            <w:vAlign w:val="bottom"/>
          </w:tcPr>
          <w:p>
            <w:pPr>
              <w:spacing w:after="0"/>
              <w:rPr>
                <w:sz w:val="17"/>
                <w:szCs w:val="17"/>
                <w:color w:val="auto"/>
              </w:rPr>
            </w:pPr>
          </w:p>
        </w:tc>
        <w:tc>
          <w:tcPr>
            <w:tcW w:w="8780" w:type="dxa"/>
            <w:vAlign w:val="bottom"/>
            <w:gridSpan w:val="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Changes in Stockholders’ Equity</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22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Notes to Consolidated Financial Statements</w:t>
              </w:r>
            </w:hyperlink>
          </w:p>
        </w:tc>
        <w:tc>
          <w:tcPr>
            <w:tcW w:w="1240" w:type="dxa"/>
            <w:vAlign w:val="bottom"/>
            <w:tcBorders>
              <w:top w:val="single" w:sz="8" w:color="0000EE"/>
            </w:tcBorders>
          </w:tcPr>
          <w:p>
            <w:pPr>
              <w:spacing w:after="0"/>
              <w:rPr>
                <w:sz w:val="17"/>
                <w:szCs w:val="17"/>
                <w:color w:val="auto"/>
              </w:rPr>
            </w:pPr>
          </w:p>
        </w:tc>
        <w:tc>
          <w:tcPr>
            <w:tcW w:w="4380" w:type="dxa"/>
            <w:vAlign w:val="bottom"/>
            <w:gridSpan w:val="3"/>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669"/>
        </w:trPr>
        <w:tc>
          <w:tcPr>
            <w:tcW w:w="5740" w:type="dxa"/>
            <w:vAlign w:val="bottom"/>
            <w:gridSpan w:val="8"/>
          </w:tcPr>
          <w:p>
            <w:pPr>
              <w:jc w:val="right"/>
              <w:ind w:right="20"/>
              <w:spacing w:after="0"/>
              <w:rPr>
                <w:sz w:val="20"/>
                <w:szCs w:val="20"/>
                <w:color w:val="auto"/>
              </w:rPr>
            </w:pPr>
            <w:r>
              <w:rPr>
                <w:rFonts w:ascii="Arial" w:cs="Arial" w:eastAsia="Arial" w:hAnsi="Arial"/>
                <w:sz w:val="18"/>
                <w:szCs w:val="18"/>
                <w:color w:val="auto"/>
              </w:rPr>
              <w:t>64</w:t>
            </w:r>
          </w:p>
        </w:tc>
        <w:tc>
          <w:tcPr>
            <w:tcW w:w="3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Aptevo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Aptevo Therapeutics Inc. (the “Company”) as of December 31, 2020, the related consolidated statements of operations, cash flows, and changes in stockholders’ equity for the year then ended, and the related notes (collectively referred to as the “consolidated financial statements”). In our opinion, the consolidated financial statements present fairly, in all material respects, the consolidated financial position of the Company as of December 31, 2020, and the consolidated results of its operations and its cash flows for the year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left="2560"/>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Aptevo Therapeutics Inc.</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769"/>
        <w:spacing w:after="0" w:line="275" w:lineRule="auto"/>
        <w:rPr>
          <w:sz w:val="20"/>
          <w:szCs w:val="20"/>
          <w:color w:val="auto"/>
        </w:rPr>
      </w:pPr>
      <w:r>
        <w:rPr>
          <w:rFonts w:ascii="Arial" w:cs="Arial" w:eastAsia="Arial" w:hAnsi="Arial"/>
          <w:sz w:val="17"/>
          <w:szCs w:val="17"/>
          <w:color w:val="auto"/>
        </w:rPr>
        <w:t>We have audited the accompanying consolidated balance sheet of Aptevo Therapeutics Inc. (the Company) as of December 31, 2019, the related consolidated statements of operations, comprehensive loss, changes in stockholders' equity and cash flows for the year ended December 31, 2019, and the related notes (collectively referred to as the “consolidated financial statements’). In our opinion, the consolidated financial statements present fairly, in all material respects, the financial position of the Company at December 31, 2019, and the results of its operations and its cash flows for the year ended December 31, 2019, in conformity with U.S. generally accepted accounting principles.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769"/>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769"/>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769"/>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2015 to 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except for the effects of presenting Aptevo BioTherapeutics LLC as discontinued operations discussed in Note 2 and the effects of the reverse stock split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discussed in Note 9, as to which the date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14,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23"/>
        </w:trPr>
        <w:tc>
          <w:tcPr>
            <w:tcW w:w="6960" w:type="dxa"/>
            <w:vAlign w:val="bottom"/>
            <w:tcBorders>
              <w:top w:val="single" w:sz="8" w:color="CFF0FC"/>
            </w:tcBorders>
            <w:shd w:val="clear" w:color="auto" w:fill="CFF0FC"/>
          </w:tcPr>
          <w:p>
            <w:pPr>
              <w:ind w:left="30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39,979</w:t>
            </w:r>
          </w:p>
        </w:tc>
        <w:tc>
          <w:tcPr>
            <w:tcW w:w="2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Restricted cash - current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Royalty receivable</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Held for sale assets - current</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Restricted cash - long-term</w:t>
            </w:r>
          </w:p>
        </w:tc>
        <w:tc>
          <w:tcPr>
            <w:tcW w:w="10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Operating lease right-of-use asset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Held for sale assets - non-current</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53,547</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5,583</w:t>
            </w:r>
          </w:p>
        </w:tc>
        <w:tc>
          <w:tcPr>
            <w:tcW w:w="2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Held for sale liabilities - current</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short-term liabilities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Loan payable - long term</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liability</w:t>
            </w: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36,953</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15,000,000 shares authorized, zero</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issued or outstanding</w:t>
            </w:r>
          </w:p>
        </w:tc>
        <w:tc>
          <w:tcPr>
            <w:tcW w:w="1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40"/>
              <w:spacing w:after="0"/>
              <w:rPr>
                <w:sz w:val="20"/>
                <w:szCs w:val="20"/>
                <w:color w:val="auto"/>
              </w:rPr>
            </w:pPr>
            <w:r>
              <w:rPr>
                <w:rFonts w:ascii="Arial" w:cs="Arial" w:eastAsia="Arial" w:hAnsi="Arial"/>
                <w:sz w:val="18"/>
                <w:szCs w:val="18"/>
                <w:color w:val="auto"/>
              </w:rPr>
              <w:t>4,410,909 and 3,234,231 shares issued and outstanding at December</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31, 2020 and December 31, 2019, respectively</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(185,606)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(167,856)</w:t>
            </w:r>
          </w:p>
        </w:tc>
        <w:tc>
          <w:tcPr>
            <w:tcW w:w="0" w:type="dxa"/>
            <w:vAlign w:val="bottom"/>
          </w:tcPr>
          <w:p>
            <w:pPr>
              <w:spacing w:after="0"/>
              <w:rPr>
                <w:sz w:val="1"/>
                <w:szCs w:val="1"/>
                <w:color w:val="auto"/>
              </w:rPr>
            </w:pPr>
          </w:p>
        </w:tc>
      </w:tr>
      <w:tr>
        <w:trPr>
          <w:trHeight w:val="223"/>
        </w:trPr>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r>
      <w:tr>
        <w:trPr>
          <w:trHeight w:val="156"/>
        </w:trPr>
        <w:tc>
          <w:tcPr>
            <w:tcW w:w="63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(17,852)</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(24,763)</w:t>
            </w:r>
          </w:p>
        </w:tc>
      </w:tr>
      <w:tr>
        <w:trPr>
          <w:trHeight w:val="230"/>
        </w:trPr>
        <w:tc>
          <w:tcPr>
            <w:tcW w:w="63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(13,951)</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(16,199)</w:t>
            </w:r>
          </w:p>
        </w:tc>
      </w:tr>
      <w:tr>
        <w:trPr>
          <w:trHeight w:val="223"/>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(27,494)</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300" w:type="dxa"/>
            <w:vAlign w:val="bottom"/>
          </w:tcPr>
          <w:p>
            <w:pPr>
              <w:ind w:left="240"/>
              <w:spacing w:after="0"/>
              <w:rPr>
                <w:sz w:val="20"/>
                <w:szCs w:val="20"/>
                <w:color w:val="auto"/>
              </w:rPr>
            </w:pPr>
            <w:r>
              <w:rPr>
                <w:rFonts w:ascii="Arial" w:cs="Arial" w:eastAsia="Arial" w:hAnsi="Arial"/>
                <w:sz w:val="18"/>
                <w:szCs w:val="18"/>
                <w:color w:val="auto"/>
              </w:rPr>
              <w:t>Other expense from continuing operations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9"/>
                <w:szCs w:val="19"/>
                <w:color w:val="auto"/>
              </w:rPr>
            </w:pPr>
          </w:p>
        </w:tc>
      </w:tr>
      <w:tr>
        <w:trPr>
          <w:trHeight w:val="229"/>
        </w:trPr>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(2,104)</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(30,923)</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(43,064)</w:t>
            </w:r>
          </w:p>
        </w:tc>
        <w:tc>
          <w:tcPr>
            <w:tcW w:w="120" w:type="dxa"/>
            <w:vAlign w:val="bottom"/>
          </w:tcPr>
          <w:p>
            <w:pPr>
              <w:spacing w:after="0"/>
              <w:rPr>
                <w:sz w:val="19"/>
                <w:szCs w:val="19"/>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ind w:left="240"/>
              <w:spacing w:after="0"/>
              <w:rPr>
                <w:sz w:val="20"/>
                <w:szCs w:val="20"/>
                <w:color w:val="auto"/>
              </w:rPr>
            </w:pPr>
            <w:r>
              <w:rPr>
                <w:rFonts w:ascii="Arial" w:cs="Arial" w:eastAsia="Arial" w:hAnsi="Arial"/>
                <w:sz w:val="18"/>
                <w:szCs w:val="18"/>
                <w:color w:val="auto"/>
              </w:rPr>
              <w:t>Income from discontinued operations - Hyperimmune</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19"/>
                <w:szCs w:val="19"/>
                <w:color w:val="auto"/>
              </w:rPr>
            </w:pPr>
          </w:p>
        </w:tc>
      </w:tr>
      <w:tr>
        <w:trPr>
          <w:trHeight w:val="229"/>
        </w:trPr>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discontinued operations - Aptevo BioTherapeutics LLC</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(1,634)</w:t>
            </w: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w:t>
            </w:r>
          </w:p>
        </w:tc>
        <w:tc>
          <w:tcPr>
            <w:tcW w:w="6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13,173</w:t>
            </w:r>
          </w:p>
        </w:tc>
        <w:tc>
          <w:tcPr>
            <w:tcW w:w="2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(17,750)</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basic and diluted share:</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(9.12)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(14.76)</w:t>
            </w:r>
          </w:p>
        </w:tc>
      </w:tr>
      <w:tr>
        <w:trPr>
          <w:trHeight w:val="223"/>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6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FF0FC"/>
            </w:tcBorders>
          </w:tcPr>
          <w:p>
            <w:pPr>
              <w:spacing w:after="0"/>
              <w:rPr>
                <w:sz w:val="19"/>
                <w:szCs w:val="19"/>
                <w:color w:val="auto"/>
              </w:rPr>
            </w:pPr>
          </w:p>
        </w:tc>
      </w:tr>
      <w:tr>
        <w:trPr>
          <w:trHeight w:val="20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w:t>
            </w: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3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calculations</w:t>
            </w:r>
          </w:p>
        </w:tc>
        <w:tc>
          <w:tcPr>
            <w:tcW w:w="6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3,390,919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2,917,035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(17,750)</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(40,448)</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Gain on sale of Aptevo BioTherapeutics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(14,338)</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milestone payment related to sale of hyperimmune business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(4,250)</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Royalty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(2,369)</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(702)</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(2,697)</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(967)</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 in assets and liabilities held for sale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(1,612)</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(29,318)</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(42,383)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received from sale of hyperimmune business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received from sale of Aptevo BioTherapeutics,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28,032</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other long-term obligations, net of issuance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24,731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Payments of long-term debt, including exit and other fees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(22,104)</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Payments of long-term debt, issuance costs and modification fees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exercises of stock options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exercises of warrants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21,235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warrants, and pre-funded warrants, net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 of tax liability for vested equity awards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23,874</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22,588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(18,137)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2018</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1,629,172</w:t>
            </w: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2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4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157,791</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(127,408)</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Issuance of common stock, pre-funded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20"/>
              <w:spacing w:after="0"/>
              <w:rPr>
                <w:sz w:val="20"/>
                <w:szCs w:val="20"/>
                <w:color w:val="auto"/>
              </w:rPr>
            </w:pPr>
            <w:r>
              <w:rPr>
                <w:rFonts w:ascii="Arial" w:cs="Arial" w:eastAsia="Arial" w:hAnsi="Arial"/>
                <w:sz w:val="16"/>
                <w:szCs w:val="16"/>
                <w:color w:val="auto"/>
              </w:rPr>
              <w:t>warrants and warrants, net</w:t>
            </w:r>
          </w:p>
        </w:tc>
        <w:tc>
          <w:tcPr>
            <w:tcW w:w="1120" w:type="dxa"/>
            <w:vAlign w:val="bottom"/>
          </w:tcPr>
          <w:p>
            <w:pPr>
              <w:jc w:val="right"/>
              <w:spacing w:after="0"/>
              <w:rPr>
                <w:sz w:val="20"/>
                <w:szCs w:val="20"/>
                <w:color w:val="auto"/>
              </w:rPr>
            </w:pPr>
            <w:r>
              <w:rPr>
                <w:rFonts w:ascii="Arial" w:cs="Arial" w:eastAsia="Arial" w:hAnsi="Arial"/>
                <w:sz w:val="16"/>
                <w:szCs w:val="16"/>
                <w:color w:val="auto"/>
              </w:rPr>
              <w:t>1,584,316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commitment shares of</w:t>
            </w: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 non-cash transaction</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20"/>
                <w:szCs w:val="20"/>
                <w:color w:val="auto"/>
              </w:rPr>
            </w:pPr>
            <w:r>
              <w:rPr>
                <w:rFonts w:ascii="Arial" w:cs="Arial" w:eastAsia="Arial" w:hAnsi="Arial"/>
                <w:sz w:val="16"/>
                <w:szCs w:val="16"/>
                <w:color w:val="auto"/>
              </w:rPr>
              <w:t>Common stock issued upon vesting of</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2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6"/>
                <w:szCs w:val="16"/>
                <w:color w:val="auto"/>
              </w:rPr>
              <w:t>6,752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(40,448)</w:t>
            </w: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(40,448)</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vMerge w:val="continue"/>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3,234,231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22"/>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179,653</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(167,856)</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Cancellation of fractional shares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20"/>
              <w:spacing w:after="0"/>
              <w:rPr>
                <w:sz w:val="20"/>
                <w:szCs w:val="20"/>
                <w:color w:val="auto"/>
              </w:rPr>
            </w:pPr>
            <w:r>
              <w:rPr>
                <w:rFonts w:ascii="Arial" w:cs="Arial" w:eastAsia="Arial" w:hAnsi="Arial"/>
                <w:sz w:val="16"/>
                <w:szCs w:val="16"/>
                <w:color w:val="auto"/>
              </w:rPr>
              <w:t>arising from reverse stock split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Proceeds from exercise of warrants</w:t>
            </w:r>
          </w:p>
        </w:tc>
        <w:tc>
          <w:tcPr>
            <w:tcW w:w="1120" w:type="dxa"/>
            <w:vAlign w:val="bottom"/>
          </w:tcPr>
          <w:p>
            <w:pPr>
              <w:jc w:val="right"/>
              <w:spacing w:after="0"/>
              <w:rPr>
                <w:sz w:val="20"/>
                <w:szCs w:val="20"/>
                <w:color w:val="auto"/>
              </w:rPr>
            </w:pPr>
            <w:r>
              <w:rPr>
                <w:rFonts w:ascii="Arial" w:cs="Arial" w:eastAsia="Arial" w:hAnsi="Arial"/>
                <w:sz w:val="16"/>
                <w:szCs w:val="16"/>
                <w:color w:val="auto"/>
              </w:rPr>
              <w:t>1,166,735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upon vesting of</w:t>
            </w: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restricted stock units</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Net loss for the period</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(17,750)</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(17,750)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2020</w:t>
            </w: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4,410,909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202,154</w:t>
            </w:r>
          </w:p>
        </w:tc>
        <w:tc>
          <w:tcPr>
            <w:tcW w:w="16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(185,606)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16,594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Aptevo Therapeutics Inc. (Aptevo, we, us, or the Company) is a clinical-stage, research and development biotechnology company focused on developing novel immunotherapeutic candidates for the treatment of different forms cancer. We have developed two versatile and enabling platform technologies for rational design of precision immune stimulatory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117" w:lineRule="exact"/>
        <w:rPr>
          <w:sz w:val="20"/>
          <w:szCs w:val="20"/>
          <w:color w:val="auto"/>
        </w:rPr>
      </w:pPr>
    </w:p>
    <w:p>
      <w:pPr>
        <w:jc w:val="both"/>
        <w:ind w:firstLine="594"/>
        <w:spacing w:after="0" w:line="288" w:lineRule="auto"/>
        <w:rPr>
          <w:sz w:val="20"/>
          <w:szCs w:val="20"/>
          <w:color w:val="auto"/>
        </w:rPr>
      </w:pPr>
      <w:r>
        <w:rPr>
          <w:rFonts w:ascii="Arial" w:cs="Arial" w:eastAsia="Arial" w:hAnsi="Arial"/>
          <w:sz w:val="16"/>
          <w:szCs w:val="16"/>
          <w:color w:val="auto"/>
        </w:rPr>
        <w:t>On February 28, 2020, we entered into an LLC Purchase Agreement with Medexus, pursuant to which we sold all of the issued and outstanding limited liability company interests of Aptevo BioTherapeutics LLC, a wholly owned subsidiary of Aptevo. As a result of the transaction, Medexus obtained all right, title and interest to the IXINITY</w:t>
      </w:r>
      <w:r>
        <w:rPr>
          <w:rFonts w:ascii="Arial" w:cs="Arial" w:eastAsia="Arial" w:hAnsi="Arial"/>
          <w:sz w:val="13"/>
          <w:szCs w:val="13"/>
          <w:color w:val="auto"/>
        </w:rPr>
        <w:t>®</w:t>
      </w:r>
      <w:r>
        <w:rPr>
          <w:rFonts w:ascii="Arial" w:cs="Arial" w:eastAsia="Arial" w:hAnsi="Arial"/>
          <w:sz w:val="16"/>
          <w:szCs w:val="16"/>
          <w:color w:val="auto"/>
        </w:rPr>
        <w:t xml:space="preserve"> product and the related Hemophilia B business and intellectual property. In addition, Aptevo BioTherapeutics personnel responsible for the sale and marketing of IXINITY also transitioned to Medexus as part of the transaction. Aptevo BioTherapeutics met all the conditions to be classified as a discontinued operation, since the sale of Aptevo BioTherapeutics represented a strategic shift that will have a major effect on the Company’s operations and financial results. Aptevo will not have further significant involvement in the operations of the discontinued Aptevo BioTherapeutics business. The operating results of Aptevo BioTherapeutics are reported as income (loss) from discontinued operations, in the consolidated statements of operations for all periods presented. The gain recognized on the sale of Aptevo BioTherapeutics is presented in income from discontinued operations in the consolidated statement of operations. In addition, on the consolidated balance sheet as of December 31, 2019, the assets and liabilities held for sale have been presented separately. See Note 2 – Discontinued Operations for additional information.</w:t>
      </w:r>
    </w:p>
    <w:p>
      <w:pPr>
        <w:spacing w:after="0" w:line="60" w:lineRule="exact"/>
        <w:rPr>
          <w:sz w:val="20"/>
          <w:szCs w:val="20"/>
          <w:color w:val="auto"/>
        </w:rPr>
      </w:pPr>
    </w:p>
    <w:p>
      <w:pPr>
        <w:jc w:val="both"/>
        <w:ind w:firstLine="594"/>
        <w:spacing w:after="0" w:line="297" w:lineRule="auto"/>
        <w:rPr>
          <w:sz w:val="20"/>
          <w:szCs w:val="20"/>
          <w:color w:val="auto"/>
        </w:rPr>
      </w:pPr>
      <w:r>
        <w:rPr>
          <w:rFonts w:ascii="Arial" w:cs="Arial" w:eastAsia="Arial" w:hAnsi="Arial"/>
          <w:sz w:val="16"/>
          <w:szCs w:val="16"/>
          <w:color w:val="auto"/>
        </w:rPr>
        <w:t>The accompanying financial statements have been prepared on a basis that assumes we will continue as a going concern and which contemplates the realization of assets, satisfaction of liabilities, and commitments in the normal course of business. We have suffered recurring losses from operations and negative cash flows from operating activities. We believe that our existing cash resources, the cash to be generated from future royalty and deferred payments, the Investment Amount from the Royalty Purchase Agreement with HCR, the cash generated from warrant exercises, access to cash under the Purchase Agreement with Lincoln Park, release of restricted cash securing letters of credit, and the Credit Agreement of $25 million with Midcap Financial, will be sufficient to meet our projected operating requirements and debt service for at least twelve months from the date of issuance of these financial statements. We expect to raise additional funds to support our operating and capital needs in 2021.</w:t>
      </w:r>
    </w:p>
    <w:p>
      <w:pPr>
        <w:spacing w:after="0" w:line="53" w:lineRule="exact"/>
        <w:rPr>
          <w:sz w:val="20"/>
          <w:szCs w:val="20"/>
          <w:color w:val="auto"/>
        </w:rPr>
      </w:pPr>
    </w:p>
    <w:p>
      <w:pPr>
        <w:jc w:val="both"/>
        <w:ind w:firstLine="594"/>
        <w:spacing w:after="0" w:line="270" w:lineRule="auto"/>
        <w:rPr>
          <w:sz w:val="20"/>
          <w:szCs w:val="20"/>
          <w:color w:val="auto"/>
        </w:rPr>
      </w:pPr>
      <w:r>
        <w:rPr>
          <w:rFonts w:ascii="Arial" w:cs="Arial" w:eastAsia="Arial" w:hAnsi="Arial"/>
          <w:sz w:val="17"/>
          <w:szCs w:val="17"/>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with respect to IXINITY; (e) whether and to what extent future proceeds are received under our royalty purchase agreement with HCR; and (f) other items affecting our forecasted level of expenditures and use of cash resources. We may attempt to obtain additional funding through our existing equity sales agreement with Lincoln Park Financial LLC or our Equity Distribution Agreement with Piper Sandler &amp; Co (Piper Sandler), or other public or private financing, collaborative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global economic climate and additional or unforeseen effects from the COVID-19 pandemic, we may experience delays or difficulties to the financing environment and raising capital due to economic uncertainty.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3" w:name="page74"/>
    <w:bookmarkEnd w:id="73"/>
    <w:p>
      <w:pPr>
        <w:jc w:val="both"/>
        <w:ind w:firstLine="589"/>
        <w:spacing w:after="0" w:line="269" w:lineRule="auto"/>
        <w:rPr>
          <w:sz w:val="20"/>
          <w:szCs w:val="20"/>
          <w:color w:val="auto"/>
        </w:rPr>
      </w:pPr>
      <w:r>
        <w:rPr>
          <w:rFonts w:ascii="Arial" w:cs="Arial" w:eastAsia="Arial" w:hAnsi="Arial"/>
          <w:sz w:val="17"/>
          <w:szCs w:val="17"/>
          <w:color w:val="auto"/>
        </w:rPr>
        <w:t>On November 6, 2020, Tang Capital Partners LP, Tang Capital Management, LLC and Kevin Tang (collectively, “Tang”) jointly filed a statement on Schedule 13D to report that Tang had purchased 1,760,000 shares of our common stock, representing approximately 54% of the Company’s issued and outstanding shares of common stock as of the date of filing such Schedule 13D. As of the date of this Annual Report on Form 10-K, Tang has subsequently been diluted to a 39.6% beneficial ownership position, primarily through the exercise of certain warrants that were issued and outstanding prior to Tang acquiring its ownership position in Aptevo. Additionally, on November 18, 2020, our Board received a written unsolicited, non-binding indication of interest from Tang, proposing to acquire all of the outstanding shares of our common stock not already beneficially owned by Tang for $50.00 per share in cash, subject to confirmatory due diligence conducted under a customary non-disclosure agreement. We have had a series of communications with Tang during which we attempted to negotiate a non-disclosure agreement to permit discussions covering our nonpublic information and our operations. Further, on February 9, 2021, Tang announced its intention to nominate two candidates for election to our board of directors at our 2021 annual meeting of stockholders and submitted an advisory stockholder proposal for consideration at our 2021 annual meeting of stockholders to commence a process to sell Aptevo to the highest bidder. We have incurred and may continue to incur additional expenses by retaining the services of various professionals to advise us on responding to these matters.</w:t>
      </w:r>
    </w:p>
    <w:p>
      <w:pPr>
        <w:spacing w:after="0" w:line="71"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The Aptevo Board was open to exploring the indication of interest from Tang and made earnest efforts to evaluate it. However, it was unable to do so because it was unable to reach agreement with Tang on the terms of a customary non-disclosure agreement, including limitations on the use of confidential information by Tang. Had agreement on the terms of a non-disclosure agreement been reached, it would have permitted the exchange of confidential information and would have enabled both parties to conduct due diligence. In this early stage of the Company’s development, the Aptevo Board believes it is difficult for the market to accurately value the potential of Aptevo’s proprietary platform technologies and therapeutic candidates, which have just begun to demonstrate their effectiveness and potentially life-saving capabilities to the Company’s patients, shareholders and other stakeholders. The Board will continue to carefully evaluate any indications of interest and proposals for strategic transactions that it receives from current shareholders or otherwise, in line with its fiduciary duties and commitment to acting in the best interests of all of the Company’s shareholders.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These consolidated financial statements include all adjustments, which include normal recurring adjustments, necessary for the fair presentation of the Company’s financial position.</w:t>
      </w:r>
    </w:p>
    <w:p>
      <w:pPr>
        <w:spacing w:after="0" w:line="76"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57" w:lineRule="exact"/>
        <w:rPr>
          <w:sz w:val="20"/>
          <w:szCs w:val="20"/>
          <w:color w:val="auto"/>
        </w:rPr>
      </w:pPr>
    </w:p>
    <w:p>
      <w:pPr>
        <w:jc w:val="both"/>
        <w:ind w:firstLine="589"/>
        <w:spacing w:after="0" w:line="284" w:lineRule="auto"/>
        <w:rPr>
          <w:sz w:val="20"/>
          <w:szCs w:val="20"/>
          <w:color w:val="auto"/>
        </w:rPr>
      </w:pPr>
      <w:r>
        <w:rPr>
          <w:rFonts w:ascii="Arial" w:cs="Arial" w:eastAsia="Arial" w:hAnsi="Arial"/>
          <w:sz w:val="17"/>
          <w:szCs w:val="17"/>
          <w:color w:val="auto"/>
        </w:rPr>
        <w:t>In March 2020, we effected a 1-for-14 reverse stock split (the “Reverse Split”) of our common stock pursuant to which every 14 shares of our common stock issued and outstanding as of March 26, 2020 were automatically combined into one issued and outstanding share of common stock. No fractional shares were issued as a result of the reverse stock split. Stockholders of record who would otherwise have been entitled to receive a fractional share received a cash payment in lieu thereof. All share and per share information with respect to our common stock have been restated to reflect the effect of the Reverse Split for all periods presented. Refer to Note 9 for additional information.</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Estimates are used for, but not limited to, useful lives of equipment, clinical trial accruals, income taxes, commitments and contingencies, stock-based compensation, and collectability of receivables. Given the global economic climate and additional or unforeseen effects from the COVID-19 pandemic, these estimates are becoming more challenging, and actual results could differ materially from those estimates.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ind w:left="60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Aptevo Research and Development LLC and Aptevo BioTherapeutics LLC (for the period prior to the sale on February 28, 2020). All intercompany balances and transactions have been eliminated.</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include time deposits and investments in money market funds with commercial banks and financial institutions.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of December 31, 2020, we had current restricted cash of $2.6 million related to securing letters of credit. We classify our restricted cash as either current or non-current based on the term of the underlying letters of credit.</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Financial instruments that potentially subject Aptevo to concentrations of credit risk consist primarily of cash and cash equivalents, certain investments and royalties receivable.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Property and equipment are stated at cost. Depreciation is computed using the straight-line method over the following estimated useful lives: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6680" w:type="dxa"/>
            <w:vAlign w:val="bottom"/>
            <w:shd w:val="clear" w:color="auto" w:fill="CFF0FC"/>
          </w:tcPr>
          <w:p>
            <w:pPr>
              <w:ind w:left="1620"/>
              <w:spacing w:after="0"/>
              <w:rPr>
                <w:sz w:val="20"/>
                <w:szCs w:val="20"/>
                <w:color w:val="auto"/>
              </w:rPr>
            </w:pPr>
            <w:r>
              <w:rPr>
                <w:rFonts w:ascii="Arial" w:cs="Arial" w:eastAsia="Arial" w:hAnsi="Arial"/>
                <w:sz w:val="18"/>
                <w:szCs w:val="18"/>
                <w:color w:val="auto"/>
              </w:rPr>
              <w:t>7-10 years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Software and hardware</w:t>
            </w:r>
          </w:p>
        </w:tc>
        <w:tc>
          <w:tcPr>
            <w:tcW w:w="6680" w:type="dxa"/>
            <w:vAlign w:val="bottom"/>
          </w:tcPr>
          <w:p>
            <w:pPr>
              <w:ind w:left="1620"/>
              <w:spacing w:after="0"/>
              <w:rPr>
                <w:sz w:val="20"/>
                <w:szCs w:val="20"/>
                <w:color w:val="auto"/>
              </w:rPr>
            </w:pPr>
            <w:r>
              <w:rPr>
                <w:rFonts w:ascii="Arial" w:cs="Arial" w:eastAsia="Arial" w:hAnsi="Arial"/>
                <w:sz w:val="18"/>
                <w:szCs w:val="18"/>
                <w:color w:val="auto"/>
              </w:rPr>
              <w:t>3-5 years or product life</w:t>
            </w:r>
          </w:p>
        </w:tc>
      </w:tr>
      <w:tr>
        <w:trPr>
          <w:trHeight w:val="21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680" w:type="dxa"/>
            <w:vAlign w:val="bottom"/>
            <w:shd w:val="clear" w:color="auto" w:fill="CFF0FC"/>
          </w:tcPr>
          <w:p>
            <w:pPr>
              <w:ind w:left="1620"/>
              <w:spacing w:after="0"/>
              <w:rPr>
                <w:sz w:val="20"/>
                <w:szCs w:val="20"/>
                <w:color w:val="auto"/>
              </w:rPr>
            </w:pPr>
            <w:r>
              <w:rPr>
                <w:rFonts w:ascii="Arial" w:cs="Arial" w:eastAsia="Arial" w:hAnsi="Arial"/>
                <w:sz w:val="18"/>
                <w:szCs w:val="18"/>
                <w:color w:val="auto"/>
              </w:rPr>
              <w:t>Lesser of the asset life or the remaining lease term</w:t>
            </w: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We determine if an arrangement is a lease at inception date. Leases are to be classified as finance or operating leases at the lease commencement date, which affects the classification of expense recognition in the income statement. Right-of-use assets represent the right to use an underlying asset for the lease term and lease liabilities represent the obligation to make lease payments, as agreed to in the lease. Operating lease liabilities and the corresponding right-of-use assets are recognized based on the present value of the future minimum lease payments over the lease term at commencement date. An operating right-of-use asset is measured as the amount of the initial measurement of the lease liability, adjusted for prepaid or accrued lease payments, the remaining balance of any lease incentive received, unamortized initial direct costs, and any impairment of the right-of-use asset. The initial measurement of the lease liabilities and right-to-use assets of finance leases is the same as for operating leases. We include options to extend the lease and certain termination options in our lease liability and right-of-use asset when it is reasonably certain that we will exercise those options.</w:t>
      </w:r>
    </w:p>
    <w:p>
      <w:pPr>
        <w:spacing w:after="0" w:line="20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As our existing leases do not contain an implicit interest rate, we estimate our incremental borrowing rate (IBR) based on information available at commencement date in determining the present value of future payments. Due to the significant judgment involved and the complex analysis needed to determine this discount rate, we engaged a third-party valuation specialist to advise us in our determination of our IBR for the initial adoption of the standard.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both"/>
        <w:ind w:firstLine="589"/>
        <w:spacing w:after="0" w:line="259" w:lineRule="auto"/>
        <w:rPr>
          <w:sz w:val="20"/>
          <w:szCs w:val="20"/>
          <w:color w:val="auto"/>
        </w:rPr>
      </w:pPr>
      <w:r>
        <w:rPr>
          <w:rFonts w:ascii="Arial" w:cs="Arial" w:eastAsia="Arial" w:hAnsi="Arial"/>
          <w:sz w:val="18"/>
          <w:szCs w:val="18"/>
          <w:color w:val="auto"/>
        </w:rPr>
        <w:t>Lease expense for operating leases is recognized on a straight-line basis over the lease term as part of our selling, general and administrative expenses and our research and development expenses on our consolidated statements of operations. Lease expense for financing leases consists of amortization of the right-of-use asset and interest on the lease liability as part of our research and development expenses on our consolidated statements of operations.</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measure and record cash equivalents and investment securities considered available-for-sale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63"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carrying amounts of our short-term financial instruments, which include cash and cash equivalents, royalties receivable and accounts payable, approximate their fair value due to their short maturities.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Aptevo defers costs related to debt issuance and amortizes these costs to interest expense over the term of the debt, using the effective interest method. Debt issuance costs are presented in the consolidated balance sheet as a reduction of the carrying amount of the debt liability.</w:t>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Revenue Recognition – Royalties, Deferred Payments and Milestones</w:t>
      </w:r>
    </w:p>
    <w:p>
      <w:pPr>
        <w:spacing w:after="0" w:line="243"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are entitled to receive royalty revenue from Pfizer related to sales of a rituximab biosimilar product, RUXIENCE. The payment from Pfizer relates to an agreement acquired by Aptevo as part of its spin-off from Emergent BioSolutions in 2016, which applies a fixed royalty rate of 2.5% on global net sales. The agreement was originally executed by Trubion Pharmaceuticals (which was subsequently acquired by Emergent BioSolutions Inc.) and Wyeth (a wholly-owned subsidiary of Pfizer). The royalty term runs until the seventh anniversary of the first commercial sale of the CD20 biosimilar. CD20 biosimilar product (royalty) payments to Aptevo are due within 60 days after the end of each quarter. We do not have future performance obligations under this agreement. We apply the royalty recognition constraint required under the guidance for sales-based royalties, which requires a sales-based royalty to be recorded no sooner than the underlying sale. Therefore, royalties on sales of products commercialized by Pfizer are recognized in the quarter the product is sold. Pfizer generally reports sales information to us within 60 days of quarter end. Unless we receive finalized sales information for the respective quarter, we estimate the expected royalty proceeds based on an analysis of historical experience, analyst expectations, interim data provided by Pfizer, including their publicly announced sales, and other publicly available information. Differences between actual and estimated royalty revenues are adjusted for in the period in which they become known, typically the following quarter.</w:t>
      </w:r>
    </w:p>
    <w:p>
      <w:pPr>
        <w:spacing w:after="0" w:line="74"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are entitled to receive future deferred payments and future milestone payments from Medexus. The payments from Medexus constitute contingent consideration related to our sale of IXINITY in 2020, which is treated as a discontinued operation in the accompanying statement of operations. We treat contingent consideration arising from discontinued operations as gain contingencies in accordance with ASC 450-30 – Contingencies: Gain Contingencies, whereby such gain contingencies usually are not recognized in the financial statements until the period in which all contingencies are resolved and the gain is realized or realizable. As Medexus communicates payment amounts and sales details subsequent to quarter-end, and there is uncertainty as to the amount of the payment before quarter-end, we record deferred payments in the quarter the payment is received.</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jc w:val="both"/>
        <w:ind w:firstLine="589"/>
        <w:spacing w:after="0" w:line="296" w:lineRule="auto"/>
        <w:rPr>
          <w:sz w:val="20"/>
          <w:szCs w:val="20"/>
          <w:color w:val="auto"/>
        </w:rPr>
      </w:pPr>
      <w:r>
        <w:rPr>
          <w:rFonts w:ascii="Arial" w:cs="Arial" w:eastAsia="Arial" w:hAnsi="Arial"/>
          <w:sz w:val="16"/>
          <w:szCs w:val="16"/>
          <w:color w:val="auto"/>
        </w:rPr>
        <w:t>A substantial portion of Aptevo’s pre-clinical studies and all of its clinical studies have been performed by third-party CROs.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services provided but not yet invoiced. The Company’s estimates are highly dependent upon the timeliness and accuracy of the data provided by its CROs regarding the status of each program and total program spending and adjustments are made when deemed necessary.</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Under the ASC 718, Compensation—Stock-based Compensation, we measure and recognize compensation expense for restricted stock units (RSUs), and stock options granted to our employees and directors based on the fair value of the awards as of the date of grant. The fair value of stock options is estimated at the date of grant using the Black-Scholes option pricing model that requires management to apply judgment and make estimates, including:</w:t>
      </w:r>
    </w:p>
    <w:p>
      <w:pPr>
        <w:spacing w:after="0" w:line="79" w:lineRule="exact"/>
        <w:rPr>
          <w:sz w:val="20"/>
          <w:szCs w:val="20"/>
          <w:color w:val="auto"/>
        </w:rPr>
      </w:pPr>
    </w:p>
    <w:p>
      <w:pPr>
        <w:jc w:val="both"/>
        <w:ind w:left="1160" w:hanging="572"/>
        <w:spacing w:after="0" w:line="263"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expected term of the stock option award, which we calculate using the simplified method, as permitted by the SEC Staff Accounting Bulletin No. 110, Share-Based Payment, as we have insufficient historical information regarding our stock options to provide a basis for an estimate;</w:t>
      </w:r>
    </w:p>
    <w:p>
      <w:pPr>
        <w:spacing w:after="0" w:line="7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expected volatility of our underlying common stock, which we estimate based on the historical volatility of the historical and implied future volatility of our common stock;</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22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Stock-based compensation expense for RSUs is recognized on a straight-line basis over the vesting period of the respective award. Stock-based compensation expense for our stock options, both converted and Aptevo granted, is recognized on a straight-line basis over the vesting period of the respective award.</w:t>
      </w:r>
    </w:p>
    <w:p>
      <w:pPr>
        <w:spacing w:after="0" w:line="7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elected to estimate a forfeiture rate to calculate the stock-based compensation expense for our awards. We have estimated a forfeiture rate of sixteen-percent. We routinely evaluate the appropriateness of the forfeiture rate based on actual forfeiture experience, analysis of employee turnover, and expectations of future option exercise behavior.</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historical and future taxable income, future reversals of existing taxable temporary differences, taxable income in prior carryback years, and ongoing tax planning strategies in assessing the need for valuation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jc w:val="both"/>
        <w:ind w:right="20"/>
        <w:spacing w:after="0" w:line="257" w:lineRule="auto"/>
        <w:rPr>
          <w:sz w:val="20"/>
          <w:szCs w:val="20"/>
          <w:color w:val="auto"/>
        </w:rPr>
      </w:pPr>
      <w:r>
        <w:rPr>
          <w:rFonts w:ascii="Arial" w:cs="Arial" w:eastAsia="Arial" w:hAnsi="Arial"/>
          <w:sz w:val="18"/>
          <w:szCs w:val="18"/>
          <w:color w:val="auto"/>
        </w:rPr>
        <w:t>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80" w:lineRule="exact"/>
        <w:rPr>
          <w:sz w:val="20"/>
          <w:szCs w:val="20"/>
          <w:color w:val="auto"/>
        </w:rPr>
      </w:pPr>
    </w:p>
    <w:p>
      <w:pPr>
        <w:jc w:val="both"/>
        <w:ind w:right="20" w:firstLine="589"/>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We have determined that we operate in a single segment and have one reporting unit: the discovery and development of novel oncology therapeutics.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jc w:val="both"/>
        <w:ind w:right="20" w:firstLine="589"/>
        <w:spacing w:after="0" w:line="308" w:lineRule="auto"/>
        <w:rPr>
          <w:sz w:val="20"/>
          <w:szCs w:val="20"/>
          <w:color w:val="auto"/>
        </w:rPr>
      </w:pPr>
      <w:r>
        <w:rPr>
          <w:rFonts w:ascii="Arial" w:cs="Arial" w:eastAsia="Arial" w:hAnsi="Arial"/>
          <w:sz w:val="17"/>
          <w:szCs w:val="17"/>
          <w:color w:val="auto"/>
        </w:rPr>
        <w:t>The accompanying financial statements include discontinued operations from two separate transactions: the sale of our Hyperimmune business in 2017, from which milestone payments were recognized in 2019, and our Aptevo BioTherapeutics LLC business, which was sold in 2020.</w:t>
      </w:r>
    </w:p>
    <w:p>
      <w:pPr>
        <w:spacing w:after="0" w:line="3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In the third quarter of 2019, we received a $4.25 million milestone payment from Saol International Limited, in connection with the sale of our hyperimmune business in September 2017. No additional amounts are outstanding related to the milestones. This was recorded as a gain of $4.25 million in discontinued operations on the consolidated statement of operations.</w:t>
      </w:r>
    </w:p>
    <w:p>
      <w:pPr>
        <w:spacing w:after="0" w:line="76"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On February 28, 2020, we entered into an LLC Purchase Agreement with Medexus, pursuant to which Aptevo sold all of the issued and outstanding limited liability company interests of Aptevo BioTherapeutics, a wholly owned subsidiary of Aptevo. As a result of the transaction, Medexus obtained all right, title and interest to the IXINITY product and the related Hemophilia B business and intellectual property.</w:t>
      </w:r>
    </w:p>
    <w:p>
      <w:pPr>
        <w:spacing w:after="0" w:line="57"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 net gain on sale of Aptevo BioTherapeutics, totaling $14.3 million, was calculated as the difference between the fair value of the consideration received for Aptevo BioTherapeutics, less the net carrying value of the assets transferred to Medexus, less the transaction costs incurred and a working capital adjustment.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gain on sale (in thousands) for the year ended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payment received</w:t>
            </w:r>
          </w:p>
        </w:tc>
        <w:tc>
          <w:tcPr>
            <w:tcW w:w="44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Escrow receivable</w:t>
            </w:r>
          </w:p>
        </w:tc>
        <w:tc>
          <w:tcPr>
            <w:tcW w:w="38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consideration</w:t>
            </w:r>
          </w:p>
        </w:tc>
        <w:tc>
          <w:tcPr>
            <w:tcW w:w="38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Less:</w:t>
            </w:r>
          </w:p>
        </w:tc>
        <w:tc>
          <w:tcPr>
            <w:tcW w:w="3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carrying value of assets transferred to Medexus</w:t>
            </w:r>
          </w:p>
        </w:tc>
        <w:tc>
          <w:tcPr>
            <w:tcW w:w="38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Transaction costs</w:t>
            </w:r>
          </w:p>
        </w:tc>
        <w:tc>
          <w:tcPr>
            <w:tcW w:w="3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Minimum Transition Services Agreement ("TSA") fund</w:t>
            </w:r>
          </w:p>
        </w:tc>
        <w:tc>
          <w:tcPr>
            <w:tcW w:w="38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gain on sale of business</w:t>
            </w:r>
          </w:p>
        </w:tc>
        <w:tc>
          <w:tcPr>
            <w:tcW w:w="3820" w:type="dxa"/>
            <w:vAlign w:val="bottom"/>
          </w:tcPr>
          <w:p>
            <w:pPr>
              <w:spacing w:after="0"/>
              <w:rPr>
                <w:sz w:val="19"/>
                <w:szCs w:val="19"/>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20" w:type="dxa"/>
            <w:vAlign w:val="bottom"/>
            <w:vMerge w:val="restart"/>
          </w:tcPr>
          <w:p>
            <w:pPr>
              <w:jc w:val="right"/>
              <w:ind w:right="3070"/>
              <w:spacing w:after="0"/>
              <w:rPr>
                <w:sz w:val="20"/>
                <w:szCs w:val="20"/>
                <w:color w:val="auto"/>
              </w:rPr>
            </w:pPr>
            <w:r>
              <w:rPr>
                <w:rFonts w:ascii="Arial" w:cs="Arial" w:eastAsia="Arial" w:hAnsi="Arial"/>
                <w:sz w:val="18"/>
                <w:szCs w:val="18"/>
                <w:color w:val="auto"/>
              </w:rPr>
              <w:t>76</w:t>
            </w: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78" w:name="page79"/>
    <w:bookmarkEnd w:id="78"/>
    <w:p>
      <w:pPr>
        <w:ind w:right="20" w:firstLine="589"/>
        <w:spacing w:after="0" w:line="277" w:lineRule="auto"/>
        <w:rPr>
          <w:sz w:val="20"/>
          <w:szCs w:val="20"/>
          <w:color w:val="auto"/>
        </w:rPr>
      </w:pPr>
      <w:r>
        <w:rPr>
          <w:rFonts w:ascii="Arial" w:cs="Arial" w:eastAsia="Arial" w:hAnsi="Arial"/>
          <w:sz w:val="18"/>
          <w:szCs w:val="18"/>
          <w:color w:val="auto"/>
        </w:rPr>
        <w:t>The following table presents a reconciliation of the carrying amounts of assets and liabilities of Aptevo BioTherapeutics held for sale, net in the consolidated balance sheet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260" w:type="dxa"/>
            <w:vAlign w:val="bottom"/>
          </w:tcPr>
          <w:p>
            <w:pPr>
              <w:ind w:left="37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8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6,140</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120" w:type="dxa"/>
            <w:vAlign w:val="bottom"/>
            <w:shd w:val="clear" w:color="auto" w:fill="CFF0FC"/>
          </w:tcPr>
          <w:p>
            <w:pPr>
              <w:spacing w:after="0"/>
              <w:rPr>
                <w:sz w:val="19"/>
                <w:szCs w:val="19"/>
                <w:color w:val="auto"/>
              </w:rPr>
            </w:pPr>
          </w:p>
        </w:tc>
      </w:tr>
      <w:tr>
        <w:trPr>
          <w:trHeight w:val="223"/>
        </w:trPr>
        <w:tc>
          <w:tcPr>
            <w:tcW w:w="8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 assets, held for sale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w:t>
            </w:r>
          </w:p>
        </w:tc>
        <w:tc>
          <w:tcPr>
            <w:tcW w:w="120" w:type="dxa"/>
            <w:vAlign w:val="bottom"/>
            <w:tcBorders>
              <w:bottom w:val="single" w:sz="8" w:color="CFF0FC"/>
            </w:tcBorders>
          </w:tcPr>
          <w:p>
            <w:pPr>
              <w:spacing w:after="0"/>
              <w:rPr>
                <w:sz w:val="19"/>
                <w:szCs w:val="19"/>
                <w:color w:val="auto"/>
              </w:rPr>
            </w:pPr>
          </w:p>
        </w:tc>
      </w:tr>
      <w:tr>
        <w:trPr>
          <w:trHeight w:val="223"/>
        </w:trPr>
        <w:tc>
          <w:tcPr>
            <w:tcW w:w="8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VAT receivable and deposit</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20" w:type="dxa"/>
            <w:vAlign w:val="bottom"/>
            <w:shd w:val="clear" w:color="auto" w:fill="CFF0FC"/>
          </w:tcPr>
          <w:p>
            <w:pPr>
              <w:spacing w:after="0"/>
              <w:rPr>
                <w:sz w:val="19"/>
                <w:szCs w:val="19"/>
                <w:color w:val="auto"/>
              </w:rPr>
            </w:pPr>
          </w:p>
        </w:tc>
      </w:tr>
      <w:tr>
        <w:trPr>
          <w:trHeight w:val="263"/>
        </w:trPr>
        <w:tc>
          <w:tcPr>
            <w:tcW w:w="8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 held for sale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23,774</w:t>
            </w:r>
          </w:p>
        </w:tc>
        <w:tc>
          <w:tcPr>
            <w:tcW w:w="120" w:type="dxa"/>
            <w:vAlign w:val="bottom"/>
            <w:tcBorders>
              <w:bottom w:val="single" w:sz="8" w:color="CFF0FC"/>
            </w:tcBorders>
          </w:tcPr>
          <w:p>
            <w:pPr>
              <w:spacing w:after="0"/>
              <w:rPr>
                <w:sz w:val="22"/>
                <w:szCs w:val="22"/>
                <w:color w:val="auto"/>
              </w:rPr>
            </w:pPr>
          </w:p>
        </w:tc>
      </w:tr>
      <w:tr>
        <w:trPr>
          <w:trHeight w:val="210"/>
        </w:trPr>
        <w:tc>
          <w:tcPr>
            <w:tcW w:w="8260" w:type="dxa"/>
            <w:vAlign w:val="bottom"/>
            <w:shd w:val="clear" w:color="auto" w:fill="CFF0FC"/>
          </w:tcPr>
          <w:p>
            <w:pPr>
              <w:ind w:left="35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5,043</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Royalties payable</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Accrued payroll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FF0FC"/>
          </w:tcPr>
          <w:p>
            <w:pPr>
              <w:spacing w:after="0"/>
              <w:rPr>
                <w:sz w:val="19"/>
                <w:szCs w:val="19"/>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12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table represents the components attributable to Aptevo BioTherapeutics presented as income from discontinued operations in the consolidated statements of operations (in thousands):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Loss from operations</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Gain on sale of Aptevo BioTherapeutics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 payment from Saol</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Deferred payment from Medexus</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Income from discontinued operations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(1,582)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(1,634)</w:t>
            </w:r>
          </w:p>
        </w:tc>
      </w:tr>
      <w:tr>
        <w:trPr>
          <w:trHeight w:val="243"/>
        </w:trPr>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4,250</w:t>
            </w:r>
          </w:p>
        </w:tc>
        <w:tc>
          <w:tcPr>
            <w:tcW w:w="6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13,173</w:t>
            </w: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60" w:type="dxa"/>
            <w:vAlign w:val="bottom"/>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-814070</wp:posOffset>
            </wp:positionV>
            <wp:extent cx="641223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-496570</wp:posOffset>
            </wp:positionV>
            <wp:extent cx="641223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-187960</wp:posOffset>
            </wp:positionV>
            <wp:extent cx="641223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80" w:space="720"/>
            <w:col w:w="3740"/>
          </w:cols>
          <w:pgMar w:left="320" w:top="773" w:right="339" w:bottom="1440" w:gutter="0" w:footer="0" w:header="0"/>
          <w:type w:val="continuous"/>
        </w:sectPr>
      </w:pPr>
    </w:p>
    <w:p>
      <w:pPr>
        <w:spacing w:after="0" w:line="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Amortization for Aptevo BioTherapeutics was $0.1 million and $0.8 million for the year ended December 31, 2020 and December 31, 2019, respectively. There was no depreciation or capital expenditures for the year ended December 31, 2020 or December 31, 2019. Significant operating non-cash items include the gain on sale of Aptevo BioTherapeutics of $14.3 million for the year ended December 31, 2020, and the gain on milestone payment related to the sale of the Hyperimmune business of $4.3 million for the year ended December 31, 2019. There were no significant investing non-cash items for the years ended December 31, 2019 and 2020.</w:t>
      </w:r>
    </w:p>
    <w:p>
      <w:pPr>
        <w:spacing w:after="0" w:line="8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Medexus reported their net IXINITY sales to Aptevo and made a deferred payment to Aptevo of $0.4 million for the first three quarters of 2020. As such, we recorded the deferred payment amount related to Medexus’ sales of IXINITY as a gain when collected. Subsequent to year end, Medexus made a deferred payment of approximately $0.2 million, related to fourth quarter 2020 IXINITY sales.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(the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9" w:name="page80"/>
    <w:bookmarkEnd w:id="79"/>
    <w:p>
      <w:pPr>
        <w:jc w:val="both"/>
        <w:ind w:right="20" w:firstLine="589"/>
        <w:spacing w:after="0" w:line="311" w:lineRule="auto"/>
        <w:rPr>
          <w:sz w:val="20"/>
          <w:szCs w:val="20"/>
          <w:color w:val="auto"/>
        </w:rPr>
      </w:pPr>
      <w:r>
        <w:rPr>
          <w:rFonts w:ascii="Arial" w:cs="Arial" w:eastAsia="Arial" w:hAnsi="Arial"/>
          <w:sz w:val="16"/>
          <w:szCs w:val="16"/>
          <w:color w:val="auto"/>
        </w:rPr>
        <w:t>We assessed the arrangement in accordance with ASC 606 and concluded that the contract counterparty, Alligator, is not a customer. As such the arrangement is not in the scope of ASC 606 and is instead treated as a collaborative agreement under ASC 808 – Collaborative Arrangements (ASC 808). In accordance with ASC 808, we concluded that because the Collaboration Agreement with Alligator is a cost sharing agreement, there is no revenue.</w:t>
      </w:r>
    </w:p>
    <w:p>
      <w:pPr>
        <w:spacing w:after="0" w:line="41"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For the year ended December 31, 2020, we recorded an immaterial amount in our research and development expense in the consolidated statements of operations, and for the year ended December 31, 2019, we recorded a reduction of $1.4 million in our research and development expense in the consolidated statements of operations, related to the collaboration arrangement.</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right="20" w:firstLine="589"/>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Observable inputs of quoted prices in active markets for identical assets and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24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At December 31, 2020 and December 31, 2019, we had $35.4 million and $12.5 million in money market funds, respectively. Money market funds are level one balances as they are valued at fair value, which is the closing price reported by the fund sponsor from an actively traded exchange. At December 31, 2020 and December 31, 2019, we did not have any level two or level three assets or liabilities.</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2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include time deposits and investments in money market funds. Restricted cash, current includes $2.6 million securing letters of credit.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shows our cash, cash equivalents and restricted cash, both current and long-term portion as of December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35,378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current</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long-term</w:t>
            </w:r>
          </w:p>
        </w:tc>
        <w:tc>
          <w:tcPr>
            <w:tcW w:w="16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Total cash, cash equivalents, and restricted cash</w:t>
            </w:r>
          </w:p>
        </w:tc>
        <w:tc>
          <w:tcPr>
            <w:tcW w:w="16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42,534</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0" w:type="dxa"/>
            <w:vAlign w:val="bottom"/>
            <w:vMerge w:val="restart"/>
          </w:tcPr>
          <w:p>
            <w:pPr>
              <w:jc w:val="right"/>
              <w:ind w:right="11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80" w:name="page81"/>
    <w:bookmarkEnd w:id="80"/>
    <w:p>
      <w:pPr>
        <w:ind w:left="600"/>
        <w:spacing w:after="0"/>
        <w:rPr>
          <w:sz w:val="20"/>
          <w:szCs w:val="20"/>
          <w:color w:val="auto"/>
        </w:rPr>
      </w:pPr>
      <w:r>
        <w:rPr>
          <w:rFonts w:ascii="Arial" w:cs="Arial" w:eastAsia="Arial" w:hAnsi="Arial"/>
          <w:sz w:val="18"/>
          <w:szCs w:val="18"/>
          <w:b w:val="1"/>
          <w:bCs w:val="1"/>
          <w:color w:val="auto"/>
        </w:rPr>
        <w:t>Note 6. Property and equipment, net</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equipment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(11,143)</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(9,924)</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expense for the year ended December 31, 2020 and December 31, 2019 was $1.2 million and $1.4 million, respectively.</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August 4, 2016, we entered into a Credit and Security Agreement (the Prior Credit Agreement), with MidCap Financial. On February 28, 2020, we repaid the entire amount outstanding under the Prior Credit Agreement from the proceeds of the sale of Aptevo BioTherapeutics to Medexus. In addition to the outstanding principal of $20 million, we paid $2.1 million in an end of facility fee, accrued interest, legal fees and prepayment fees. We recorded an adjustment of $0.1 million related to unamortized loan initiation fees and a $2.1 million loss on extinguishment of debt in the first quarter of 2020.</w:t>
      </w:r>
    </w:p>
    <w:p>
      <w:pPr>
        <w:spacing w:after="0" w:line="80"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On August 5, 2020, we entered into a new Credit and Security Agreement (the Credit Agreement), with MidCap Financial. The Credit Agreement provided us with up to $25 million of available borrowing capacity under a term loan facility. The full $25 million was drawn on the closing date of the Credit Agreement. The term loan facility has a 48 month term, is interest-only for the first 18 months, with straight-line amortization for the remaining 30 months and bears interest at a rate of one month LIBOR plus 6.25% per annum, subject to a 1.50% LIBOR floor and a 2.50% LIBOR cap. The term loan facility includes additional repayment provisions should either or both of the royalties or milestones related to IXINITY or royalties related to RUXIENCE be sold during the term of the loan.</w:t>
      </w:r>
    </w:p>
    <w:p>
      <w:pPr>
        <w:spacing w:after="0" w:line="19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As of December 31, 2020, we reclassified $5.0 million of the $25 million Credit Agreement to current portion of long-term debt on the consolidated balance sheet. The Credit Agreement states that commencing with the calendar quarter ending June 30, 2021 and for each calendar quarter thereafter, Aptevo will prepay the Term Loan in an amount equal to 100% of the royalties received from RUXIENCE and IXINITY within 45 days of quarter-end, up to $2.5 million each quarter. We expect to prepay $5.0 million of the Term Loan principal in 2021 and reclassified this portion of the principal to current portion of long-term debt on the consolidated balance sheet.</w:t>
      </w:r>
    </w:p>
    <w:p>
      <w:pPr>
        <w:spacing w:after="0" w:line="80"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On November 6, 2020, Tang filed a statement on Schedule 13D to report that Tang had purchased 1,760,000 shares of the Company’s common stock, which at the time represented approximately 54% of the Company’s issued and outstanding shares of the Company’s common stock. This acquisition of voting stock triggered a change in control, resulting in an Event of Default under Section 10.1(a)(ii) of the Credit Agreement. On November 10, 2020, the Company obtained a waiver from MidCap Financial pursuant to which, among other things, MidCap Financial waived the event of default arising from the acquisition of voting stock by Tang and MidCap Financial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Company’s credit agreement.</w:t>
      </w:r>
    </w:p>
    <w:p>
      <w:pPr>
        <w:spacing w:after="0" w:line="5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Additionally, this facility is subject to a subjective acceleration clause that could be invoked by the lender upon the occurrence of any event the lender deems to have a material adverse effect on our ability to repay the lender.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right="20" w:firstLine="589"/>
        <w:spacing w:after="0" w:line="263" w:lineRule="auto"/>
        <w:rPr>
          <w:sz w:val="20"/>
          <w:szCs w:val="20"/>
          <w:color w:val="auto"/>
        </w:rPr>
      </w:pPr>
      <w:r>
        <w:rPr>
          <w:rFonts w:ascii="Arial" w:cs="Arial" w:eastAsia="Arial" w:hAnsi="Arial"/>
          <w:sz w:val="18"/>
          <w:szCs w:val="18"/>
          <w:color w:val="auto"/>
        </w:rPr>
        <w:t>On March 30, 2021, we amended our Credit Agreement with MidCap Financial and used $10 million of the proceeds received from the Royalty Purchase Agreement with HCR to pay down the outstanding principal under this agreement from $25 million to $15 million. Refer to Note 14 – Subsequent Events for further details.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principal and interest payments in connection with the Credit Agreement as of December 31, 2020 are as follows:</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8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gridSpan w:val="2"/>
            <w:shd w:val="clear" w:color="auto" w:fill="CFF0FC"/>
          </w:tcPr>
          <w:p>
            <w:pPr>
              <w:jc w:val="right"/>
              <w:ind w:right="509"/>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1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16,935</w:t>
            </w:r>
          </w:p>
        </w:tc>
        <w:tc>
          <w:tcPr>
            <w:tcW w:w="100" w:type="dxa"/>
            <w:vAlign w:val="bottom"/>
          </w:tcPr>
          <w:p>
            <w:pPr>
              <w:spacing w:after="0"/>
              <w:rPr>
                <w:sz w:val="19"/>
                <w:szCs w:val="19"/>
                <w:color w:val="auto"/>
              </w:rPr>
            </w:pP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FF0FC"/>
          </w:tcPr>
          <w:p>
            <w:pPr>
              <w:spacing w:after="0"/>
              <w:rPr>
                <w:sz w:val="19"/>
                <w:szCs w:val="19"/>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Total principal and interest payments</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28,220</w:t>
            </w:r>
          </w:p>
        </w:tc>
        <w:tc>
          <w:tcPr>
            <w:tcW w:w="10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8. Leases and Contingencies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31"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 The lease was further amended, effective August 2019, to reduce the square footage of our rented area.</w:t>
      </w:r>
    </w:p>
    <w:p>
      <w:pPr>
        <w:spacing w:after="0" w:line="41" w:lineRule="exact"/>
        <w:rPr>
          <w:sz w:val="20"/>
          <w:szCs w:val="20"/>
          <w:color w:val="auto"/>
        </w:rPr>
      </w:pPr>
    </w:p>
    <w:p>
      <w:pPr>
        <w:jc w:val="both"/>
        <w:ind w:right="20" w:firstLine="647"/>
        <w:spacing w:after="0" w:line="255" w:lineRule="auto"/>
        <w:rPr>
          <w:sz w:val="20"/>
          <w:szCs w:val="20"/>
          <w:color w:val="auto"/>
        </w:rPr>
      </w:pPr>
      <w:r>
        <w:rPr>
          <w:rFonts w:ascii="Arial" w:cs="Arial" w:eastAsia="Arial" w:hAnsi="Arial"/>
          <w:sz w:val="18"/>
          <w:szCs w:val="18"/>
          <w:color w:val="auto"/>
        </w:rPr>
        <w:t>The amended lease has a renewal option of two five-year renewals at fair market value as determined at the time of renewal, and a termination option after month thirty-six with nine months written notice. The termination option also requires a penalty equal to the unamortized tenant improvement allowance at 8% interest, the unamortized real estate taxes at 8% interest, and the equivalent of four-months’ rent at the base rent price at the time of termination. The estimated termination penalty has been recorded in our lease payments. We determined we should not include any periods after the termination option when evaluating this amendment as we are not reasonably certain to not exercise the option, therefore we are recording our liability through April 30, 2023.</w:t>
      </w:r>
    </w:p>
    <w:p>
      <w:pPr>
        <w:spacing w:after="0" w:line="84"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For the years ended December 31, 2020 and December 31, 2019, we recorded $0.7 million and $0.5 million, respectively, related to variable expenses due to true ups of operating costs or real estate taxes.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right="40" w:firstLine="589"/>
        <w:spacing w:after="0" w:line="277" w:lineRule="auto"/>
        <w:rPr>
          <w:sz w:val="20"/>
          <w:szCs w:val="20"/>
          <w:color w:val="auto"/>
        </w:rPr>
      </w:pPr>
      <w:r>
        <w:rPr>
          <w:rFonts w:ascii="Arial" w:cs="Arial" w:eastAsia="Arial" w:hAnsi="Arial"/>
          <w:sz w:val="18"/>
          <w:szCs w:val="18"/>
          <w:color w:val="auto"/>
        </w:rPr>
        <w:t>As of December 31, 2020, we have operating leases for one piece of lab equipment and four copiers in our Seattle, Washington headquarters. The future expense for these leases will be straight-line and will include any variable expenses that arise.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As of December 31, 2020, we had one equipment lease classified as a financing lease as the lease transferred ownership of the underlying asset to us at the end of the lease term in 2020. The lease has no remaining expense obligation. There were no financing lease payments for the year ended December 31, 2020.</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For the 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For the year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9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Finance lease cost:</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2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29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40" w:type="dxa"/>
            <w:vAlign w:val="bottom"/>
            <w:vMerge w:val="restart"/>
          </w:tcPr>
          <w:p>
            <w:pPr>
              <w:jc w:val="right"/>
              <w:ind w:right="151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82" w:name="page83"/>
    <w:bookmarkEnd w:id="82"/>
    <w:p>
      <w:pPr>
        <w:ind w:left="600"/>
        <w:spacing w:after="0"/>
        <w:rPr>
          <w:sz w:val="20"/>
          <w:szCs w:val="20"/>
          <w:color w:val="auto"/>
        </w:rPr>
      </w:pPr>
      <w:r>
        <w:rPr>
          <w:rFonts w:ascii="Arial" w:cs="Arial" w:eastAsia="Arial" w:hAnsi="Arial"/>
          <w:sz w:val="18"/>
          <w:szCs w:val="18"/>
          <w:b w:val="1"/>
          <w:bCs w:val="1"/>
          <w:i w:val="1"/>
          <w:iCs w:val="1"/>
          <w:color w:val="auto"/>
        </w:rPr>
        <w:t>Right of use assets acquired under operating leases: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Pr>
          <w:p>
            <w:pPr>
              <w:spacing w:after="0"/>
              <w:rPr>
                <w:sz w:val="16"/>
                <w:szCs w:val="16"/>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0"/>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excluding Seattle office lease</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Seattle office lease, including amendment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2,600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Lease payments:</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For the year ended</w:t>
            </w:r>
          </w:p>
        </w:tc>
        <w:tc>
          <w:tcPr>
            <w:tcW w:w="100" w:type="dxa"/>
            <w:vAlign w:val="bottom"/>
          </w:tcPr>
          <w:p>
            <w:pPr>
              <w:spacing w:after="0"/>
              <w:rPr>
                <w:sz w:val="24"/>
                <w:szCs w:val="2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5"/>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0"/>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Pr>
          <w:p>
            <w:pPr>
              <w:spacing w:after="0"/>
              <w:rPr>
                <w:sz w:val="20"/>
                <w:szCs w:val="20"/>
                <w:color w:val="auto"/>
              </w:rPr>
            </w:pPr>
            <w:r>
              <w:rPr>
                <w:rFonts w:ascii="Arial" w:cs="Arial" w:eastAsia="Arial" w:hAnsi="Arial"/>
                <w:sz w:val="18"/>
                <w:szCs w:val="18"/>
                <w:color w:val="auto"/>
              </w:rPr>
              <w:t>For operating leases</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6760" w:type="dxa"/>
            <w:vAlign w:val="bottom"/>
          </w:tcPr>
          <w:p>
            <w:pPr>
              <w:ind w:left="20"/>
              <w:spacing w:after="0"/>
              <w:rPr>
                <w:sz w:val="20"/>
                <w:szCs w:val="20"/>
                <w:color w:val="auto"/>
              </w:rPr>
            </w:pPr>
            <w:r>
              <w:rPr>
                <w:rFonts w:ascii="Arial" w:cs="Arial" w:eastAsia="Arial" w:hAnsi="Arial"/>
                <w:sz w:val="18"/>
                <w:szCs w:val="18"/>
                <w:color w:val="auto"/>
              </w:rPr>
              <w:t>Future minimum payments as of December 31, 2020 are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3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long-term portion of the lease liabilities included in the amounts above is $2.4 million and the remainder of our lease liabilities are included in other current liabilities on our consolidated balance sheets.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2020, the weighted average remaining lease term and weighted discount rate for operating leases was 2.3 years and 14.52%.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the weighted average remaining lease term and weighted discount rate for operating leases was 3.3 years and 14.55%.</w:t>
      </w:r>
    </w:p>
    <w:p>
      <w:pPr>
        <w:spacing w:after="0" w:line="32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9. Reverse Stock Split</w:t>
      </w:r>
    </w:p>
    <w:p>
      <w:pPr>
        <w:spacing w:after="0" w:line="135"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On March 11, 2020, we held a Special Meeting of Stockholders at which our stockholders approved a series of alternate amendments to the Amended and Restated Certificate of Incorporation to effect, at the option of our Board of Directors, a reverse split of Aptevo’s common stock at a ratio ranging from 1-for-2 to 1-for-20, inclusive, with the effectiveness of one of such amendments and the abandonment of the other amendments, or the abandonment of all amendments, to be determined by the Board in its sole discretion following the Special Meeting. The specific 1-for-14 reverse split ratio was subsequently approved by the Board on March 23, 2020. On March 26, 2020, the Company filed a Certificate of Amendment of Amended and Restated Certificate of Incorporation (the “Amendment”) with the Secretary of State of the State of Delaware to effect a 1-for-14 reverse stock split of the Company’s outstanding common stock.</w:t>
      </w:r>
    </w:p>
    <w:p>
      <w:pPr>
        <w:spacing w:after="0" w:line="8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be entitled to receive a fractional share received a cash payment in lieu thereof.</w:t>
      </w:r>
    </w:p>
    <w:p>
      <w:pPr>
        <w:spacing w:after="0" w:line="6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have adjusted all common stock and stock equivalent figures retroactively in this Form 10-K for all periods presented to reflect the reverse stock split.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left="600"/>
        <w:spacing w:after="0"/>
        <w:rPr>
          <w:sz w:val="20"/>
          <w:szCs w:val="20"/>
          <w:color w:val="auto"/>
        </w:rPr>
      </w:pPr>
      <w:r>
        <w:rPr>
          <w:rFonts w:ascii="Arial" w:cs="Arial" w:eastAsia="Arial" w:hAnsi="Arial"/>
          <w:sz w:val="18"/>
          <w:szCs w:val="18"/>
          <w:b w:val="1"/>
          <w:bCs w:val="1"/>
          <w:color w:val="auto"/>
        </w:rPr>
        <w:t>Note 10. Net Income (Loss) per Share</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 average number of common shares outstanding for the period. Diluted net loss per share is computed by dividing the net loss by the weighted average number of common share equivalents outstanding for the period using the as-if converted method. For the purpose of this calculation, warrants, stock options and restricted stock units (RSUs) are only included in the calculation of diluted net income per share when their effect is dilutive.</w:t>
      </w:r>
    </w:p>
    <w:p>
      <w:pPr>
        <w:spacing w:after="0" w:line="7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computation of basic and diluted net loss per share (in thousands, except share and per share amounts):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574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(17,750)</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basic and diluted share:</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(9.12)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(14.76)</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FF0FC"/>
          </w:tcPr>
          <w:p>
            <w:pPr>
              <w:spacing w:after="0"/>
              <w:rPr>
                <w:sz w:val="19"/>
                <w:szCs w:val="19"/>
                <w:color w:val="auto"/>
              </w:rPr>
            </w:pPr>
          </w:p>
        </w:tc>
      </w:tr>
      <w:tr>
        <w:trPr>
          <w:trHeight w:val="26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FF0FC"/>
            </w:tcBorders>
          </w:tcPr>
          <w:p>
            <w:pPr>
              <w:spacing w:after="0"/>
              <w:rPr>
                <w:sz w:val="22"/>
                <w:szCs w:val="22"/>
                <w:color w:val="auto"/>
              </w:rPr>
            </w:pPr>
          </w:p>
        </w:tc>
      </w:tr>
      <w:tr>
        <w:trPr>
          <w:trHeight w:val="210"/>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 calculation</w:t>
            </w:r>
          </w:p>
        </w:tc>
        <w:tc>
          <w:tcPr>
            <w:tcW w:w="1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3,390,919</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2,917,035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amounts)</w:t>
            </w:r>
          </w:p>
        </w:tc>
        <w:tc>
          <w:tcPr>
            <w:tcW w:w="316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6940" w:type="dxa"/>
            <w:vAlign w:val="bottom"/>
            <w:gridSpan w:val="2"/>
            <w:vMerge w:val="continue"/>
          </w:tcPr>
          <w:p>
            <w:pPr>
              <w:spacing w:after="0"/>
              <w:rPr>
                <w:sz w:val="13"/>
                <w:szCs w:val="13"/>
                <w:color w:val="auto"/>
              </w:rPr>
            </w:pPr>
          </w:p>
        </w:tc>
        <w:tc>
          <w:tcPr>
            <w:tcW w:w="1400" w:type="dxa"/>
            <w:vAlign w:val="bottom"/>
            <w:tcBorders>
              <w:top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11. Equity</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ommon Stock</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17" w:lineRule="exact"/>
        <w:rPr>
          <w:sz w:val="20"/>
          <w:szCs w:val="20"/>
          <w:color w:val="auto"/>
        </w:rPr>
      </w:pPr>
    </w:p>
    <w:p>
      <w:pPr>
        <w:ind w:left="1160" w:hanging="572"/>
        <w:spacing w:after="0" w:line="308" w:lineRule="auto"/>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51" w:lineRule="exact"/>
        <w:rPr>
          <w:rFonts w:ascii="Arial" w:cs="Arial" w:eastAsia="Arial" w:hAnsi="Arial"/>
          <w:sz w:val="17"/>
          <w:szCs w:val="17"/>
          <w:color w:val="auto"/>
        </w:rPr>
      </w:pPr>
    </w:p>
    <w:p>
      <w:pPr>
        <w:jc w:val="both"/>
        <w:ind w:left="1160" w:hanging="572"/>
        <w:spacing w:after="0" w:line="259"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received net proceeds of $20.2 million, net of transaction costs, as a result of this offering.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jc w:val="both"/>
        <w:ind w:firstLine="589"/>
        <w:spacing w:after="0" w:line="263" w:lineRule="auto"/>
        <w:rPr>
          <w:sz w:val="20"/>
          <w:szCs w:val="20"/>
          <w:color w:val="auto"/>
        </w:rPr>
      </w:pPr>
      <w:r>
        <w:rPr>
          <w:rFonts w:ascii="Arial" w:cs="Arial" w:eastAsia="Arial" w:hAnsi="Arial"/>
          <w:sz w:val="18"/>
          <w:szCs w:val="18"/>
          <w:color w:val="auto"/>
        </w:rPr>
        <w:t>For the year ended December 31, 2020, certain of the holders of the Company’s warrants exercised warrants with a strike price of $18.20 per share, resulting in the issuance of approximately 1,166,735 million shares of the Company’s common stock and aggregate proceeds to the Company of approximately $21.2 million. As of December 31, 2020, there were 404,694 warrants outstanding.</w:t>
      </w:r>
    </w:p>
    <w:p>
      <w:pPr>
        <w:spacing w:after="0" w:line="21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years ended December 31, 2020 and December 31, 2019, we issued 9,206 and 6,752 shares of common stock due to the vesting of RSUs, respectively.</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year ended December 31, 2020, we received proceeds of $0.02 million upon the exercise of stock options which resulted in the issuance of 2,158 shares of common stock.</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1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On December 20, 2018, we entered into the Purchase Agreement, and a registration rights agreement, with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Pursuant to this purchase agreement we issued 13,990 commitment shares of common stock in the first quarter of 2019 and none in the year ended December 31, 2020.</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Rights Plan</w:t>
      </w:r>
    </w:p>
    <w:p>
      <w:pPr>
        <w:spacing w:after="0" w:line="11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On November 8, 2020, the Board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On December 14, 2020 we entered into an Equity Distribution Agreement (the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 million. This offering supersedes and replaces the program we commenced in December 2017. We have no obligation to sell any such shares under the Equity Distribution Agreement. The sale of such shares of common stock by Piper Sandler will be effected pursuant to a Registration Statement on Form S-3, which we filed on December 14, 2020. We issued no shares under the Equity Distribution Agreement in 2020.</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In connection with the spin-off from Emergent BioSolutions Inc. (Emergent) in August 2016, we adopted the Converted Equity Awards Incentive Plan (the Converted Plan). Under the Converted Plan, outstanding equity awards of Emergent held by Aptevo employees were converted into or replaced with equity awards of Aptevo (Conversion Awards) and were adjusted to maintain the economic value before and after the distribution date, using the relative fair market value of the Emergent and Aptevo common stock based on the closing prices as of August 1, 2016. A total of 0.1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ind w:left="60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On August 1, 2016, the Company adopted the 2016 Stock Incentive Plan (the 2016 SIP). A total of 0.2 million shares of Aptevo common stock have been authorized for issuance under the 2016 SIP in the form of equity stock options.</w:t>
      </w:r>
    </w:p>
    <w:p>
      <w:pPr>
        <w:spacing w:after="0" w:line="6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63"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 twelve-month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7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6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May 31, 2017, at the Annual Meeting of Stockholders (Annual Meeting) in 2017, the Company’s stockholders approved the amendment and restatement of the Company’s 2016 SIP (the Restated 2016 Plan) to, among other things, increase the number of authorized shares issuable by 0.1 million shares of Aptevo common stock. The Restated 2016 Plan was previously approved, subject to stockholder approval, by the Board of Directors of the Company.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On June 1, 2018, at the 2018 Annual Meeting, the Company’s stockholders approved a new 2018 Stock Incentive Plan (the 2018 SIP), which replaced the Restated 2016 Plan on a go-forward basis. All stock options, RSUs or other equity awards granted subsequent to June 1, 2018, will be issued out of the 2018 SIP, which has 0.3 million shares of Aptevo common stock authorized for issuance. The 2018 SIP became effective immediately upon stockholder approval at the Annual Meeting.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SIP (such shares, the “Returning Shares”) will immediately be added to the share reserve under the 2018 SIP as and when such shares become Returning Shares, up to a maximum of 0.3 million shares. The 2018 SIP was previously approved, subject to stockholder approval, by the Board of Directors of the Company. As of December 31, 2020, there are 0.3 million shares available to be granted under the 2018 SIP.</w:t>
      </w:r>
    </w:p>
    <w:p>
      <w:pPr>
        <w:spacing w:after="0" w:line="73"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consolidated statements of operations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Stock Option Exchange</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On June 29, 2020, Aptevo commenced a voluntary employee and directors stock option exchange program (the Exchange Program) to permit the Company’s eligible employees, directors and certain consultants to exchange some or all of their eligible outstanding options (Original Options) to purchase the Company’s common stock with an exercise price greater than or equal to $21.00 per share, whether vested or unvested, for a lesser number of new stock options (New Options) with an exercise price equal to $8.56, which was the closing price of our stock on July 27, 2020. In accordance with the terms and conditions of the Exchange Program, we closed the exchange program and accepted all exchanged outstanding Original Options for New Options on July 27, 2020. The stock option exchange program was approved at the Company’s 2020 Annual Shareholder Meeting on May 27, 2020.</w:t>
      </w:r>
    </w:p>
    <w:p>
      <w:pPr>
        <w:spacing w:after="0" w:line="19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Pursuant to the Exchange Offer, 52 Eligible Holders elected to exchange Original Options, and the Company accepted for cancellation Original Options to purchase an aggregate of 200,016 shares of the Company’s common stock, representing approximately 96% of the total shares of Common Stock underlying the Eligible Options. On July 27, 2020, immediately following the expiration of the Exchange Offer, the Company granted New Options to purchase 84,900 shares of Common Stock, pursuant to the terms of the Exchange Offer and the 2018 SIP. We recorded an immaterial additional compensation cost related to the exchange, as the estimated fair value of the new options slightly exceed the fair value of the exchanged stock options calculated immediately prior to the exchange. We recognized $0.04 million for the remaining unamortized compensation cost related to the exchanged options in the third quarter of 2020.</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312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6980" w:type="dxa"/>
            <w:vAlign w:val="bottom"/>
            <w:tcBorders>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top w:val="single" w:sz="8" w:color="auto"/>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90"/>
              </w:rPr>
              <w:t>0.00%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jc w:val="center"/>
              <w:ind w:right="36"/>
              <w:spacing w:after="0"/>
              <w:rPr>
                <w:sz w:val="20"/>
                <w:szCs w:val="20"/>
                <w:color w:val="auto"/>
              </w:rPr>
            </w:pPr>
            <w:r>
              <w:rPr>
                <w:rFonts w:ascii="Arial" w:cs="Arial" w:eastAsia="Arial" w:hAnsi="Arial"/>
                <w:sz w:val="18"/>
                <w:szCs w:val="18"/>
                <w:color w:val="auto"/>
                <w:w w:val="88"/>
              </w:rPr>
              <w:t>87.78%</w:t>
            </w:r>
          </w:p>
        </w:tc>
        <w:tc>
          <w:tcPr>
            <w:tcW w:w="1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79.78%</w:t>
            </w:r>
          </w:p>
        </w:tc>
        <w:tc>
          <w:tcPr>
            <w:tcW w:w="100" w:type="dxa"/>
            <w:vAlign w:val="bottom"/>
          </w:tcPr>
          <w:p>
            <w:pPr>
              <w:spacing w:after="0"/>
              <w:rPr>
                <w:sz w:val="19"/>
                <w:szCs w:val="19"/>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90"/>
              </w:rPr>
              <w:t>1.97%</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2.04%</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7 years</w:t>
            </w:r>
          </w:p>
        </w:tc>
        <w:tc>
          <w:tcPr>
            <w:tcW w:w="1520" w:type="dxa"/>
            <w:vAlign w:val="bottom"/>
            <w:gridSpan w:val="2"/>
          </w:tcPr>
          <w:p>
            <w:pPr>
              <w:ind w:left="440"/>
              <w:spacing w:after="0"/>
              <w:rPr>
                <w:sz w:val="20"/>
                <w:szCs w:val="20"/>
                <w:color w:val="auto"/>
              </w:rPr>
            </w:pPr>
            <w:r>
              <w:rPr>
                <w:rFonts w:ascii="Arial" w:cs="Arial" w:eastAsia="Arial" w:hAnsi="Arial"/>
                <w:sz w:val="18"/>
                <w:szCs w:val="18"/>
                <w:color w:val="auto"/>
              </w:rPr>
              <w:t>5 years</w:t>
            </w:r>
          </w:p>
        </w:tc>
      </w:tr>
    </w:tbl>
    <w:p>
      <w:pPr>
        <w:spacing w:after="0" w:line="228"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Management has applied an estimated forfeiture rate of 16% and 10% for the year ended December 31, 2020 and December 31, 2019, respectively. Expected volatility increased, as our stock price fluctuated from a low of $3.11 to a high of $48.36 throughout the year ended December 31, 2020, compared to a low of $7.36 and high of $26.18 for the year ended December 31, 2019. The increase in expected average life of options is due to the impact of the option exchange program, which concluded on July 27, 2020, as new options were issued with an expiration of July 26, 2030.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ind w:left="600"/>
        <w:spacing w:after="0"/>
        <w:rPr>
          <w:sz w:val="20"/>
          <w:szCs w:val="20"/>
          <w:color w:val="auto"/>
        </w:rPr>
      </w:pPr>
      <w:r>
        <w:rPr>
          <w:rFonts w:ascii="Arial" w:cs="Arial" w:eastAsia="Arial" w:hAnsi="Arial"/>
          <w:sz w:val="18"/>
          <w:szCs w:val="18"/>
          <w:color w:val="auto"/>
        </w:rPr>
        <w:t>The following is a summary of option activity for the year ended December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Remaining Term</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334,938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201,306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(325,904)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31.84</w:t>
            </w:r>
          </w:p>
        </w:tc>
        <w:tc>
          <w:tcPr>
            <w:tcW w:w="2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tcBorders>
              <w:bottom w:val="single" w:sz="8" w:color="CFF0FC"/>
            </w:tcBorders>
            <w:vMerge w:val="continue"/>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212,581</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5,906,007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As of December 31, 2020 we had $1.0 million of unrecognized compensation expense related to options expected to vest over a weighted average period of 1.2 years. The weighted average remaining contractual life of outstanding and exercisable options is 7.4 years. The 325,904 shares forfeited in the year ended December 31, 2020, are primarily related to the 200,016 options forfeited as part of the option exchange program, which concluded on July 27, 2020.</w:t>
      </w:r>
    </w:p>
    <w:p>
      <w:pPr>
        <w:spacing w:after="0" w:line="7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2020 and the exercise price, multiplied by the number of in the money options) that would have been received by the option holders had all the option holders exercised their options on December 31, 2020.</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restricted stock activity for the year ended December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Unit</w:t>
            </w: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(10,815)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(6,643)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Expected to Vest</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2020, there was $0.4 million unrecognized stock-based compensation expense related to unvested RSUs.</w:t>
      </w:r>
    </w:p>
    <w:p>
      <w:pPr>
        <w:spacing w:after="0" w:line="225"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shares on the date of grant as quoted in The Nasdaq Capital Market.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the pre-funded warrants were exercised in March 2019. We determined the warrants do not meet liability classification pursuant to ASC 480 – Distinguishing Liabilities from Equity. They are therefore included within equity on our consolidated balance sheets. In the fourth quarter of 2020, certain holders of the Company’s warrants exercised warrants with a strike price of $18.20 per share, resulting in the issuance of approximately 1,166,735 million shares of the Company’s common stock and aggregate proceeds to the Company of approximately $21.2 million. As of December 31, 2020, there were 404,694 warrants outstanding.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ind w:left="600"/>
        <w:spacing w:after="0"/>
        <w:rPr>
          <w:sz w:val="20"/>
          <w:szCs w:val="20"/>
          <w:color w:val="auto"/>
        </w:rPr>
      </w:pPr>
      <w:r>
        <w:rPr>
          <w:rFonts w:ascii="Arial" w:cs="Arial" w:eastAsia="Arial" w:hAnsi="Arial"/>
          <w:sz w:val="18"/>
          <w:szCs w:val="18"/>
          <w:b w:val="1"/>
          <w:bCs w:val="1"/>
          <w:color w:val="auto"/>
        </w:rPr>
        <w:t>Note 12. 401(k) Savings Plan</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Aptevo has established a defined contribution savings plan under Section 401(k) of the Internal Revenue Code, as amended. The 401(k) Plan covers all employees. Under the 401(k) Plan, employees may make elective salary deferrals. Aptevo currently provides for matching of qualified deferrals up to 50% of 401(k) employee deferral contributions, based on a maximum employee deferral rate of 6% of compensation. During the year ended December 31, 2020 and December 31, 2019, Aptevo’s related share of matching contributions was approximately $0.3 million and $0.4 million, respectively.</w:t>
      </w:r>
    </w:p>
    <w:p>
      <w:pPr>
        <w:spacing w:after="0" w:line="33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13. Income Taxes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have an income tax benefit or income tax expense from continuing operations in the years ended December 31,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Loss from continuing operations before income taxes is comprised of:</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 before benefit from income taxes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 assets and deferred tax liabilities are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vMerge w:val="continue"/>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losses carryforward</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State losses carryforward</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deferred tax assets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40"/>
              <w:spacing w:after="0"/>
              <w:rPr>
                <w:sz w:val="20"/>
                <w:szCs w:val="20"/>
                <w:color w:val="auto"/>
              </w:rPr>
            </w:pPr>
            <w:r>
              <w:rPr>
                <w:rFonts w:ascii="Arial" w:cs="Arial" w:eastAsia="Arial" w:hAnsi="Arial"/>
                <w:sz w:val="18"/>
                <w:szCs w:val="18"/>
                <w:color w:val="auto"/>
              </w:rPr>
              <w:t>Other tax credits</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liabilities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Property and equipment</w:t>
            </w:r>
          </w:p>
        </w:tc>
        <w:tc>
          <w:tcPr>
            <w:tcW w:w="2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asset, gross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(44,291)</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(39,895)</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Deferred tax assets, net of valuation</w:t>
            </w:r>
          </w:p>
        </w:tc>
        <w:tc>
          <w:tcPr>
            <w:tcW w:w="20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Right-of-use assets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(632)</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Deferred tax liability</w:t>
            </w:r>
          </w:p>
        </w:tc>
        <w:tc>
          <w:tcPr>
            <w:tcW w:w="20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Net deferred tax liabilities</w:t>
            </w:r>
          </w:p>
        </w:tc>
        <w:tc>
          <w:tcPr>
            <w:tcW w:w="20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As of December 31, 2020, and 2019, we have recorded federal net operating losses (NOL) carryforwards of approximately $162.5 million and $134.4 million, state NOL carryforwards of approximately $68.1 million and $59.4 million, and tax credit carryforwards of $2.2 million and $1.4 million, respectively. $40.9 million of the federal losses and credits would begin to expire in 2037, while $121.6 million of federal losses may be carried forward indefinitely. The state net operating losses will begin to expire in varying periods.</w:t>
      </w:r>
    </w:p>
    <w:p>
      <w:pPr>
        <w:spacing w:after="0" w:line="79"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The Company is in the process of completing an IRC Section 382/383 study on its federal and state tax attributes based on an ownership change that occurred during 2020. At this time the Company does not anticipate any permanent limitations on our ability to use federal and state net operating loss carryforwards and tax credits. We may experience ownership changes in the future as a result of subsequent shifts in our stock ownership, some of which may be outside of our control. If an ownership change occurs in the future, our ability to use our net operating loss carryforwards and credits could be limited.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jc w:val="both"/>
        <w:ind w:firstLine="589"/>
        <w:spacing w:after="0" w:line="277" w:lineRule="auto"/>
        <w:rPr>
          <w:sz w:val="20"/>
          <w:szCs w:val="20"/>
          <w:color w:val="auto"/>
        </w:rPr>
      </w:pPr>
      <w:r>
        <w:rPr>
          <w:rFonts w:ascii="Arial" w:cs="Arial" w:eastAsia="Arial" w:hAnsi="Arial"/>
          <w:sz w:val="18"/>
          <w:szCs w:val="18"/>
          <w:color w:val="auto"/>
        </w:rPr>
        <w:t>The Company files income tax returns in the U.S. and several state jurisdictions and are open to review by taxing authorities for the 2016 tax filings and thereafter.</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are subject to the accounting guidance for uncertain income tax positions. We believe that our income tax positions and deductions will be sustained on audit and do not anticipate any adjustments that will result in a material adverse effect on our financial condition, results of operations, or cash flow. Our policy for recording interest and penalties associated with audits and uncertain tax positions is to record such items as a component of income tax expense, and amounts recognized to date are insignificant. No uncertain income tax positions are recorded, and we do not expect our uncertain tax position to change during the next twelve months.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reconciliation of the federal statutory income tax rate to the Company’s effective income tax from continuing operations is as follows:</w:t>
      </w:r>
    </w:p>
    <w:p>
      <w:pPr>
        <w:spacing w:after="0" w:line="309"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68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Federal tax at statutory rates</w:t>
            </w:r>
          </w:p>
        </w:tc>
        <w:tc>
          <w:tcPr>
            <w:tcW w:w="9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774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774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income tax benefit</w:t>
            </w: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On March 3, 2021 the Company collected $0.3 million related to the sale of the Hyperimmune Busines to Saol and the collection of certain accounts receivable.</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19, 2021, $1.3 million of the restricted cash securing letters of credit was released in Aptevo’s favor.</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On March 30, 2021, the Company entered into and closed a royalty purchase agreement (the Royalty Purchase Agreement) with an entity managed by HealthCare Royalty Management, LLC (HCR) pursuant to which the Company sold to HCR the right to receive all royalty payments made by Pfizer Inc. (Pfizer) in respect of net sales of RUXIENCE. Under the terms of the agreement, the Company received $35 million (the Investment Amount) at closing and the Company is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by HCR to the Company, Aptevo will be entitled to receive 50% of royalty interest payments thereafter.</w:t>
      </w:r>
    </w:p>
    <w:p>
      <w:pPr>
        <w:spacing w:after="0" w:line="195"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connection with the Royalty Purchase Agreement, the Company amended its Credit Agreement with MidCap Financial and used $10 million of the proceeds received from the Royalty Purchase Agreement with HCR to pay down the outstanding principal under this agreement from $25 million to $15 million. $10 million of the remaining $15 million principal balance will be payable on March 31, 2022. Beginning March 1, 2022, monthly repayment of the remaining $5 million of principal will commence and continue for the final 30 months of the loan term. If the Company sells the IXINITY deferred payment stream and milestones prior to full repayment of this $5 million principal amount, under the agreement with MidCap Financial, proceeds from same will be applied to pay down the outstanding loan principal balance. MidCap Financial also released its security interest in the RUXIENCE royalty payments. A fee of $550,000 was paid by the Company to MidCap Financial in connection with the amendment in lieu of the formula-based fee previously required.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As of December 31, 2020, management, with the participation of our Chief Executive Officer and Chief Financial Officer, performed an evaluation of the effectiveness of our disclosure controls and procedures as defined in Rules 13a- 15(e) and 15d-15(e) of the Exchange Act. Based on this evaluation, our Chief Executive Officer and Chief Financial Officer concluded that, as of December 31, 2020,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2020 based on criteria established in Internal Control—Integrated Framework (2013) issued by the Committee of Sponsoring Organizations of the Treadway Commission. As a result of this assessment, management concluded that, as of December 31, 2020,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year ended December 31, 2020, that have materially affected, or are reasonably likely to materially affect, our internal control over financial reporting.</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Limitations on Controls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Because of inherent limitations, disclosure controls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Executives Officers and Corporate Governance.</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in connection with our 2021 Annual Meeting of Stockholders (the Proxy Statement), which is expected to be filed not later than 120 days after December 31, 2020, under the headings “Executive Officers,” “Proposal 1 -Election of Directors,” “Information Regarding the Board of Directors and Corporate Governance,” and “Delinquent Section 16(a) Reports,”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“Executive Compensation” and “Director Compensation,”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“Security Ownership of Certain Beneficial Owners and Management”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“Transactions with Related Persons” and “Information Regarding the Board of Directors and Corporate Governance,”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 “Proposal 2 – Ratification of the Selection of Independent Registered Public Accounting Firm,”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Index to Consolidated Financial Statements at Item 8 herein.</w:t>
      </w:r>
    </w:p>
    <w:p>
      <w:pPr>
        <w:spacing w:after="0" w:line="117" w:lineRule="exact"/>
        <w:rPr>
          <w:sz w:val="20"/>
          <w:szCs w:val="20"/>
          <w:color w:val="auto"/>
        </w:rPr>
      </w:pPr>
    </w:p>
    <w:p>
      <w:pPr>
        <w:ind w:left="1760" w:hanging="578"/>
        <w:spacing w:after="0"/>
        <w:tabs>
          <w:tab w:leader="none" w:pos="1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03" w:lineRule="exact"/>
        <w:rPr>
          <w:sz w:val="20"/>
          <w:szCs w:val="20"/>
          <w:color w:val="auto"/>
        </w:rPr>
      </w:pPr>
    </w:p>
    <w:p>
      <w:pPr>
        <w:ind w:left="1760" w:hanging="578"/>
        <w:spacing w:after="0"/>
        <w:tabs>
          <w:tab w:leader="none" w:pos="1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3" w:name="page94"/>
    <w:bookmarkEnd w:id="93"/>
    <w:p>
      <w:pPr>
        <w:ind w:left="5520"/>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42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4240" w:type="dxa"/>
            <w:vAlign w:val="bottom"/>
            <w:tcBorders>
              <w:bottom w:val="single" w:sz="8" w:color="auto"/>
            </w:tcBorders>
            <w:vMerge w:val="continue"/>
          </w:tcPr>
          <w:p>
            <w:pPr>
              <w:spacing w:after="0"/>
              <w:rPr>
                <w:sz w:val="14"/>
                <w:szCs w:val="14"/>
                <w:color w:val="auto"/>
              </w:rPr>
            </w:pPr>
          </w:p>
        </w:tc>
        <w:tc>
          <w:tcPr>
            <w:tcW w:w="252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13" w:lineRule="exact"/>
        <w:rPr>
          <w:sz w:val="20"/>
          <w:szCs w:val="20"/>
          <w:color w:val="auto"/>
        </w:rPr>
      </w:pPr>
    </w:p>
    <w:p>
      <w:pPr>
        <w:jc w:val="both"/>
        <w:ind w:left="1080" w:hanging="809"/>
        <w:spacing w:after="0" w:line="263"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23">
        <w:r>
          <w:rPr>
            <w:rFonts w:ascii="Arial" w:cs="Arial" w:eastAsia="Arial" w:hAnsi="Arial"/>
            <w:sz w:val="18"/>
            <w:szCs w:val="18"/>
            <w:u w:val="single" w:color="auto"/>
            <w:color w:val="0000EE"/>
          </w:rPr>
          <w:t>Contribution Agreement, dated July 29, 2016, by and among Emergent</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BioSolutions Inc., Aptevo Therapeutics Inc., Aptevo Research and</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Development LLC and Aptevo BioTherapeutics LLC</w:t>
        </w:r>
      </w:hyperlink>
    </w:p>
    <w:p>
      <w:pPr>
        <w:spacing w:after="0" w:line="116" w:lineRule="exact"/>
        <w:rPr>
          <w:rFonts w:ascii="Arial" w:cs="Arial" w:eastAsia="Arial" w:hAnsi="Arial"/>
          <w:sz w:val="18"/>
          <w:szCs w:val="18"/>
          <w:u w:val="single" w:color="auto"/>
          <w:color w:val="0000EE"/>
        </w:rPr>
      </w:pPr>
    </w:p>
    <w:p>
      <w:pPr>
        <w:ind w:left="1080" w:hanging="899"/>
        <w:spacing w:after="0" w:line="308"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+2.2</w:t>
      </w:r>
      <w:r>
        <w:rPr>
          <w:sz w:val="20"/>
          <w:szCs w:val="20"/>
          <w:color w:val="auto"/>
        </w:rPr>
        <w:tab/>
      </w:r>
      <w:hyperlink r:id="rId124">
        <w:r>
          <w:rPr>
            <w:rFonts w:ascii="Arial" w:cs="Arial" w:eastAsia="Arial" w:hAnsi="Arial"/>
            <w:sz w:val="17"/>
            <w:szCs w:val="17"/>
            <w:u w:val="single" w:color="auto"/>
            <w:color w:val="0000EE"/>
          </w:rPr>
          <w:t>Separation and Distribution Agreement, dated July 29, 2016, by and</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between Emergent BioSolutions Inc. and Aptevo Therapeutics Inc.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600" w:type="dxa"/>
            <w:vAlign w:val="bottom"/>
          </w:tcPr>
          <w:p>
            <w:pPr>
              <w:ind w:left="26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796"/>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600" w:type="dxa"/>
            <w:vAlign w:val="bottom"/>
          </w:tcPr>
          <w:p>
            <w:pPr>
              <w:ind w:left="26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2">
            <w:col w:w="6400" w:space="160"/>
            <w:col w:w="4680"/>
          </w:cols>
          <w:pgMar w:left="320" w:top="337" w:right="33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980" w:type="dxa"/>
            <w:vAlign w:val="bottom"/>
          </w:tcPr>
          <w:p>
            <w:pPr>
              <w:jc w:val="right"/>
              <w:ind w:right="470"/>
              <w:spacing w:after="0"/>
              <w:rPr>
                <w:sz w:val="20"/>
                <w:szCs w:val="20"/>
                <w:color w:val="auto"/>
              </w:rPr>
            </w:pPr>
            <w:r>
              <w:rPr>
                <w:rFonts w:ascii="Arial" w:cs="Arial" w:eastAsia="Arial" w:hAnsi="Arial"/>
                <w:sz w:val="18"/>
                <w:szCs w:val="18"/>
                <w:color w:val="auto"/>
                <w:w w:val="87"/>
              </w:rPr>
              <w:t>†+2.3</w:t>
            </w:r>
          </w:p>
        </w:tc>
        <w:tc>
          <w:tcPr>
            <w:tcW w:w="5940" w:type="dxa"/>
            <w:vAlign w:val="bottom"/>
            <w:gridSpan w:val="10"/>
          </w:tcPr>
          <w:p>
            <w:pPr>
              <w:spacing w:after="0"/>
              <w:rPr>
                <w:rFonts w:ascii="Arial" w:cs="Arial" w:eastAsia="Arial" w:hAnsi="Arial"/>
                <w:sz w:val="18"/>
                <w:szCs w:val="18"/>
                <w:color w:val="0000EE"/>
                <w:w w:val="96"/>
              </w:rPr>
            </w:pPr>
            <w:hyperlink r:id="rId125">
              <w:r>
                <w:rPr>
                  <w:rFonts w:ascii="Arial" w:cs="Arial" w:eastAsia="Arial" w:hAnsi="Arial"/>
                  <w:sz w:val="18"/>
                  <w:szCs w:val="18"/>
                  <w:color w:val="0000EE"/>
                  <w:w w:val="96"/>
                </w:rPr>
                <w:t xml:space="preserve">LLC Purchase Agreement, dated as of August 31, 2017, by and among </w:t>
              </w:r>
            </w:hyperlink>
            <w:r>
              <w:rPr>
                <w:rFonts w:ascii="Arial" w:cs="Arial" w:eastAsia="Arial" w:hAnsi="Arial"/>
                <w:sz w:val="18"/>
                <w:szCs w:val="18"/>
                <w:color w:val="000000"/>
                <w:w w:val="96"/>
              </w:rPr>
              <w:t>10-Q</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November 13, 2017</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r:id="rId125">
              <w:r>
                <w:rPr>
                  <w:rFonts w:ascii="Arial" w:cs="Arial" w:eastAsia="Arial" w:hAnsi="Arial"/>
                  <w:sz w:val="18"/>
                  <w:szCs w:val="18"/>
                  <w:color w:val="0000EE"/>
                  <w:w w:val="99"/>
                </w:rPr>
                <w:t>Aptevo BioTherapeutics LLC,  Aptevo Therapeutics Inc., Venus Bio</w:t>
              </w:r>
            </w:hyperlink>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380" w:type="dxa"/>
            <w:vAlign w:val="bottom"/>
            <w:gridSpan w:val="9"/>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Therapeutics Sub LLC, and Saol International Limited.</w:t>
              </w:r>
            </w:hyperlink>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ind w:left="40"/>
              <w:spacing w:after="0"/>
              <w:rPr>
                <w:sz w:val="20"/>
                <w:szCs w:val="20"/>
                <w:color w:val="auto"/>
              </w:rPr>
            </w:pPr>
            <w:r>
              <w:rPr>
                <w:rFonts w:ascii="Arial" w:cs="Arial" w:eastAsia="Arial" w:hAnsi="Arial"/>
                <w:sz w:val="18"/>
                <w:szCs w:val="18"/>
                <w:color w:val="auto"/>
              </w:rPr>
              <w:t>8-K</w:t>
            </w: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color w:val="auto"/>
              </w:rPr>
              <w:t>2.1</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2"/>
              </w:rPr>
              <w:t>March 2, 2020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4"/>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+2.4</w:t>
            </w:r>
          </w:p>
        </w:tc>
        <w:tc>
          <w:tcPr>
            <w:tcW w:w="5360" w:type="dxa"/>
            <w:vAlign w:val="bottom"/>
            <w:tcBorders>
              <w:bottom w:val="single" w:sz="8" w:color="0000EE"/>
            </w:tcBorders>
            <w:gridSpan w:val="8"/>
          </w:tcPr>
          <w:p>
            <w:pPr>
              <w:spacing w:after="0"/>
              <w:rPr>
                <w:rFonts w:ascii="Arial" w:cs="Arial" w:eastAsia="Arial" w:hAnsi="Arial"/>
                <w:sz w:val="18"/>
                <w:szCs w:val="18"/>
                <w:color w:val="0000EE"/>
                <w:w w:val="94"/>
              </w:rPr>
            </w:pPr>
            <w:hyperlink r:id="rId126">
              <w:r>
                <w:rPr>
                  <w:rFonts w:ascii="Arial" w:cs="Arial" w:eastAsia="Arial" w:hAnsi="Arial"/>
                  <w:sz w:val="18"/>
                  <w:szCs w:val="18"/>
                  <w:color w:val="0000EE"/>
                  <w:w w:val="94"/>
                </w:rPr>
                <w:t>LLC Purchase Agreement by and among Aptevo Therapeutics Inc. and</w:t>
              </w:r>
            </w:hyperlink>
          </w:p>
        </w:tc>
        <w:tc>
          <w:tcPr>
            <w:tcW w:w="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4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Medexus Pharma, Inc. dated February 28, 2020.</w:t>
              </w:r>
            </w:hyperlink>
          </w:p>
        </w:tc>
        <w:tc>
          <w:tcPr>
            <w:tcW w:w="19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tcPr>
          <w:p>
            <w:pPr>
              <w:jc w:val="right"/>
              <w:ind w:right="490"/>
              <w:spacing w:after="0"/>
              <w:rPr>
                <w:sz w:val="20"/>
                <w:szCs w:val="20"/>
                <w:color w:val="auto"/>
              </w:rPr>
            </w:pPr>
            <w:r>
              <w:rPr>
                <w:rFonts w:ascii="Arial" w:cs="Arial" w:eastAsia="Arial" w:hAnsi="Arial"/>
                <w:sz w:val="18"/>
                <w:szCs w:val="18"/>
                <w:color w:val="auto"/>
              </w:rPr>
              <w:t>3.1</w:t>
            </w:r>
          </w:p>
        </w:tc>
        <w:tc>
          <w:tcPr>
            <w:tcW w:w="5940" w:type="dxa"/>
            <w:vAlign w:val="bottom"/>
            <w:gridSpan w:val="10"/>
          </w:tcPr>
          <w:p>
            <w:pPr>
              <w:spacing w:after="0"/>
              <w:rPr>
                <w:rFonts w:ascii="Arial" w:cs="Arial" w:eastAsia="Arial" w:hAnsi="Arial"/>
                <w:sz w:val="18"/>
                <w:szCs w:val="18"/>
                <w:color w:val="0000EE"/>
              </w:rPr>
            </w:pPr>
            <w:hyperlink r:id="rId127">
              <w:r>
                <w:rPr>
                  <w:rFonts w:ascii="Arial" w:cs="Arial" w:eastAsia="Arial" w:hAnsi="Arial"/>
                  <w:sz w:val="18"/>
                  <w:szCs w:val="18"/>
                  <w:color w:val="0000EE"/>
                </w:rPr>
                <w:t xml:space="preserve">Amended  and  Restated  Certificate  of  Incorporation  of  Aptevo  </w:t>
              </w:r>
            </w:hyperlink>
            <w:r>
              <w:rPr>
                <w:rFonts w:ascii="Arial" w:cs="Arial" w:eastAsia="Arial" w:hAnsi="Arial"/>
                <w:sz w:val="18"/>
                <w:szCs w:val="18"/>
                <w:color w:val="000000"/>
              </w:rPr>
              <w:t>8-K</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Therapeutics Inc.</w:t>
              </w:r>
            </w:hyperlink>
          </w:p>
        </w:tc>
        <w:tc>
          <w:tcPr>
            <w:tcW w:w="408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80" w:type="dxa"/>
            <w:vAlign w:val="bottom"/>
          </w:tcPr>
          <w:p>
            <w:pPr>
              <w:jc w:val="right"/>
              <w:ind w:right="490"/>
              <w:spacing w:after="0"/>
              <w:rPr>
                <w:sz w:val="20"/>
                <w:szCs w:val="20"/>
                <w:color w:val="auto"/>
              </w:rPr>
            </w:pPr>
            <w:r>
              <w:rPr>
                <w:rFonts w:ascii="Arial" w:cs="Arial" w:eastAsia="Arial" w:hAnsi="Arial"/>
                <w:sz w:val="18"/>
                <w:szCs w:val="18"/>
                <w:color w:val="auto"/>
              </w:rPr>
              <w:t>3.2</w:t>
            </w:r>
          </w:p>
        </w:tc>
        <w:tc>
          <w:tcPr>
            <w:tcW w:w="5380" w:type="dxa"/>
            <w:vAlign w:val="bottom"/>
            <w:gridSpan w:val="9"/>
          </w:tcPr>
          <w:p>
            <w:pPr>
              <w:spacing w:after="0"/>
              <w:rPr>
                <w:rFonts w:ascii="Arial" w:cs="Arial" w:eastAsia="Arial" w:hAnsi="Arial"/>
                <w:sz w:val="18"/>
                <w:szCs w:val="18"/>
                <w:color w:val="0000EE"/>
              </w:rPr>
            </w:pPr>
            <w:hyperlink r:id="rId128">
              <w:r>
                <w:rPr>
                  <w:rFonts w:ascii="Arial" w:cs="Arial" w:eastAsia="Arial" w:hAnsi="Arial"/>
                  <w:sz w:val="18"/>
                  <w:szCs w:val="18"/>
                  <w:color w:val="0000EE"/>
                </w:rPr>
                <w:t>Amended and Restated Bylaws of Aptevo Therapeutics Inc.</w:t>
              </w:r>
            </w:hyperlink>
          </w:p>
        </w:tc>
        <w:tc>
          <w:tcPr>
            <w:tcW w:w="560" w:type="dxa"/>
            <w:vAlign w:val="bottom"/>
          </w:tcPr>
          <w:p>
            <w:pPr>
              <w:ind w:left="100"/>
              <w:spacing w:after="0"/>
              <w:rPr>
                <w:sz w:val="20"/>
                <w:szCs w:val="20"/>
                <w:color w:val="auto"/>
              </w:rPr>
            </w:pPr>
            <w:r>
              <w:rPr>
                <w:rFonts w:ascii="Arial" w:cs="Arial" w:eastAsia="Arial" w:hAnsi="Arial"/>
                <w:sz w:val="18"/>
                <w:szCs w:val="18"/>
                <w:color w:val="auto"/>
              </w:rPr>
              <w:t>8-K</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Arial" w:cs="Arial" w:eastAsia="Arial" w:hAnsi="Arial"/>
                <w:sz w:val="18"/>
                <w:szCs w:val="18"/>
                <w:color w:val="auto"/>
              </w:rPr>
              <w:t>8-K</w:t>
            </w: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color w:val="auto"/>
              </w:rPr>
              <w:t>3.1</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March 27, 2020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5"/>
        </w:trPr>
        <w:tc>
          <w:tcPr>
            <w:tcW w:w="980" w:type="dxa"/>
            <w:vAlign w:val="bottom"/>
          </w:tcPr>
          <w:p>
            <w:pPr>
              <w:jc w:val="right"/>
              <w:ind w:right="490"/>
              <w:spacing w:after="0"/>
              <w:rPr>
                <w:sz w:val="20"/>
                <w:szCs w:val="20"/>
                <w:color w:val="auto"/>
              </w:rPr>
            </w:pPr>
            <w:r>
              <w:rPr>
                <w:rFonts w:ascii="Arial" w:cs="Arial" w:eastAsia="Arial" w:hAnsi="Arial"/>
                <w:sz w:val="18"/>
                <w:szCs w:val="18"/>
                <w:color w:val="auto"/>
              </w:rPr>
              <w:t>3.3</w:t>
            </w:r>
          </w:p>
        </w:tc>
        <w:tc>
          <w:tcPr>
            <w:tcW w:w="5320" w:type="dxa"/>
            <w:vAlign w:val="bottom"/>
            <w:tcBorders>
              <w:bottom w:val="single" w:sz="8" w:color="0000EE"/>
            </w:tcBorders>
            <w:gridSpan w:val="6"/>
          </w:tcPr>
          <w:p>
            <w:pPr>
              <w:spacing w:after="0"/>
              <w:rPr>
                <w:rFonts w:ascii="Arial" w:cs="Arial" w:eastAsia="Arial" w:hAnsi="Arial"/>
                <w:sz w:val="18"/>
                <w:szCs w:val="18"/>
                <w:color w:val="0000EE"/>
              </w:rPr>
            </w:pPr>
            <w:hyperlink r:id="rId129">
              <w:r>
                <w:rPr>
                  <w:rFonts w:ascii="Arial" w:cs="Arial" w:eastAsia="Arial" w:hAnsi="Arial"/>
                  <w:sz w:val="18"/>
                  <w:szCs w:val="18"/>
                  <w:color w:val="0000EE"/>
                </w:rPr>
                <w:t>Certificate of Amendment of Amended and Restated Certificate of</w:t>
              </w:r>
            </w:hyperlink>
          </w:p>
        </w:tc>
        <w:tc>
          <w:tcPr>
            <w:tcW w:w="60" w:type="dxa"/>
            <w:vAlign w:val="bottom"/>
            <w:gridSpan w:val="3"/>
          </w:tcPr>
          <w:p>
            <w:pPr>
              <w:spacing w:after="0"/>
              <w:rPr>
                <w:sz w:val="24"/>
                <w:szCs w:val="24"/>
                <w:color w:val="auto"/>
              </w:rPr>
            </w:pPr>
          </w:p>
        </w:tc>
        <w:tc>
          <w:tcPr>
            <w:tcW w:w="56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0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Incorporation of Aptevo Therapeutics Inc.</w:t>
              </w:r>
            </w:hyperlink>
          </w:p>
        </w:tc>
        <w:tc>
          <w:tcPr>
            <w:tcW w:w="232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320" w:top="337" w:right="339" w:bottom="1440" w:gutter="0" w:footer="0" w:header="0"/>
          <w:type w:val="continuous"/>
        </w:sectPr>
      </w:pPr>
    </w:p>
    <w:p>
      <w:pPr>
        <w:spacing w:after="0" w:line="13" w:lineRule="exact"/>
        <w:rPr>
          <w:sz w:val="20"/>
          <w:szCs w:val="20"/>
          <w:color w:val="auto"/>
        </w:rPr>
      </w:pPr>
    </w:p>
    <w:p>
      <w:pPr>
        <w:ind w:left="1080" w:hanging="80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130">
        <w:r>
          <w:rPr>
            <w:rFonts w:ascii="Arial" w:cs="Arial" w:eastAsia="Arial" w:hAnsi="Arial"/>
            <w:sz w:val="18"/>
            <w:szCs w:val="18"/>
            <w:u w:val="single" w:color="auto"/>
            <w:color w:val="0000EE"/>
          </w:rPr>
          <w:t>Certificate of Designation of Series A Junior Participating Preferred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Stock of Aptevo Therapeutics Inc.</w:t>
        </w:r>
      </w:hyperlink>
    </w:p>
    <w:p>
      <w:pPr>
        <w:spacing w:after="0" w:line="103"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3.5</w:t>
      </w:r>
      <w:r>
        <w:rPr>
          <w:sz w:val="20"/>
          <w:szCs w:val="20"/>
          <w:color w:val="auto"/>
        </w:rPr>
        <w:tab/>
      </w:r>
      <w:hyperlink r:id="rId131">
        <w:r>
          <w:rPr>
            <w:rFonts w:ascii="Arial" w:cs="Arial" w:eastAsia="Arial" w:hAnsi="Arial"/>
            <w:sz w:val="16"/>
            <w:szCs w:val="16"/>
            <w:u w:val="single" w:color="auto"/>
            <w:color w:val="0000EE"/>
          </w:rPr>
          <w:t>Amended and Restated Bylaws of Aptevo Therapeutics Inc.</w:t>
        </w:r>
      </w:hyperlink>
    </w:p>
    <w:p>
      <w:pPr>
        <w:spacing w:after="0" w:line="158"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32">
        <w:r>
          <w:rPr>
            <w:rFonts w:ascii="Arial" w:cs="Arial" w:eastAsia="Arial" w:hAnsi="Arial"/>
            <w:sz w:val="16"/>
            <w:szCs w:val="16"/>
            <w:u w:val="single" w:color="auto"/>
            <w:color w:val="0000EE"/>
          </w:rPr>
          <w:t>Form of Common Stock Certificate</w:t>
        </w:r>
      </w:hyperlink>
    </w:p>
    <w:p>
      <w:pPr>
        <w:spacing w:after="0" w:line="158" w:lineRule="exact"/>
        <w:rPr>
          <w:sz w:val="20"/>
          <w:szCs w:val="20"/>
          <w:color w:val="auto"/>
        </w:rPr>
      </w:pPr>
    </w:p>
    <w:p>
      <w:pPr>
        <w:ind w:left="1080" w:hanging="809"/>
        <w:spacing w:after="0" w:line="308"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133">
        <w:r>
          <w:rPr>
            <w:rFonts w:ascii="Arial" w:cs="Arial" w:eastAsia="Arial" w:hAnsi="Arial"/>
            <w:sz w:val="17"/>
            <w:szCs w:val="17"/>
            <w:u w:val="single" w:color="auto"/>
            <w:color w:val="0000EE"/>
          </w:rPr>
          <w:t>Registration Rights Agreement, dated as of August 1, 2016, by and among</w:t>
        </w:r>
      </w:hyperlink>
      <w:r>
        <w:rPr>
          <w:rFonts w:ascii="Arial" w:cs="Arial" w:eastAsia="Arial" w:hAnsi="Arial"/>
          <w:sz w:val="17"/>
          <w:szCs w:val="17"/>
          <w:u w:val="single" w:color="auto"/>
          <w:color w:val="0000EE"/>
        </w:rPr>
        <w:t xml:space="preserve"> </w:t>
      </w:r>
      <w:hyperlink r:id="rId133">
        <w:r>
          <w:rPr>
            <w:rFonts w:ascii="Arial" w:cs="Arial" w:eastAsia="Arial" w:hAnsi="Arial"/>
            <w:sz w:val="17"/>
            <w:szCs w:val="17"/>
            <w:u w:val="single" w:color="auto"/>
            <w:color w:val="0000EE"/>
          </w:rPr>
          <w:t>Aptevo Therapeutics Inc. and certain of its stockholders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November 9, 2020</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6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November 30, 2020</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460" w:type="dxa"/>
            <w:vAlign w:val="bottom"/>
          </w:tcPr>
          <w:p>
            <w:pPr>
              <w:jc w:val="center"/>
              <w:ind w:right="110"/>
              <w:spacing w:after="0"/>
              <w:rPr>
                <w:sz w:val="20"/>
                <w:szCs w:val="20"/>
                <w:color w:val="auto"/>
              </w:rPr>
            </w:pPr>
            <w:r>
              <w:rPr>
                <w:rFonts w:ascii="Arial" w:cs="Arial" w:eastAsia="Arial" w:hAnsi="Arial"/>
                <w:sz w:val="18"/>
                <w:szCs w:val="18"/>
                <w:color w:val="auto"/>
                <w:w w:val="89"/>
              </w:rPr>
              <w:t>10</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46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9" w:lineRule="exact"/>
        <w:rPr>
          <w:sz w:val="20"/>
          <w:szCs w:val="20"/>
          <w:color w:val="auto"/>
        </w:rPr>
      </w:pPr>
    </w:p>
    <w:p>
      <w:pPr>
        <w:sectPr>
          <w:pgSz w:w="11900" w:h="16838" w:orient="portrait"/>
          <w:cols w:equalWidth="0" w:num="2">
            <w:col w:w="6400" w:space="160"/>
            <w:col w:w="4680"/>
          </w:cols>
          <w:pgMar w:left="320" w:top="337" w:right="339" w:bottom="1440" w:gutter="0" w:footer="0" w:header="0"/>
          <w:type w:val="continuous"/>
        </w:sectPr>
      </w:pPr>
    </w:p>
    <w:p>
      <w:pPr>
        <w:spacing w:after="0" w:line="14" w:lineRule="exact"/>
        <w:rPr>
          <w:sz w:val="20"/>
          <w:szCs w:val="20"/>
          <w:color w:val="auto"/>
        </w:rPr>
      </w:pPr>
    </w:p>
    <w:p>
      <w:pPr>
        <w:jc w:val="both"/>
        <w:ind w:left="1080" w:hanging="809"/>
        <w:spacing w:after="0" w:line="342" w:lineRule="auto"/>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34">
        <w:r>
          <w:rPr>
            <w:rFonts w:ascii="Arial" w:cs="Arial" w:eastAsia="Arial" w:hAnsi="Arial"/>
            <w:sz w:val="16"/>
            <w:szCs w:val="16"/>
            <w:u w:val="single" w:color="auto"/>
            <w:color w:val="0000EE"/>
          </w:rPr>
          <w:t>Registration Rights Agreement, dated December 20, 2018, by and</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between Aptevo Therapeutics Inc. and Lincoln Park Capital Fund, LLC.</w:t>
        </w:r>
      </w:hyperlink>
    </w:p>
    <w:p>
      <w:pPr>
        <w:spacing w:after="0" w:line="56" w:lineRule="exact"/>
        <w:rPr>
          <w:sz w:val="20"/>
          <w:szCs w:val="20"/>
          <w:color w:val="auto"/>
        </w:rPr>
      </w:pPr>
    </w:p>
    <w:p>
      <w:pPr>
        <w:jc w:val="both"/>
        <w:ind w:left="1080" w:hanging="809"/>
        <w:spacing w:after="0" w:line="263"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35">
        <w:r>
          <w:rPr>
            <w:rFonts w:ascii="Arial" w:cs="Arial" w:eastAsia="Arial" w:hAnsi="Arial"/>
            <w:sz w:val="18"/>
            <w:szCs w:val="18"/>
            <w:u w:val="single" w:color="auto"/>
            <w:color w:val="0000EE"/>
          </w:rPr>
          <w:t>Rights Agreement, dated as of November 8, 2020, by and between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Aptevo Therapeutics Inc. and Broadridge Corporate Issuer Solutions,</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Inc., as rights agent</w:t>
        </w:r>
      </w:hyperlink>
    </w:p>
    <w:p>
      <w:pPr>
        <w:spacing w:after="0" w:line="116" w:lineRule="exact"/>
        <w:rPr>
          <w:rFonts w:ascii="Arial" w:cs="Arial" w:eastAsia="Arial" w:hAnsi="Arial"/>
          <w:sz w:val="18"/>
          <w:szCs w:val="18"/>
          <w:u w:val="single" w:color="auto"/>
          <w:color w:val="0000EE"/>
        </w:rPr>
      </w:pPr>
    </w:p>
    <w:p>
      <w:pPr>
        <w:ind w:left="2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w:anchor="page100">
        <w:r>
          <w:rPr>
            <w:rFonts w:ascii="Arial" w:cs="Arial" w:eastAsia="Arial" w:hAnsi="Arial"/>
            <w:sz w:val="16"/>
            <w:szCs w:val="16"/>
            <w:u w:val="single" w:color="auto"/>
            <w:color w:val="0000EE"/>
          </w:rPr>
          <w:t>Description of Capital Stock of Aptevo Therapeutics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December 24,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November 9, 2020</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200" w:lineRule="exact"/>
        <w:rPr>
          <w:rFonts w:ascii="Arial" w:cs="Arial" w:eastAsia="Arial" w:hAnsi="Arial"/>
          <w:sz w:val="18"/>
          <w:szCs w:val="18"/>
          <w:u w:val="single" w:color="auto"/>
          <w:color w:val="0000EE"/>
        </w:rPr>
      </w:pPr>
    </w:p>
    <w:p>
      <w:pPr>
        <w:spacing w:after="0" w:line="366" w:lineRule="exact"/>
        <w:rPr>
          <w:rFonts w:ascii="Arial" w:cs="Arial" w:eastAsia="Arial" w:hAnsi="Arial"/>
          <w:sz w:val="18"/>
          <w:szCs w:val="18"/>
          <w:u w:val="single" w:color="auto"/>
          <w:color w:val="0000EE"/>
        </w:rPr>
      </w:pPr>
    </w:p>
    <w:p>
      <w:pPr>
        <w:jc w:val="right"/>
        <w:ind w:right="320"/>
        <w:spacing w:after="0"/>
        <w:rPr>
          <w:sz w:val="20"/>
          <w:szCs w:val="20"/>
          <w:color w:val="auto"/>
        </w:rPr>
      </w:pPr>
      <w:r>
        <w:rPr>
          <w:rFonts w:ascii="Arial" w:cs="Arial" w:eastAsia="Arial" w:hAnsi="Arial"/>
          <w:sz w:val="18"/>
          <w:szCs w:val="18"/>
          <w:color w:val="auto"/>
        </w:rPr>
        <w:t>X</w:t>
      </w:r>
    </w:p>
    <w:p>
      <w:pPr>
        <w:spacing w:after="0" w:line="213" w:lineRule="exact"/>
        <w:rPr>
          <w:rFonts w:ascii="Arial" w:cs="Arial" w:eastAsia="Arial" w:hAnsi="Arial"/>
          <w:sz w:val="18"/>
          <w:szCs w:val="18"/>
          <w:u w:val="single" w:color="auto"/>
          <w:color w:val="0000EE"/>
        </w:rPr>
      </w:pPr>
    </w:p>
    <w:p>
      <w:pPr>
        <w:sectPr>
          <w:pgSz w:w="11900" w:h="16838" w:orient="portrait"/>
          <w:cols w:equalWidth="0" w:num="2">
            <w:col w:w="6400" w:space="160"/>
            <w:col w:w="4680"/>
          </w:cols>
          <w:pgMar w:left="320" w:top="337" w:right="339" w:bottom="1440" w:gutter="0" w:footer="0" w:header="0"/>
          <w:type w:val="continuous"/>
        </w:sectPr>
      </w:pPr>
    </w:p>
    <w:p>
      <w:pPr>
        <w:spacing w:after="0" w:line="160"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42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4240" w:type="dxa"/>
            <w:vAlign w:val="bottom"/>
            <w:tcBorders>
              <w:bottom w:val="single" w:sz="8" w:color="auto"/>
            </w:tcBorders>
            <w:vMerge w:val="continue"/>
          </w:tcPr>
          <w:p>
            <w:pPr>
              <w:spacing w:after="0"/>
              <w:rPr>
                <w:sz w:val="14"/>
                <w:szCs w:val="14"/>
                <w:color w:val="auto"/>
              </w:rPr>
            </w:pPr>
          </w:p>
        </w:tc>
        <w:tc>
          <w:tcPr>
            <w:tcW w:w="252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334" w:right="339" w:bottom="1440" w:gutter="0" w:footer="0" w:header="0"/>
        </w:sectPr>
      </w:pPr>
    </w:p>
    <w:p>
      <w:pPr>
        <w:spacing w:after="0" w:line="13" w:lineRule="exact"/>
        <w:rPr>
          <w:sz w:val="20"/>
          <w:szCs w:val="20"/>
          <w:color w:val="auto"/>
        </w:rPr>
      </w:pPr>
    </w:p>
    <w:p>
      <w:pPr>
        <w:ind w:left="1080" w:hanging="89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37">
        <w:r>
          <w:rPr>
            <w:rFonts w:ascii="Arial" w:cs="Arial" w:eastAsia="Arial" w:hAnsi="Arial"/>
            <w:sz w:val="18"/>
            <w:szCs w:val="18"/>
            <w:u w:val="single" w:color="auto"/>
            <w:color w:val="0000EE"/>
          </w:rPr>
          <w:t>Transition Services Agreement, dated July 29, 2016, by and between</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Emergent BioSolutions Inc. and Aptevo Therapeutics Inc.</w:t>
        </w:r>
      </w:hyperlink>
    </w:p>
    <w:p>
      <w:pPr>
        <w:spacing w:after="0" w:line="103" w:lineRule="exact"/>
        <w:rPr>
          <w:sz w:val="20"/>
          <w:szCs w:val="20"/>
          <w:color w:val="auto"/>
        </w:rPr>
      </w:pPr>
    </w:p>
    <w:p>
      <w:pPr>
        <w:ind w:left="1080" w:hanging="89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38">
        <w:r>
          <w:rPr>
            <w:rFonts w:ascii="Arial" w:cs="Arial" w:eastAsia="Arial" w:hAnsi="Arial"/>
            <w:sz w:val="18"/>
            <w:szCs w:val="18"/>
            <w:u w:val="single" w:color="auto"/>
            <w:color w:val="0000EE"/>
          </w:rPr>
          <w:t>Tax Matters Agreement, dated July 29, 2016, by and between Emergent</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BioSolutions Inc. and Aptevo Therapeutics Inc.</w:t>
        </w:r>
      </w:hyperlink>
    </w:p>
    <w:p>
      <w:pPr>
        <w:spacing w:after="0" w:line="103" w:lineRule="exact"/>
        <w:rPr>
          <w:sz w:val="20"/>
          <w:szCs w:val="20"/>
          <w:color w:val="auto"/>
        </w:rPr>
      </w:pPr>
    </w:p>
    <w:p>
      <w:pPr>
        <w:ind w:left="1080" w:hanging="89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39">
        <w:r>
          <w:rPr>
            <w:rFonts w:ascii="Arial" w:cs="Arial" w:eastAsia="Arial" w:hAnsi="Arial"/>
            <w:sz w:val="18"/>
            <w:szCs w:val="18"/>
            <w:u w:val="single" w:color="auto"/>
            <w:color w:val="0000EE"/>
          </w:rPr>
          <w:t>Product License Agreement, dated July 29, 2016, by and between</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Emergent BioSolutions Inc. and Aptevo Therapeutics Inc.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560" w:type="dxa"/>
            <w:vAlign w:val="bottom"/>
          </w:tcPr>
          <w:p>
            <w:pPr>
              <w:ind w:left="22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1"/>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1560" w:type="dxa"/>
            <w:vAlign w:val="bottom"/>
          </w:tcPr>
          <w:p>
            <w:pPr>
              <w:ind w:left="22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1560" w:type="dxa"/>
            <w:vAlign w:val="bottom"/>
          </w:tcPr>
          <w:p>
            <w:pPr>
              <w:ind w:left="220"/>
              <w:spacing w:after="0"/>
              <w:rPr>
                <w:sz w:val="20"/>
                <w:szCs w:val="20"/>
                <w:color w:val="auto"/>
              </w:rPr>
            </w:pPr>
            <w:r>
              <w:rPr>
                <w:rFonts w:ascii="Arial" w:cs="Arial" w:eastAsia="Arial" w:hAnsi="Arial"/>
                <w:sz w:val="18"/>
                <w:szCs w:val="18"/>
                <w:color w:val="auto"/>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2">
            <w:col w:w="6400" w:space="160"/>
            <w:col w:w="4680"/>
          </w:cols>
          <w:pgMar w:left="320" w:top="33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C 10.4</w:t>
            </w:r>
          </w:p>
        </w:tc>
        <w:tc>
          <w:tcPr>
            <w:tcW w:w="5960" w:type="dxa"/>
            <w:vAlign w:val="bottom"/>
            <w:gridSpan w:val="3"/>
          </w:tcPr>
          <w:p>
            <w:pPr>
              <w:spacing w:after="0"/>
              <w:rPr>
                <w:rFonts w:ascii="Arial" w:cs="Arial" w:eastAsia="Arial" w:hAnsi="Arial"/>
                <w:sz w:val="18"/>
                <w:szCs w:val="18"/>
                <w:color w:val="0000EE"/>
                <w:w w:val="97"/>
              </w:rPr>
            </w:pPr>
            <w:hyperlink r:id="rId140">
              <w:r>
                <w:rPr>
                  <w:rFonts w:ascii="Arial" w:cs="Arial" w:eastAsia="Arial" w:hAnsi="Arial"/>
                  <w:sz w:val="18"/>
                  <w:szCs w:val="18"/>
                  <w:color w:val="0000EE"/>
                  <w:w w:val="97"/>
                </w:rPr>
                <w:t xml:space="preserve">Aptevo Therapeutics Inc. Amended and Restated 2016 Stock Incentive </w:t>
              </w:r>
            </w:hyperlink>
            <w:r>
              <w:rPr>
                <w:rFonts w:ascii="Arial" w:cs="Arial" w:eastAsia="Arial" w:hAnsi="Arial"/>
                <w:sz w:val="18"/>
                <w:szCs w:val="18"/>
                <w:color w:val="000000"/>
                <w:w w:val="97"/>
              </w:rPr>
              <w:t>10-Q</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640" w:type="dxa"/>
            <w:vAlign w:val="bottom"/>
          </w:tcPr>
          <w:p>
            <w:pPr>
              <w:ind w:left="240"/>
              <w:spacing w:after="0"/>
              <w:rPr>
                <w:sz w:val="20"/>
                <w:szCs w:val="20"/>
                <w:color w:val="auto"/>
              </w:rPr>
            </w:pPr>
            <w:r>
              <w:rPr>
                <w:rFonts w:ascii="Arial" w:cs="Arial" w:eastAsia="Arial" w:hAnsi="Arial"/>
                <w:sz w:val="18"/>
                <w:szCs w:val="18"/>
                <w:color w:val="auto"/>
              </w:rPr>
              <w:t>August 10, 2017</w:t>
            </w:r>
          </w:p>
        </w:tc>
        <w:tc>
          <w:tcPr>
            <w:tcW w:w="98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196"/>
        </w:trPr>
        <w:tc>
          <w:tcPr>
            <w:tcW w:w="108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40">
              <w:r>
                <w:rPr>
                  <w:rFonts w:ascii="Arial" w:cs="Arial" w:eastAsia="Arial" w:hAnsi="Arial"/>
                  <w:sz w:val="18"/>
                  <w:szCs w:val="18"/>
                  <w:color w:val="0000EE"/>
                  <w:w w:val="87"/>
                </w:rPr>
                <w:t>Plan.</w:t>
              </w:r>
            </w:hyperlink>
          </w:p>
        </w:tc>
        <w:tc>
          <w:tcPr>
            <w:tcW w:w="49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144" w:lineRule="exact"/>
        <w:rPr>
          <w:sz w:val="20"/>
          <w:szCs w:val="20"/>
          <w:color w:val="auto"/>
        </w:rPr>
      </w:pPr>
    </w:p>
    <w:p>
      <w:pPr>
        <w:sectPr>
          <w:pgSz w:w="11900" w:h="16838" w:orient="portrait"/>
          <w:cols w:equalWidth="0" w:num="1">
            <w:col w:w="11240"/>
          </w:cols>
          <w:pgMar w:left="320" w:top="33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C 10.5</w:t>
            </w:r>
          </w:p>
        </w:tc>
        <w:tc>
          <w:tcPr>
            <w:tcW w:w="4820" w:type="dxa"/>
            <w:vAlign w:val="bottom"/>
            <w:tcBorders>
              <w:bottom w:val="single" w:sz="8" w:color="0000EE"/>
            </w:tcBorders>
            <w:gridSpan w:val="3"/>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Aptevo Therapeutics Inc. Converted Equity Awards Incentive Plan</w:t>
              </w:r>
            </w:hyperlink>
          </w:p>
        </w:tc>
        <w:tc>
          <w:tcPr>
            <w:tcW w:w="500" w:type="dxa"/>
            <w:vAlign w:val="bottom"/>
          </w:tcPr>
          <w:p>
            <w:pPr>
              <w:spacing w:after="0"/>
              <w:rPr>
                <w:sz w:val="17"/>
                <w:szCs w:val="17"/>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C 10.6</w:t>
            </w:r>
          </w:p>
        </w:tc>
        <w:tc>
          <w:tcPr>
            <w:tcW w:w="4480" w:type="dxa"/>
            <w:vAlign w:val="bottom"/>
            <w:tcBorders>
              <w:bottom w:val="single" w:sz="8" w:color="0000EE"/>
            </w:tcBorders>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Aptevo Therapeutics Inc. Senior Management Severance Plan</w:t>
              </w:r>
            </w:hyperlink>
          </w:p>
        </w:tc>
        <w:tc>
          <w:tcPr>
            <w:tcW w:w="840" w:type="dxa"/>
            <w:vAlign w:val="bottom"/>
            <w:gridSpan w:val="3"/>
          </w:tcPr>
          <w:p>
            <w:pPr>
              <w:spacing w:after="0"/>
              <w:rPr>
                <w:sz w:val="24"/>
                <w:szCs w:val="24"/>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C 10.7</w:t>
            </w:r>
          </w:p>
        </w:tc>
        <w:tc>
          <w:tcPr>
            <w:tcW w:w="4540" w:type="dxa"/>
            <w:vAlign w:val="bottom"/>
            <w:tcBorders>
              <w:bottom w:val="single" w:sz="8" w:color="0000EE"/>
            </w:tcBorders>
            <w:gridSpan w:val="2"/>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Form of Indemnity Agreement for directors and senior officers</w:t>
              </w:r>
            </w:hyperlink>
          </w:p>
        </w:tc>
        <w:tc>
          <w:tcPr>
            <w:tcW w:w="780" w:type="dxa"/>
            <w:vAlign w:val="bottom"/>
            <w:gridSpan w:val="2"/>
          </w:tcPr>
          <w:p>
            <w:pPr>
              <w:spacing w:after="0"/>
              <w:rPr>
                <w:sz w:val="24"/>
                <w:szCs w:val="24"/>
                <w:color w:val="auto"/>
              </w:rPr>
            </w:pPr>
          </w:p>
        </w:tc>
      </w:tr>
      <w:tr>
        <w:trPr>
          <w:trHeight w:val="344"/>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10.8</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9"/>
              </w:rPr>
            </w:pPr>
            <w:hyperlink r:id="rId144">
              <w:r>
                <w:rPr>
                  <w:rFonts w:ascii="Arial" w:cs="Arial" w:eastAsia="Arial" w:hAnsi="Arial"/>
                  <w:sz w:val="18"/>
                  <w:szCs w:val="18"/>
                  <w:color w:val="0000EE"/>
                  <w:w w:val="99"/>
                </w:rPr>
                <w:t>Fourth and Battery Office Lease, dated as of April 28, 2003, by and</w:t>
              </w:r>
            </w:hyperlink>
          </w:p>
        </w:tc>
      </w:tr>
      <w:tr>
        <w:trPr>
          <w:trHeight w:val="196"/>
        </w:trPr>
        <w:tc>
          <w:tcPr>
            <w:tcW w:w="108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between Emergent Product Development Seattle, LLC (as successor-in-</w:t>
              </w:r>
            </w:hyperlink>
          </w:p>
        </w:tc>
      </w:tr>
      <w:tr>
        <w:trPr>
          <w:trHeight w:val="196"/>
        </w:trPr>
        <w:tc>
          <w:tcPr>
            <w:tcW w:w="108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interest to Trubion Pharmaceuticals, Inc. and Genecraft, Inc.) and Selig</w:t>
              </w:r>
            </w:hyperlink>
          </w:p>
        </w:tc>
      </w:tr>
      <w:tr>
        <w:trPr>
          <w:trHeight w:val="196"/>
        </w:trPr>
        <w:tc>
          <w:tcPr>
            <w:tcW w:w="1080" w:type="dxa"/>
            <w:vAlign w:val="bottom"/>
          </w:tcPr>
          <w:p>
            <w:pPr>
              <w:spacing w:after="0"/>
              <w:rPr>
                <w:sz w:val="17"/>
                <w:szCs w:val="17"/>
                <w:color w:val="auto"/>
              </w:rPr>
            </w:pPr>
          </w:p>
        </w:tc>
        <w:tc>
          <w:tcPr>
            <w:tcW w:w="45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Real Estate Holdings Eight L.L.C. , or the Seattle Office Lease</w:t>
              </w:r>
            </w:hyperlink>
          </w:p>
        </w:tc>
        <w:tc>
          <w:tcPr>
            <w:tcW w:w="78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4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400" w:type="dxa"/>
            <w:vAlign w:val="bottom"/>
          </w:tcPr>
          <w:p>
            <w:pPr>
              <w:jc w:val="center"/>
              <w:ind w:right="50"/>
              <w:spacing w:after="0"/>
              <w:rPr>
                <w:sz w:val="20"/>
                <w:szCs w:val="20"/>
                <w:color w:val="auto"/>
              </w:rPr>
            </w:pPr>
            <w:r>
              <w:rPr>
                <w:rFonts w:ascii="Arial" w:cs="Arial" w:eastAsia="Arial" w:hAnsi="Arial"/>
                <w:sz w:val="18"/>
                <w:szCs w:val="18"/>
                <w:color w:val="auto"/>
                <w:w w:val="89"/>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400" w:type="dxa"/>
            <w:vAlign w:val="bottom"/>
          </w:tcPr>
          <w:p>
            <w:pPr>
              <w:jc w:val="center"/>
              <w:ind w:right="50"/>
              <w:spacing w:after="0"/>
              <w:rPr>
                <w:sz w:val="20"/>
                <w:szCs w:val="20"/>
                <w:color w:val="auto"/>
              </w:rPr>
            </w:pPr>
            <w:r>
              <w:rPr>
                <w:rFonts w:ascii="Arial" w:cs="Arial" w:eastAsia="Arial" w:hAnsi="Arial"/>
                <w:sz w:val="18"/>
                <w:szCs w:val="18"/>
                <w:color w:val="auto"/>
                <w:w w:val="89"/>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778" w:lineRule="exact"/>
        <w:rPr>
          <w:sz w:val="20"/>
          <w:szCs w:val="20"/>
          <w:color w:val="auto"/>
        </w:rPr>
      </w:pPr>
    </w:p>
    <w:p>
      <w:pPr>
        <w:sectPr>
          <w:pgSz w:w="11900" w:h="16838" w:orient="portrait"/>
          <w:cols w:equalWidth="0" w:num="2">
            <w:col w:w="6400" w:space="160"/>
            <w:col w:w="4680"/>
          </w:cols>
          <w:pgMar w:left="320" w:top="334" w:right="3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Arial" w:cs="Arial" w:eastAsia="Arial" w:hAnsi="Arial"/>
                <w:sz w:val="18"/>
                <w:szCs w:val="18"/>
                <w:color w:val="auto"/>
              </w:rPr>
              <w:t>10.9</w:t>
            </w:r>
          </w:p>
        </w:tc>
        <w:tc>
          <w:tcPr>
            <w:tcW w:w="4160" w:type="dxa"/>
            <w:vAlign w:val="bottom"/>
            <w:tcBorders>
              <w:bottom w:val="single" w:sz="8" w:color="0000EE"/>
            </w:tcBorders>
            <w:gridSpan w:val="3"/>
          </w:tcPr>
          <w:p>
            <w:pPr>
              <w:spacing w:after="0"/>
              <w:rPr>
                <w:rFonts w:ascii="Arial" w:cs="Arial" w:eastAsia="Arial" w:hAnsi="Arial"/>
                <w:sz w:val="18"/>
                <w:szCs w:val="18"/>
                <w:color w:val="0000EE"/>
                <w:w w:val="87"/>
              </w:rPr>
            </w:pPr>
            <w:hyperlink r:id="rId145">
              <w:r>
                <w:rPr>
                  <w:rFonts w:ascii="Arial" w:cs="Arial" w:eastAsia="Arial" w:hAnsi="Arial"/>
                  <w:sz w:val="18"/>
                  <w:szCs w:val="18"/>
                  <w:color w:val="0000EE"/>
                  <w:w w:val="87"/>
                </w:rPr>
                <w:t>Seattle Office Lease Amendment, dated December 8, 2004</w:t>
              </w:r>
            </w:hyperlink>
          </w:p>
        </w:tc>
        <w:tc>
          <w:tcPr>
            <w:tcW w:w="1160" w:type="dxa"/>
            <w:vAlign w:val="bottom"/>
            <w:gridSpan w:val="4"/>
          </w:tcPr>
          <w:p>
            <w:pPr>
              <w:spacing w:after="0"/>
              <w:rPr>
                <w:sz w:val="17"/>
                <w:szCs w:val="17"/>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10.10</w:t>
            </w:r>
          </w:p>
        </w:tc>
        <w:tc>
          <w:tcPr>
            <w:tcW w:w="4180" w:type="dxa"/>
            <w:vAlign w:val="bottom"/>
            <w:tcBorders>
              <w:bottom w:val="single" w:sz="8" w:color="0000EE"/>
            </w:tcBorders>
            <w:gridSpan w:val="4"/>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Seattle Office Lease Amendment, dated February 1, 2006</w:t>
              </w:r>
            </w:hyperlink>
          </w:p>
        </w:tc>
        <w:tc>
          <w:tcPr>
            <w:tcW w:w="1140" w:type="dxa"/>
            <w:vAlign w:val="bottom"/>
            <w:gridSpan w:val="3"/>
          </w:tcPr>
          <w:p>
            <w:pPr>
              <w:spacing w:after="0"/>
              <w:rPr>
                <w:sz w:val="24"/>
                <w:szCs w:val="24"/>
                <w:color w:val="auto"/>
              </w:rPr>
            </w:pPr>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10.11</w:t>
            </w:r>
          </w:p>
        </w:tc>
        <w:tc>
          <w:tcPr>
            <w:tcW w:w="4160" w:type="dxa"/>
            <w:vAlign w:val="bottom"/>
            <w:tcBorders>
              <w:bottom w:val="single" w:sz="8" w:color="0000EE"/>
            </w:tcBorders>
            <w:gridSpan w:val="3"/>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Seattle Office Lease Amendment, dated February 2, 2007</w:t>
              </w:r>
            </w:hyperlink>
          </w:p>
        </w:tc>
        <w:tc>
          <w:tcPr>
            <w:tcW w:w="1160" w:type="dxa"/>
            <w:vAlign w:val="bottom"/>
            <w:gridSpan w:val="4"/>
          </w:tcPr>
          <w:p>
            <w:pPr>
              <w:spacing w:after="0"/>
              <w:rPr>
                <w:sz w:val="24"/>
                <w:szCs w:val="24"/>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10.12</w:t>
            </w:r>
          </w:p>
        </w:tc>
        <w:tc>
          <w:tcPr>
            <w:tcW w:w="3840" w:type="dxa"/>
            <w:vAlign w:val="bottom"/>
            <w:tcBorders>
              <w:bottom w:val="single" w:sz="8" w:color="0000EE"/>
            </w:tcBorders>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Seattle Office Lease Amendment, dated June 7, 2010</w:t>
              </w:r>
            </w:hyperlink>
          </w:p>
        </w:tc>
        <w:tc>
          <w:tcPr>
            <w:tcW w:w="1480" w:type="dxa"/>
            <w:vAlign w:val="bottom"/>
            <w:gridSpan w:val="6"/>
          </w:tcPr>
          <w:p>
            <w:pPr>
              <w:spacing w:after="0"/>
              <w:rPr>
                <w:sz w:val="24"/>
                <w:szCs w:val="24"/>
                <w:color w:val="auto"/>
              </w:rPr>
            </w:pPr>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10.13</w:t>
            </w:r>
          </w:p>
        </w:tc>
        <w:tc>
          <w:tcPr>
            <w:tcW w:w="5320" w:type="dxa"/>
            <w:vAlign w:val="bottom"/>
            <w:gridSpan w:val="7"/>
          </w:tcPr>
          <w:p>
            <w:pPr>
              <w:spacing w:after="0"/>
              <w:rPr>
                <w:rFonts w:ascii="Arial" w:cs="Arial" w:eastAsia="Arial" w:hAnsi="Arial"/>
                <w:sz w:val="18"/>
                <w:szCs w:val="18"/>
                <w:color w:val="0000EE"/>
              </w:rPr>
            </w:pPr>
            <w:hyperlink r:id="rId149">
              <w:r>
                <w:rPr>
                  <w:rFonts w:ascii="Arial" w:cs="Arial" w:eastAsia="Arial" w:hAnsi="Arial"/>
                  <w:sz w:val="18"/>
                  <w:szCs w:val="18"/>
                  <w:color w:val="0000EE"/>
                </w:rPr>
                <w:t>Seattle Office Lease Amendment, dated December 21, 2010</w:t>
              </w:r>
            </w:hyperlink>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10.14</w:t>
            </w:r>
          </w:p>
        </w:tc>
        <w:tc>
          <w:tcPr>
            <w:tcW w:w="3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Seattle Office Lease Amendment, dated July 17, 2012</w:t>
              </w:r>
            </w:hyperlink>
          </w:p>
        </w:tc>
        <w:tc>
          <w:tcPr>
            <w:tcW w:w="280" w:type="dxa"/>
            <w:vAlign w:val="bottom"/>
            <w:tcBorders>
              <w:top w:val="single" w:sz="8" w:color="0000EE"/>
            </w:tcBorders>
            <w:gridSpan w:val="2"/>
          </w:tcPr>
          <w:p>
            <w:pPr>
              <w:spacing w:after="0"/>
              <w:rPr>
                <w:sz w:val="24"/>
                <w:szCs w:val="24"/>
                <w:color w:val="auto"/>
              </w:rPr>
            </w:pPr>
          </w:p>
        </w:tc>
        <w:tc>
          <w:tcPr>
            <w:tcW w:w="1140" w:type="dxa"/>
            <w:vAlign w:val="bottom"/>
            <w:gridSpan w:val="3"/>
          </w:tcPr>
          <w:p>
            <w:pPr>
              <w:spacing w:after="0"/>
              <w:rPr>
                <w:sz w:val="24"/>
                <w:szCs w:val="24"/>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10.15</w:t>
            </w:r>
          </w:p>
        </w:tc>
        <w:tc>
          <w:tcPr>
            <w:tcW w:w="5060" w:type="dxa"/>
            <w:vAlign w:val="bottom"/>
            <w:tcBorders>
              <w:bottom w:val="single" w:sz="8" w:color="0000EE"/>
            </w:tcBorders>
            <w:gridSpan w:val="6"/>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Seventh Amendment to Seattle Office Lease, dated December 5, 2014</w:t>
              </w:r>
            </w:hyperlink>
          </w:p>
        </w:tc>
        <w:tc>
          <w:tcPr>
            <w:tcW w:w="260" w:type="dxa"/>
            <w:vAlign w:val="bottom"/>
          </w:tcPr>
          <w:p>
            <w:pPr>
              <w:spacing w:after="0"/>
              <w:rPr>
                <w:sz w:val="24"/>
                <w:szCs w:val="24"/>
                <w:color w:val="auto"/>
              </w:rPr>
            </w:pPr>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w w:val="83"/>
              </w:rPr>
              <w:t>†10.16</w:t>
            </w:r>
          </w:p>
        </w:tc>
        <w:tc>
          <w:tcPr>
            <w:tcW w:w="5320" w:type="dxa"/>
            <w:vAlign w:val="bottom"/>
            <w:tcBorders>
              <w:bottom w:val="single" w:sz="8" w:color="0000EE"/>
            </w:tcBorders>
            <w:gridSpan w:val="7"/>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License and Co-Development Agreement, dated as of August 19, 2014,</w:t>
              </w:r>
            </w:hyperlink>
          </w:p>
        </w:tc>
      </w:tr>
      <w:tr>
        <w:trPr>
          <w:trHeight w:val="196"/>
        </w:trPr>
        <w:tc>
          <w:tcPr>
            <w:tcW w:w="1020" w:type="dxa"/>
            <w:vAlign w:val="bottom"/>
          </w:tcPr>
          <w:p>
            <w:pPr>
              <w:spacing w:after="0"/>
              <w:rPr>
                <w:sz w:val="17"/>
                <w:szCs w:val="17"/>
                <w:color w:val="auto"/>
              </w:rPr>
            </w:pPr>
          </w:p>
        </w:tc>
        <w:tc>
          <w:tcPr>
            <w:tcW w:w="532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by and between Emergent Product Development Seattle, LLC and</w:t>
              </w:r>
            </w:hyperlink>
          </w:p>
        </w:tc>
      </w:tr>
      <w:tr>
        <w:trPr>
          <w:trHeight w:val="196"/>
        </w:trPr>
        <w:tc>
          <w:tcPr>
            <w:tcW w:w="1020" w:type="dxa"/>
            <w:vAlign w:val="bottom"/>
          </w:tcPr>
          <w:p>
            <w:pPr>
              <w:spacing w:after="0"/>
              <w:rPr>
                <w:sz w:val="17"/>
                <w:szCs w:val="17"/>
                <w:color w:val="auto"/>
              </w:rPr>
            </w:pPr>
          </w:p>
        </w:tc>
        <w:tc>
          <w:tcPr>
            <w:tcW w:w="5320" w:type="dxa"/>
            <w:vAlign w:val="bottom"/>
            <w:gridSpan w:val="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MorphoSys AG, or the MorphoSys Collaboration Agreement</w:t>
              </w:r>
            </w:hyperlink>
          </w:p>
        </w:tc>
      </w:tr>
      <w:tr>
        <w:trPr>
          <w:trHeight w:val="20"/>
        </w:trPr>
        <w:tc>
          <w:tcPr>
            <w:tcW w:w="102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10.13</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10.14</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10.16</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10.17</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10.18</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10.19</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10.20</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618" w:lineRule="exact"/>
        <w:rPr>
          <w:sz w:val="20"/>
          <w:szCs w:val="20"/>
          <w:color w:val="auto"/>
        </w:rPr>
      </w:pPr>
    </w:p>
    <w:p>
      <w:pPr>
        <w:sectPr>
          <w:pgSz w:w="11900" w:h="16838" w:orient="portrait"/>
          <w:cols w:equalWidth="0" w:num="2">
            <w:col w:w="6400" w:space="200"/>
            <w:col w:w="4640"/>
          </w:cols>
          <w:pgMar w:left="320" w:top="334" w:right="3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6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Description</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18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4"/>
              </w:rPr>
              <w:t>File No.</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1020" w:type="dxa"/>
            <w:vAlign w:val="bottom"/>
          </w:tcPr>
          <w:p>
            <w:pPr>
              <w:ind w:left="60"/>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5320" w:type="dxa"/>
            <w:vAlign w:val="bottom"/>
            <w:tcBorders>
              <w:bottom w:val="single" w:sz="8" w:color="0000EE"/>
            </w:tcBorders>
            <w:gridSpan w:val="2"/>
          </w:tcPr>
          <w:p>
            <w:pPr>
              <w:spacing w:after="0"/>
              <w:rPr>
                <w:rFonts w:ascii="Arial" w:cs="Arial" w:eastAsia="Arial" w:hAnsi="Arial"/>
                <w:sz w:val="18"/>
                <w:szCs w:val="18"/>
                <w:color w:val="0000EE"/>
                <w:w w:val="95"/>
              </w:rPr>
            </w:pPr>
            <w:hyperlink r:id="rId154">
              <w:r>
                <w:rPr>
                  <w:rFonts w:ascii="Arial" w:cs="Arial" w:eastAsia="Arial" w:hAnsi="Arial"/>
                  <w:sz w:val="18"/>
                  <w:szCs w:val="18"/>
                  <w:color w:val="0000EE"/>
                  <w:w w:val="95"/>
                </w:rPr>
                <w:t>First Amendment to MorphoSys Collaboration Agreement, dated June</w:t>
              </w:r>
            </w:hyperlink>
          </w:p>
        </w:tc>
        <w:tc>
          <w:tcPr>
            <w:tcW w:w="60" w:type="dxa"/>
            <w:vAlign w:val="bottom"/>
          </w:tcPr>
          <w:p>
            <w:pPr>
              <w:spacing w:after="0"/>
              <w:rPr>
                <w:sz w:val="24"/>
                <w:szCs w:val="24"/>
                <w:color w:val="auto"/>
              </w:rPr>
            </w:pPr>
          </w:p>
        </w:tc>
        <w:tc>
          <w:tcPr>
            <w:tcW w:w="500" w:type="dxa"/>
            <w:vAlign w:val="bottom"/>
          </w:tcPr>
          <w:p>
            <w:pPr>
              <w:jc w:val="right"/>
              <w:ind w:right="99"/>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159"/>
              <w:spacing w:after="0"/>
              <w:rPr>
                <w:sz w:val="20"/>
                <w:szCs w:val="20"/>
                <w:color w:val="auto"/>
              </w:rPr>
            </w:pPr>
            <w:r>
              <w:rPr>
                <w:rFonts w:ascii="Arial" w:cs="Arial" w:eastAsia="Arial" w:hAnsi="Arial"/>
                <w:sz w:val="18"/>
                <w:szCs w:val="18"/>
                <w:color w:val="auto"/>
              </w:rPr>
              <w:t>10.21</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001-37746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80" w:type="dxa"/>
            <w:vAlign w:val="bottom"/>
            <w:gridSpan w:val="2"/>
          </w:tcPr>
          <w:p>
            <w:pPr>
              <w:ind w:left="60"/>
              <w:spacing w:after="0" w:line="196" w:lineRule="exact"/>
              <w:rPr>
                <w:rFonts w:ascii="Arial" w:cs="Arial" w:eastAsia="Arial" w:hAnsi="Arial"/>
                <w:sz w:val="18"/>
                <w:szCs w:val="18"/>
                <w:color w:val="0000EE"/>
                <w:w w:val="85"/>
              </w:rPr>
            </w:pPr>
            <w:hyperlink r:id="rId154">
              <w:r>
                <w:rPr>
                  <w:rFonts w:ascii="Arial" w:cs="Arial" w:eastAsia="Arial" w:hAnsi="Arial"/>
                  <w:sz w:val="18"/>
                  <w:szCs w:val="18"/>
                  <w:color w:val="0000EE"/>
                  <w:w w:val="85"/>
                </w:rPr>
                <w:t>19, 2015</w:t>
              </w:r>
            </w:hyperlink>
          </w:p>
        </w:tc>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60"/>
          </w:cols>
          <w:pgMar w:left="320" w:top="334" w:right="319" w:bottom="1440" w:gutter="0" w:footer="0" w:header="0"/>
        </w:sectPr>
      </w:pPr>
    </w:p>
    <w:p>
      <w:pPr>
        <w:spacing w:after="0" w:line="13" w:lineRule="exact"/>
        <w:rPr>
          <w:sz w:val="20"/>
          <w:szCs w:val="20"/>
          <w:color w:val="auto"/>
        </w:rPr>
      </w:pPr>
    </w:p>
    <w:p>
      <w:pPr>
        <w:ind w:left="1080" w:hanging="101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55">
        <w:r>
          <w:rPr>
            <w:rFonts w:ascii="Arial" w:cs="Arial" w:eastAsia="Arial" w:hAnsi="Arial"/>
            <w:sz w:val="18"/>
            <w:szCs w:val="18"/>
            <w:u w:val="single" w:color="auto"/>
            <w:color w:val="0000EE"/>
          </w:rPr>
          <w:t>Second Amendment to MorphoSys Collaboration Agreement, dated</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December 7, 2015</w:t>
        </w:r>
      </w:hyperlink>
    </w:p>
    <w:p>
      <w:pPr>
        <w:spacing w:after="0" w:line="103" w:lineRule="exact"/>
        <w:rPr>
          <w:sz w:val="20"/>
          <w:szCs w:val="20"/>
          <w:color w:val="auto"/>
        </w:rPr>
      </w:pPr>
    </w:p>
    <w:p>
      <w:pPr>
        <w:ind w:left="1080" w:hanging="930"/>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56">
        <w:r>
          <w:rPr>
            <w:rFonts w:ascii="Arial" w:cs="Arial" w:eastAsia="Arial" w:hAnsi="Arial"/>
            <w:sz w:val="18"/>
            <w:szCs w:val="18"/>
            <w:u w:val="single" w:color="auto"/>
            <w:color w:val="0000EE"/>
          </w:rPr>
          <w:t>Third Amendment to MorphoSys Collaboration Agreement, dated</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December 12, 2016</w:t>
        </w:r>
      </w:hyperlink>
    </w:p>
    <w:p>
      <w:pPr>
        <w:spacing w:after="0" w:line="103" w:lineRule="exact"/>
        <w:rPr>
          <w:sz w:val="20"/>
          <w:szCs w:val="20"/>
          <w:color w:val="auto"/>
        </w:rPr>
      </w:pPr>
    </w:p>
    <w:p>
      <w:pPr>
        <w:ind w:left="14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57">
        <w:r>
          <w:rPr>
            <w:rFonts w:ascii="Arial" w:cs="Arial" w:eastAsia="Arial" w:hAnsi="Arial"/>
            <w:sz w:val="16"/>
            <w:szCs w:val="16"/>
            <w:u w:val="single" w:color="auto"/>
            <w:color w:val="0000EE"/>
          </w:rPr>
          <w:t>Fourth Amendment MorphoSys Collaboration Agreement, dated June 19,</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2017.</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center"/>
              <w:ind w:right="50"/>
              <w:spacing w:after="0"/>
              <w:rPr>
                <w:sz w:val="20"/>
                <w:szCs w:val="20"/>
                <w:color w:val="auto"/>
              </w:rPr>
            </w:pPr>
            <w:r>
              <w:rPr>
                <w:rFonts w:ascii="Arial" w:cs="Arial" w:eastAsia="Arial" w:hAnsi="Arial"/>
                <w:sz w:val="18"/>
                <w:szCs w:val="18"/>
                <w:color w:val="auto"/>
                <w:w w:val="89"/>
              </w:rPr>
              <w:t>10</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December 15,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1"/>
        </w:trPr>
        <w:tc>
          <w:tcPr>
            <w:tcW w:w="400" w:type="dxa"/>
            <w:vAlign w:val="bottom"/>
          </w:tcPr>
          <w:p>
            <w:pPr>
              <w:jc w:val="center"/>
              <w:ind w:right="50"/>
              <w:spacing w:after="0"/>
              <w:rPr>
                <w:sz w:val="20"/>
                <w:szCs w:val="20"/>
                <w:color w:val="auto"/>
              </w:rPr>
            </w:pPr>
            <w:r>
              <w:rPr>
                <w:rFonts w:ascii="Arial" w:cs="Arial" w:eastAsia="Arial" w:hAnsi="Arial"/>
                <w:sz w:val="18"/>
                <w:szCs w:val="18"/>
                <w:color w:val="auto"/>
                <w:w w:val="89"/>
              </w:rPr>
              <w:t>10</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10, 2017</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2">
            <w:col w:w="6400" w:space="160"/>
            <w:col w:w="4700"/>
          </w:cols>
          <w:pgMar w:left="320" w:top="334" w:right="31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10.21</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Equity  Distribution  Agreement,  dated  November  9,  2017,  between</w:t>
              </w:r>
            </w:hyperlink>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196"/>
        </w:trPr>
        <w:tc>
          <w:tcPr>
            <w:tcW w:w="940" w:type="dxa"/>
            <w:vAlign w:val="bottom"/>
          </w:tcPr>
          <w:p>
            <w:pPr>
              <w:spacing w:after="0"/>
              <w:rPr>
                <w:sz w:val="17"/>
                <w:szCs w:val="17"/>
                <w:color w:val="auto"/>
              </w:rPr>
            </w:pPr>
          </w:p>
        </w:tc>
        <w:tc>
          <w:tcPr>
            <w:tcW w:w="46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Aptevo Therapeutics, Inc. and Piper Jaffray and Company LLC.</w:t>
              </w:r>
            </w:hyperlink>
          </w:p>
        </w:tc>
        <w:tc>
          <w:tcPr>
            <w:tcW w:w="7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45"/>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10.22</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3"/>
              </w:rPr>
            </w:pPr>
            <w:hyperlink r:id="rId159">
              <w:r>
                <w:rPr>
                  <w:rFonts w:ascii="Arial" w:cs="Arial" w:eastAsia="Arial" w:hAnsi="Arial"/>
                  <w:sz w:val="18"/>
                  <w:szCs w:val="18"/>
                  <w:color w:val="0000EE"/>
                  <w:w w:val="93"/>
                </w:rPr>
                <w:t>Collaboration and Option Agreement, dated as of July 20, 2017, by and</w:t>
              </w:r>
            </w:hyperlink>
          </w:p>
        </w:tc>
        <w:tc>
          <w:tcPr>
            <w:tcW w:w="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November 13, 2017</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196"/>
        </w:trPr>
        <w:tc>
          <w:tcPr>
            <w:tcW w:w="94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w w:val="99"/>
              </w:rPr>
            </w:pPr>
            <w:hyperlink r:id="rId159">
              <w:r>
                <w:rPr>
                  <w:rFonts w:ascii="Arial" w:cs="Arial" w:eastAsia="Arial" w:hAnsi="Arial"/>
                  <w:sz w:val="18"/>
                  <w:szCs w:val="18"/>
                  <w:color w:val="0000EE"/>
                  <w:w w:val="99"/>
                </w:rPr>
                <w:t>between  Aptevo  Research  and  Development  LLC,  and  Alligator</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Bioscience AB.</w:t>
              </w:r>
            </w:hyperlink>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44"/>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10.23</w:t>
            </w:r>
          </w:p>
        </w:tc>
        <w:tc>
          <w:tcPr>
            <w:tcW w:w="5900" w:type="dxa"/>
            <w:vAlign w:val="bottom"/>
            <w:gridSpan w:val="6"/>
          </w:tcPr>
          <w:p>
            <w:pPr>
              <w:spacing w:after="0"/>
              <w:rPr>
                <w:rFonts w:ascii="Arial" w:cs="Arial" w:eastAsia="Arial" w:hAnsi="Arial"/>
                <w:sz w:val="18"/>
                <w:szCs w:val="18"/>
                <w:color w:val="0000EE"/>
              </w:rPr>
            </w:pPr>
            <w:hyperlink r:id="rId160">
              <w:r>
                <w:rPr>
                  <w:rFonts w:ascii="Arial" w:cs="Arial" w:eastAsia="Arial" w:hAnsi="Arial"/>
                  <w:sz w:val="18"/>
                  <w:szCs w:val="18"/>
                  <w:color w:val="0000EE"/>
                </w:rPr>
                <w:t xml:space="preserve">Amendment No. 3 to Credit and Security Agreement, dated as of </w:t>
              </w:r>
            </w:hyperlink>
            <w:r>
              <w:rPr>
                <w:rFonts w:ascii="Arial" w:cs="Arial" w:eastAsia="Arial" w:hAnsi="Arial"/>
                <w:sz w:val="18"/>
                <w:szCs w:val="18"/>
                <w:color w:val="000000"/>
              </w:rPr>
              <w:t>10-K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March 13,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0"/>
        </w:trPr>
        <w:tc>
          <w:tcPr>
            <w:tcW w:w="94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w w:val="94"/>
              </w:rPr>
            </w:pPr>
            <w:hyperlink r:id="rId160">
              <w:r>
                <w:rPr>
                  <w:rFonts w:ascii="Arial" w:cs="Arial" w:eastAsia="Arial" w:hAnsi="Arial"/>
                  <w:sz w:val="18"/>
                  <w:szCs w:val="18"/>
                  <w:color w:val="0000EE"/>
                  <w:w w:val="94"/>
                </w:rPr>
                <w:t>February 23, 2018, by and among Aptevo Therapeutics Inc. and certain</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of its subsidiaries and Midcap Financial Trust.</w:t>
              </w:r>
            </w:hyperlink>
          </w:p>
        </w:tc>
        <w:tc>
          <w:tcPr>
            <w:tcW w:w="19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148" w:lineRule="exact"/>
        <w:rPr>
          <w:sz w:val="20"/>
          <w:szCs w:val="20"/>
          <w:color w:val="auto"/>
        </w:rPr>
      </w:pPr>
    </w:p>
    <w:p>
      <w:pPr>
        <w:sectPr>
          <w:pgSz w:w="11900" w:h="16838" w:orient="portrait"/>
          <w:cols w:equalWidth="0" w:num="1">
            <w:col w:w="11260"/>
          </w:cols>
          <w:pgMar w:left="320" w:top="334" w:right="319" w:bottom="1440" w:gutter="0" w:footer="0" w:header="0"/>
          <w:type w:val="continuous"/>
        </w:sectPr>
      </w:pPr>
    </w:p>
    <w:p>
      <w:pPr>
        <w:spacing w:after="0" w:line="1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10.24</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10.25</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10.26</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color w:val="0000EE"/>
        </w:rPr>
      </w:pPr>
      <w:hyperlink r:id="rId161">
        <w:r>
          <w:rPr>
            <w:rFonts w:ascii="Arial" w:cs="Arial" w:eastAsia="Arial" w:hAnsi="Arial"/>
            <w:sz w:val="18"/>
            <w:szCs w:val="18"/>
            <w:u w:val="single" w:color="auto"/>
            <w:color w:val="0000EE"/>
          </w:rPr>
          <w:t>Aptevo Therapeutics Inc. 2018 Stock Incentive Plan</w:t>
        </w:r>
      </w:hyperlink>
      <w:r>
        <w:rPr>
          <w:rFonts w:ascii="Arial" w:cs="Arial" w:eastAsia="Arial" w:hAnsi="Arial"/>
          <w:sz w:val="21"/>
          <w:szCs w:val="21"/>
          <w:color w:val="000000"/>
        </w:rPr>
        <w:t>.</w:t>
      </w:r>
    </w:p>
    <w:p>
      <w:pPr>
        <w:spacing w:after="0" w:line="157" w:lineRule="exact"/>
        <w:rPr>
          <w:sz w:val="20"/>
          <w:szCs w:val="20"/>
          <w:color w:val="auto"/>
        </w:rPr>
      </w:pPr>
    </w:p>
    <w:p>
      <w:pPr>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Aptevo Therapeutics Inc. Non-Statutory Stock Option Agreement.</w:t>
        </w:r>
      </w:hyperlink>
    </w:p>
    <w:p>
      <w:pPr>
        <w:spacing w:after="0" w:line="158" w:lineRule="exact"/>
        <w:rPr>
          <w:sz w:val="20"/>
          <w:szCs w:val="20"/>
          <w:color w:val="auto"/>
        </w:rPr>
      </w:pPr>
    </w:p>
    <w:p>
      <w:pPr>
        <w:spacing w:after="0" w:line="277" w:lineRule="auto"/>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Purchase Agreement, dated December 20, 2018, by and between Aptevo</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Therapeutics Inc. and Lincoln Park Capital Fund, LLC.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August 9,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91"/>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August 9,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December 24,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3">
            <w:col w:w="540" w:space="540"/>
            <w:col w:w="5320" w:space="100"/>
            <w:col w:w="4760"/>
          </w:cols>
          <w:pgMar w:left="320" w:top="334" w:right="3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450"/>
              <w:spacing w:after="0"/>
              <w:rPr>
                <w:sz w:val="20"/>
                <w:szCs w:val="20"/>
                <w:color w:val="auto"/>
              </w:rPr>
            </w:pPr>
            <w:r>
              <w:rPr>
                <w:rFonts w:ascii="Arial" w:cs="Arial" w:eastAsia="Arial" w:hAnsi="Arial"/>
                <w:sz w:val="18"/>
                <w:szCs w:val="18"/>
                <w:color w:val="auto"/>
              </w:rPr>
              <w:t>10.27</w:t>
            </w:r>
          </w:p>
        </w:tc>
        <w:tc>
          <w:tcPr>
            <w:tcW w:w="5320" w:type="dxa"/>
            <w:vAlign w:val="bottom"/>
            <w:tcBorders>
              <w:bottom w:val="single" w:sz="8" w:color="0000EE"/>
            </w:tcBorders>
            <w:gridSpan w:val="5"/>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Eighth Amendment to Office Lease, dated as of March 19, 2019, by and</w:t>
              </w:r>
            </w:hyperlink>
          </w:p>
        </w:tc>
        <w:tc>
          <w:tcPr>
            <w:tcW w:w="60" w:type="dxa"/>
            <w:vAlign w:val="bottom"/>
            <w:gridSpan w:val="3"/>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22, 2019</w:t>
            </w:r>
          </w:p>
        </w:tc>
        <w:tc>
          <w:tcPr>
            <w:tcW w:w="1980" w:type="dxa"/>
            <w:vAlign w:val="bottom"/>
          </w:tcPr>
          <w:p>
            <w:pPr>
              <w:jc w:val="right"/>
              <w:ind w:right="91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between Aptevo Therapeutics Inc. and Selig Real Estate Holdings Eight</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380" w:type="dxa"/>
            <w:vAlign w:val="bottom"/>
            <w:gridSpan w:val="8"/>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L.L.C.</w:t>
              </w:r>
            </w:hyperlink>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10-Q</w:t>
            </w: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color w:val="auto"/>
              </w:rPr>
              <w:t>10.1</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0"/>
              </w:rPr>
              <w:t>August 9, 2019</w:t>
            </w:r>
          </w:p>
        </w:tc>
        <w:tc>
          <w:tcPr>
            <w:tcW w:w="1980" w:type="dxa"/>
            <w:vAlign w:val="bottom"/>
            <w:vMerge w:val="restart"/>
          </w:tcPr>
          <w:p>
            <w:pPr>
              <w:jc w:val="right"/>
              <w:ind w:right="91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5"/>
        </w:trPr>
        <w:tc>
          <w:tcPr>
            <w:tcW w:w="1080" w:type="dxa"/>
            <w:vAlign w:val="bottom"/>
          </w:tcPr>
          <w:p>
            <w:pPr>
              <w:jc w:val="right"/>
              <w:ind w:right="450"/>
              <w:spacing w:after="0"/>
              <w:rPr>
                <w:sz w:val="20"/>
                <w:szCs w:val="20"/>
                <w:color w:val="auto"/>
              </w:rPr>
            </w:pPr>
            <w:r>
              <w:rPr>
                <w:rFonts w:ascii="Arial" w:cs="Arial" w:eastAsia="Arial" w:hAnsi="Arial"/>
                <w:sz w:val="18"/>
                <w:szCs w:val="18"/>
                <w:color w:val="auto"/>
              </w:rPr>
              <w:t>10.28</w:t>
            </w:r>
          </w:p>
        </w:tc>
        <w:tc>
          <w:tcPr>
            <w:tcW w:w="5340" w:type="dxa"/>
            <w:vAlign w:val="bottom"/>
            <w:tcBorders>
              <w:bottom w:val="single" w:sz="8" w:color="0000EE"/>
            </w:tcBorders>
            <w:gridSpan w:val="6"/>
          </w:tcPr>
          <w:p>
            <w:pPr>
              <w:spacing w:after="0"/>
              <w:rPr>
                <w:rFonts w:ascii="Arial" w:cs="Arial" w:eastAsia="Arial" w:hAnsi="Arial"/>
                <w:sz w:val="18"/>
                <w:szCs w:val="18"/>
                <w:color w:val="0000EE"/>
                <w:w w:val="93"/>
              </w:rPr>
            </w:pPr>
            <w:hyperlink r:id="rId165">
              <w:r>
                <w:rPr>
                  <w:rFonts w:ascii="Arial" w:cs="Arial" w:eastAsia="Arial" w:hAnsi="Arial"/>
                  <w:sz w:val="18"/>
                  <w:szCs w:val="18"/>
                  <w:color w:val="0000EE"/>
                  <w:w w:val="93"/>
                </w:rPr>
                <w:t>Amendment to LLC Purchase Agreement, dated as of August 31, 2017,</w:t>
              </w:r>
            </w:hyperlink>
          </w:p>
        </w:tc>
        <w:tc>
          <w:tcPr>
            <w:tcW w:w="40" w:type="dxa"/>
            <w:vAlign w:val="bottom"/>
            <w:gridSpan w:val="2"/>
          </w:tcPr>
          <w:p>
            <w:pPr>
              <w:spacing w:after="0"/>
              <w:rPr>
                <w:sz w:val="24"/>
                <w:szCs w:val="24"/>
                <w:color w:val="auto"/>
              </w:rPr>
            </w:pPr>
          </w:p>
        </w:tc>
        <w:tc>
          <w:tcPr>
            <w:tcW w:w="5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65">
              <w:r>
                <w:rPr>
                  <w:rFonts w:ascii="Arial" w:cs="Arial" w:eastAsia="Arial" w:hAnsi="Arial"/>
                  <w:sz w:val="18"/>
                  <w:szCs w:val="18"/>
                  <w:color w:val="0000EE"/>
                  <w:w w:val="94"/>
                </w:rPr>
                <w:t>by and among Aptevo BioTherapeutics LLC, Aptevo Therapeutics Inc.,</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380" w:type="dxa"/>
            <w:vAlign w:val="bottom"/>
            <w:gridSpan w:val="8"/>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Venus Bio Therapeutics Sub LLC, and Saol International Limited.</w:t>
              </w:r>
            </w:hyperlink>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10-Q</w:t>
            </w: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color w:val="auto"/>
              </w:rPr>
              <w:t>10.1</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14, 2020</w:t>
            </w:r>
          </w:p>
        </w:tc>
        <w:tc>
          <w:tcPr>
            <w:tcW w:w="1980" w:type="dxa"/>
            <w:vAlign w:val="bottom"/>
            <w:vMerge w:val="restart"/>
          </w:tcPr>
          <w:p>
            <w:pPr>
              <w:jc w:val="right"/>
              <w:ind w:right="91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5"/>
        </w:trPr>
        <w:tc>
          <w:tcPr>
            <w:tcW w:w="1080" w:type="dxa"/>
            <w:vAlign w:val="bottom"/>
          </w:tcPr>
          <w:p>
            <w:pPr>
              <w:jc w:val="right"/>
              <w:ind w:right="450"/>
              <w:spacing w:after="0"/>
              <w:rPr>
                <w:sz w:val="20"/>
                <w:szCs w:val="20"/>
                <w:color w:val="auto"/>
              </w:rPr>
            </w:pPr>
            <w:r>
              <w:rPr>
                <w:rFonts w:ascii="Arial" w:cs="Arial" w:eastAsia="Arial" w:hAnsi="Arial"/>
                <w:sz w:val="18"/>
                <w:szCs w:val="18"/>
                <w:color w:val="auto"/>
              </w:rPr>
              <w:t>10.29</w:t>
            </w:r>
          </w:p>
        </w:tc>
        <w:tc>
          <w:tcPr>
            <w:tcW w:w="5360" w:type="dxa"/>
            <w:vAlign w:val="bottom"/>
            <w:tcBorders>
              <w:bottom w:val="single" w:sz="8" w:color="0000EE"/>
            </w:tcBorders>
            <w:gridSpan w:val="7"/>
          </w:tcPr>
          <w:p>
            <w:pPr>
              <w:spacing w:after="0"/>
              <w:rPr>
                <w:rFonts w:ascii="Arial" w:cs="Arial" w:eastAsia="Arial" w:hAnsi="Arial"/>
                <w:sz w:val="18"/>
                <w:szCs w:val="18"/>
                <w:color w:val="0000EE"/>
                <w:w w:val="93"/>
              </w:rPr>
            </w:pPr>
            <w:hyperlink r:id="rId166">
              <w:r>
                <w:rPr>
                  <w:rFonts w:ascii="Arial" w:cs="Arial" w:eastAsia="Arial" w:hAnsi="Arial"/>
                  <w:sz w:val="18"/>
                  <w:szCs w:val="18"/>
                  <w:color w:val="0000EE"/>
                  <w:w w:val="93"/>
                </w:rPr>
                <w:t>Collaboration and License Agreement, dated as of December 19, 2005,</w:t>
              </w:r>
            </w:hyperlink>
          </w:p>
        </w:tc>
        <w:tc>
          <w:tcPr>
            <w:tcW w:w="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380" w:type="dxa"/>
            <w:vAlign w:val="bottom"/>
            <w:gridSpan w:val="8"/>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by and among Wyeth Pharmaceuticals and Trubion Pharmaceuticals, Inc.</w:t>
              </w:r>
            </w:hyperlink>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10-Q</w:t>
            </w: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color w:val="auto"/>
              </w:rPr>
              <w:t>10.2</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14, 2020</w:t>
            </w:r>
          </w:p>
        </w:tc>
        <w:tc>
          <w:tcPr>
            <w:tcW w:w="1980" w:type="dxa"/>
            <w:vAlign w:val="bottom"/>
            <w:vMerge w:val="restart"/>
          </w:tcPr>
          <w:p>
            <w:pPr>
              <w:jc w:val="right"/>
              <w:ind w:right="910"/>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71"/>
        </w:trPr>
        <w:tc>
          <w:tcPr>
            <w:tcW w:w="1080" w:type="dxa"/>
            <w:vAlign w:val="bottom"/>
          </w:tcPr>
          <w:p>
            <w:pPr>
              <w:jc w:val="right"/>
              <w:ind w:right="450"/>
              <w:spacing w:after="0"/>
              <w:rPr>
                <w:sz w:val="20"/>
                <w:szCs w:val="20"/>
                <w:color w:val="auto"/>
              </w:rPr>
            </w:pPr>
            <w:r>
              <w:rPr>
                <w:rFonts w:ascii="Arial" w:cs="Arial" w:eastAsia="Arial" w:hAnsi="Arial"/>
                <w:sz w:val="18"/>
                <w:szCs w:val="18"/>
                <w:color w:val="auto"/>
              </w:rPr>
              <w:t>10.30</w:t>
            </w:r>
          </w:p>
        </w:tc>
        <w:tc>
          <w:tcPr>
            <w:tcW w:w="5320" w:type="dxa"/>
            <w:vAlign w:val="bottom"/>
            <w:tcBorders>
              <w:bottom w:val="single" w:sz="8" w:color="0000EE"/>
            </w:tcBorders>
            <w:gridSpan w:val="5"/>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Amendment No. 1 to the Collaboration and License Agreement dated as</w:t>
              </w:r>
            </w:hyperlink>
          </w:p>
        </w:tc>
        <w:tc>
          <w:tcPr>
            <w:tcW w:w="60" w:type="dxa"/>
            <w:vAlign w:val="bottom"/>
            <w:gridSpan w:val="3"/>
          </w:tcPr>
          <w:p>
            <w:pPr>
              <w:spacing w:after="0"/>
              <w:rPr>
                <w:sz w:val="24"/>
                <w:szCs w:val="24"/>
                <w:color w:val="auto"/>
              </w:rPr>
            </w:pPr>
          </w:p>
        </w:tc>
        <w:tc>
          <w:tcPr>
            <w:tcW w:w="5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34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of December 19, 2005 (the “Agreement”) by and between Trubion</w:t>
              </w:r>
            </w:hyperlink>
          </w:p>
        </w:tc>
        <w:tc>
          <w:tcPr>
            <w:tcW w:w="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380" w:type="dxa"/>
            <w:vAlign w:val="bottom"/>
            <w:gridSpan w:val="8"/>
          </w:tcPr>
          <w:p>
            <w:pPr>
              <w:spacing w:after="0" w:line="196" w:lineRule="exact"/>
              <w:rPr>
                <w:rFonts w:ascii="Arial" w:cs="Arial" w:eastAsia="Arial" w:hAnsi="Arial"/>
                <w:sz w:val="18"/>
                <w:szCs w:val="18"/>
                <w:color w:val="0000EE"/>
                <w:w w:val="96"/>
              </w:rPr>
            </w:pPr>
            <w:hyperlink r:id="rId167">
              <w:r>
                <w:rPr>
                  <w:rFonts w:ascii="Arial" w:cs="Arial" w:eastAsia="Arial" w:hAnsi="Arial"/>
                  <w:sz w:val="18"/>
                  <w:szCs w:val="18"/>
                  <w:color w:val="0000EE"/>
                  <w:w w:val="96"/>
                </w:rPr>
                <w:t>Pharmaceuticals, Inc. (“Trubion”) and Wyeth, acting through its Wyeth</w:t>
              </w:r>
            </w:hyperlink>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Pharmaceuticals Division (“Wyeth”).</w:t>
              </w:r>
            </w:hyperlink>
          </w:p>
        </w:tc>
        <w:tc>
          <w:tcPr>
            <w:tcW w:w="2640" w:type="dxa"/>
            <w:vAlign w:val="bottom"/>
            <w:tcBorders>
              <w:top w:val="single" w:sz="8" w:color="0000EE"/>
            </w:tcBorders>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080" w:type="dxa"/>
            <w:vAlign w:val="bottom"/>
          </w:tcPr>
          <w:p>
            <w:pPr>
              <w:spacing w:after="0"/>
              <w:rPr>
                <w:sz w:val="24"/>
                <w:szCs w:val="24"/>
                <w:color w:val="auto"/>
              </w:rPr>
            </w:pPr>
          </w:p>
        </w:tc>
        <w:tc>
          <w:tcPr>
            <w:tcW w:w="4760" w:type="dxa"/>
            <w:vAlign w:val="bottom"/>
            <w:gridSpan w:val="3"/>
          </w:tcPr>
          <w:p>
            <w:pPr>
              <w:ind w:left="4460"/>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gridSpan w:val="5"/>
            <w:vMerge w:val="restart"/>
          </w:tcPr>
          <w:p>
            <w:pPr>
              <w:ind w:left="860"/>
              <w:spacing w:after="0"/>
              <w:rPr>
                <w:sz w:val="20"/>
                <w:szCs w:val="20"/>
                <w:color w:val="auto"/>
              </w:rPr>
            </w:pPr>
            <w:r>
              <w:rPr>
                <w:rFonts w:ascii="Arial" w:cs="Arial" w:eastAsia="Arial" w:hAnsi="Arial"/>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gridSpan w:val="5"/>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jc w:val="right"/>
              <w:ind w:right="396"/>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24"/>
                <w:szCs w:val="24"/>
                <w:color w:val="auto"/>
              </w:rPr>
            </w:pPr>
          </w:p>
        </w:tc>
        <w:tc>
          <w:tcPr>
            <w:tcW w:w="5320" w:type="dxa"/>
            <w:vAlign w:val="bottom"/>
            <w:tcBorders>
              <w:top w:val="single" w:sz="8" w:color="auto"/>
              <w:bottom w:val="single" w:sz="8" w:color="0000EE"/>
            </w:tcBorders>
            <w:gridSpan w:val="4"/>
          </w:tcPr>
          <w:p>
            <w:pPr>
              <w:spacing w:after="0"/>
              <w:rPr>
                <w:rFonts w:ascii="Arial" w:cs="Arial" w:eastAsia="Arial" w:hAnsi="Arial"/>
                <w:sz w:val="18"/>
                <w:szCs w:val="18"/>
                <w:color w:val="0000EE"/>
                <w:w w:val="92"/>
              </w:rPr>
            </w:pPr>
            <w:hyperlink r:id="rId170">
              <w:r>
                <w:rPr>
                  <w:rFonts w:ascii="Arial" w:cs="Arial" w:eastAsia="Arial" w:hAnsi="Arial"/>
                  <w:sz w:val="18"/>
                  <w:szCs w:val="18"/>
                  <w:color w:val="0000EE"/>
                  <w:w w:val="92"/>
                </w:rPr>
                <w:t>Amendment No. 2 to the Collaboration and License Agreement dated as</w:t>
              </w:r>
            </w:hyperlink>
          </w:p>
        </w:tc>
        <w:tc>
          <w:tcPr>
            <w:tcW w:w="60" w:type="dxa"/>
            <w:vAlign w:val="bottom"/>
            <w:tcBorders>
              <w:top w:val="single" w:sz="8" w:color="auto"/>
            </w:tcBorders>
            <w:gridSpan w:val="3"/>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August 14, 2020</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of December 19, 2005 (as previously amended, the “Agreement”) by and</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between Trubion Pharmaceuticals, Inc. (“Trubion”) and Wyeth LLC</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170">
              <w:r>
                <w:rPr>
                  <w:rFonts w:ascii="Arial" w:cs="Arial" w:eastAsia="Arial" w:hAnsi="Arial"/>
                  <w:sz w:val="18"/>
                  <w:szCs w:val="18"/>
                  <w:color w:val="0000EE"/>
                  <w:w w:val="95"/>
                </w:rPr>
                <w:t>(formerly known as Wyeth), acting through its Wyeth Pharmaceuticals</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7"/>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Division (“Wyeth”).</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14, 2020</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jc w:val="right"/>
              <w:ind w:right="396"/>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24"/>
                <w:szCs w:val="24"/>
                <w:color w:val="auto"/>
              </w:rPr>
            </w:pPr>
          </w:p>
        </w:tc>
        <w:tc>
          <w:tcPr>
            <w:tcW w:w="5320" w:type="dxa"/>
            <w:vAlign w:val="bottom"/>
            <w:tcBorders>
              <w:bottom w:val="single" w:sz="8" w:color="0000EE"/>
            </w:tcBorders>
            <w:gridSpan w:val="4"/>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Amendment No. 3 to the Collaboration and License Agreement dated as</w:t>
              </w:r>
            </w:hyperlink>
          </w:p>
        </w:tc>
        <w:tc>
          <w:tcPr>
            <w:tcW w:w="60" w:type="dxa"/>
            <w:vAlign w:val="bottom"/>
            <w:gridSpan w:val="3"/>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of December 19, 2005 (as previously amended, the “Agreement”) by and</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r:id="rId171">
              <w:r>
                <w:rPr>
                  <w:rFonts w:ascii="Arial" w:cs="Arial" w:eastAsia="Arial" w:hAnsi="Arial"/>
                  <w:sz w:val="18"/>
                  <w:szCs w:val="18"/>
                  <w:color w:val="0000EE"/>
                  <w:w w:val="97"/>
                </w:rPr>
                <w:t>between Emergent Product Development Seattle, LLC (successor to</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r:id="rId171">
              <w:r>
                <w:rPr>
                  <w:rFonts w:ascii="Arial" w:cs="Arial" w:eastAsia="Arial" w:hAnsi="Arial"/>
                  <w:sz w:val="18"/>
                  <w:szCs w:val="18"/>
                  <w:color w:val="0000EE"/>
                  <w:w w:val="98"/>
                </w:rPr>
                <w:t>Trubion Pharmaceuticals, Inc. (“Trubion”)) (“EPDS”) and Wyeth LLC</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171">
              <w:r>
                <w:rPr>
                  <w:rFonts w:ascii="Arial" w:cs="Arial" w:eastAsia="Arial" w:hAnsi="Arial"/>
                  <w:sz w:val="18"/>
                  <w:szCs w:val="18"/>
                  <w:color w:val="0000EE"/>
                  <w:w w:val="95"/>
                </w:rPr>
                <w:t>(formerly known as Wyeth), acting through its Wyeth Pharmaceuticals</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7"/>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Division (“Wyeth”).</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14, 2020</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jc w:val="right"/>
              <w:ind w:right="396"/>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24"/>
                <w:szCs w:val="24"/>
                <w:color w:val="auto"/>
              </w:rPr>
            </w:pPr>
          </w:p>
        </w:tc>
        <w:tc>
          <w:tcPr>
            <w:tcW w:w="5320" w:type="dxa"/>
            <w:vAlign w:val="bottom"/>
            <w:tcBorders>
              <w:bottom w:val="single" w:sz="8" w:color="0000EE"/>
            </w:tcBorders>
            <w:gridSpan w:val="4"/>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Amendment No. 4 to the Collaboration and License Agreement dated as</w:t>
              </w:r>
            </w:hyperlink>
          </w:p>
        </w:tc>
        <w:tc>
          <w:tcPr>
            <w:tcW w:w="60" w:type="dxa"/>
            <w:vAlign w:val="bottom"/>
            <w:gridSpan w:val="3"/>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of December 19, 2005 (as previously amended, the “Agreement”) by and</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r:id="rId172">
              <w:r>
                <w:rPr>
                  <w:rFonts w:ascii="Arial" w:cs="Arial" w:eastAsia="Arial" w:hAnsi="Arial"/>
                  <w:sz w:val="18"/>
                  <w:szCs w:val="18"/>
                  <w:color w:val="0000EE"/>
                  <w:w w:val="97"/>
                </w:rPr>
                <w:t>between Emergent Product Development Seattle, LLC (successor to</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5"/>
          </w:tcPr>
          <w:p>
            <w:pPr>
              <w:spacing w:after="0" w:line="196" w:lineRule="exact"/>
              <w:rPr>
                <w:rFonts w:ascii="Arial" w:cs="Arial" w:eastAsia="Arial" w:hAnsi="Arial"/>
                <w:sz w:val="18"/>
                <w:szCs w:val="18"/>
                <w:color w:val="0000EE"/>
                <w:w w:val="98"/>
              </w:rPr>
            </w:pPr>
            <w:hyperlink r:id="rId172">
              <w:r>
                <w:rPr>
                  <w:rFonts w:ascii="Arial" w:cs="Arial" w:eastAsia="Arial" w:hAnsi="Arial"/>
                  <w:sz w:val="18"/>
                  <w:szCs w:val="18"/>
                  <w:color w:val="0000EE"/>
                  <w:w w:val="98"/>
                </w:rPr>
                <w:t>Trubion Pharmaceuticals, Inc. (“Trubion”)) and Wyeth LLC (formerly</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r:id="rId172">
              <w:r>
                <w:rPr>
                  <w:rFonts w:ascii="Arial" w:cs="Arial" w:eastAsia="Arial" w:hAnsi="Arial"/>
                  <w:sz w:val="18"/>
                  <w:szCs w:val="18"/>
                  <w:color w:val="0000EE"/>
                  <w:w w:val="96"/>
                </w:rPr>
                <w:t>known as Wyeth), acting through its Wyeth Pharmaceuticals Division</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7"/>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(“Wyeth”).</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jc w:val="right"/>
              <w:ind w:right="396"/>
              <w:spacing w:after="0"/>
              <w:rPr>
                <w:sz w:val="20"/>
                <w:szCs w:val="20"/>
                <w:color w:val="auto"/>
              </w:rPr>
            </w:pPr>
            <w:r>
              <w:rPr>
                <w:rFonts w:ascii="Arial" w:cs="Arial" w:eastAsia="Arial" w:hAnsi="Arial"/>
                <w:sz w:val="18"/>
                <w:szCs w:val="18"/>
                <w:color w:val="auto"/>
              </w:rPr>
              <w:t>10.34</w:t>
            </w:r>
          </w:p>
        </w:tc>
        <w:tc>
          <w:tcPr>
            <w:tcW w:w="60" w:type="dxa"/>
            <w:vAlign w:val="bottom"/>
          </w:tcPr>
          <w:p>
            <w:pPr>
              <w:spacing w:after="0"/>
              <w:rPr>
                <w:sz w:val="24"/>
                <w:szCs w:val="24"/>
                <w:color w:val="auto"/>
              </w:rPr>
            </w:pPr>
          </w:p>
        </w:tc>
        <w:tc>
          <w:tcPr>
            <w:tcW w:w="5900" w:type="dxa"/>
            <w:vAlign w:val="bottom"/>
            <w:gridSpan w:val="8"/>
          </w:tcPr>
          <w:p>
            <w:pPr>
              <w:spacing w:after="0"/>
              <w:rPr>
                <w:rFonts w:ascii="Arial" w:cs="Arial" w:eastAsia="Arial" w:hAnsi="Arial"/>
                <w:sz w:val="18"/>
                <w:szCs w:val="18"/>
                <w:color w:val="0000EE"/>
              </w:rPr>
            </w:pPr>
            <w:hyperlink r:id="rId173">
              <w:r>
                <w:rPr>
                  <w:rFonts w:ascii="Arial" w:cs="Arial" w:eastAsia="Arial" w:hAnsi="Arial"/>
                  <w:sz w:val="18"/>
                  <w:szCs w:val="18"/>
                  <w:color w:val="0000EE"/>
                </w:rPr>
                <w:t xml:space="preserve">Credit and Security Agreement, dated as of August 5, 2020, by and </w:t>
              </w:r>
            </w:hyperlink>
            <w:r>
              <w:rPr>
                <w:rFonts w:ascii="Arial" w:cs="Arial" w:eastAsia="Arial" w:hAnsi="Arial"/>
                <w:sz w:val="18"/>
                <w:szCs w:val="18"/>
                <w:color w:val="000000"/>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November 10, 2019</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among Aptevo Therapeutics Inc., and MidCap Financial Trust.</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334" w:right="339" w:bottom="1440" w:gutter="0" w:footer="0" w:header="0"/>
        </w:sectPr>
      </w:pPr>
    </w:p>
    <w:tbl>
      <w:tblPr>
        <w:tblLayout w:type="fixed"/>
        <w:tblInd w:w="14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10.35</w:t>
            </w:r>
          </w:p>
        </w:tc>
        <w:tc>
          <w:tcPr>
            <w:tcW w:w="5940" w:type="dxa"/>
            <w:vAlign w:val="bottom"/>
            <w:gridSpan w:val="8"/>
          </w:tcPr>
          <w:p>
            <w:pPr>
              <w:spacing w:after="0"/>
              <w:rPr>
                <w:rFonts w:ascii="Arial" w:cs="Arial" w:eastAsia="Arial" w:hAnsi="Arial"/>
                <w:sz w:val="18"/>
                <w:szCs w:val="18"/>
                <w:color w:val="0000EE"/>
              </w:rPr>
            </w:pPr>
            <w:hyperlink r:id="rId174">
              <w:r>
                <w:rPr>
                  <w:rFonts w:ascii="Arial" w:cs="Arial" w:eastAsia="Arial" w:hAnsi="Arial"/>
                  <w:sz w:val="18"/>
                  <w:szCs w:val="18"/>
                  <w:color w:val="0000EE"/>
                </w:rPr>
                <w:t xml:space="preserve">Equity Distribution Agreement, dated December 14, 2020, between  </w:t>
              </w:r>
            </w:hyperlink>
            <w:r>
              <w:rPr>
                <w:rFonts w:ascii="Arial" w:cs="Arial" w:eastAsia="Arial" w:hAnsi="Arial"/>
                <w:sz w:val="18"/>
                <w:szCs w:val="18"/>
                <w:color w:val="000000"/>
              </w:rPr>
              <w:t>8-K</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740" w:type="dxa"/>
            <w:vAlign w:val="bottom"/>
          </w:tcPr>
          <w:p>
            <w:pPr>
              <w:ind w:left="160"/>
              <w:spacing w:after="0"/>
              <w:rPr>
                <w:sz w:val="20"/>
                <w:szCs w:val="20"/>
                <w:color w:val="auto"/>
              </w:rPr>
            </w:pPr>
            <w:r>
              <w:rPr>
                <w:rFonts w:ascii="Arial" w:cs="Arial" w:eastAsia="Arial" w:hAnsi="Arial"/>
                <w:sz w:val="18"/>
                <w:szCs w:val="18"/>
                <w:color w:val="auto"/>
                <w:w w:val="98"/>
              </w:rPr>
              <w:t>December 14, 2020</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196"/>
        </w:trPr>
        <w:tc>
          <w:tcPr>
            <w:tcW w:w="940" w:type="dxa"/>
            <w:vAlign w:val="bottom"/>
          </w:tcPr>
          <w:p>
            <w:pPr>
              <w:spacing w:after="0"/>
              <w:rPr>
                <w:sz w:val="17"/>
                <w:szCs w:val="17"/>
                <w:color w:val="auto"/>
              </w:rPr>
            </w:pPr>
          </w:p>
        </w:tc>
        <w:tc>
          <w:tcPr>
            <w:tcW w:w="53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 xml:space="preserve">Aptevo Therapeutics Inc. and Piper </w:t>
              </w:r>
              <w:r>
                <w:rPr>
                  <w:rFonts w:ascii="Arial" w:cs="Arial" w:eastAsia="Arial" w:hAnsi="Arial"/>
                  <w:sz w:val="18"/>
                  <w:szCs w:val="18"/>
                  <w:color w:val="000000"/>
                  <w:highlight w:val="white"/>
                </w:rPr>
                <w:t>Sandler &amp; Co</w:t>
              </w:r>
              <w:r>
                <w:rPr>
                  <w:rFonts w:ascii="Arial" w:cs="Arial" w:eastAsia="Arial" w:hAnsi="Arial"/>
                  <w:sz w:val="18"/>
                  <w:szCs w:val="18"/>
                  <w:u w:val="single" w:color="auto"/>
                  <w:color w:val="0000EE"/>
                  <w:highlight w:val="white"/>
                </w:rPr>
                <w:t>.</w:t>
              </w:r>
            </w:hyperlink>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45"/>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29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Subsidiaries of Aptevo Therapeutics Inc.</w:t>
              </w:r>
            </w:hyperlink>
          </w:p>
        </w:tc>
        <w:tc>
          <w:tcPr>
            <w:tcW w:w="298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43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Consent of Independent Registered Public Accounting Firm.</w:t>
              </w:r>
            </w:hyperlink>
          </w:p>
        </w:tc>
        <w:tc>
          <w:tcPr>
            <w:tcW w:w="15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23.2</w:t>
            </w:r>
          </w:p>
        </w:tc>
        <w:tc>
          <w:tcPr>
            <w:tcW w:w="532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05">
              <w:r>
                <w:rPr>
                  <w:rFonts w:ascii="Arial" w:cs="Arial" w:eastAsia="Arial" w:hAnsi="Arial"/>
                  <w:sz w:val="18"/>
                  <w:szCs w:val="18"/>
                  <w:color w:val="0000EE"/>
                  <w:w w:val="97"/>
                </w:rPr>
                <w:t>Consent  of  Ernst  &amp;  Young  LLP,  Independent  Registered  Public</w:t>
              </w:r>
            </w:hyperlink>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Accounting Firm.</w:t>
              </w:r>
            </w:hyperlink>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45"/>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532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06">
              <w:r>
                <w:rPr>
                  <w:rFonts w:ascii="Arial" w:cs="Arial" w:eastAsia="Arial" w:hAnsi="Arial"/>
                  <w:sz w:val="18"/>
                  <w:szCs w:val="18"/>
                  <w:color w:val="0000EE"/>
                  <w:w w:val="94"/>
                </w:rPr>
                <w:t>Certification of Principal Executive Officer Pursuant to Rules 13a-14(a)</w:t>
              </w:r>
            </w:hyperlink>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53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06">
              <w:r>
                <w:rPr>
                  <w:rFonts w:ascii="Arial" w:cs="Arial" w:eastAsia="Arial" w:hAnsi="Arial"/>
                  <w:sz w:val="18"/>
                  <w:szCs w:val="18"/>
                  <w:color w:val="0000EE"/>
                  <w:w w:val="94"/>
                </w:rPr>
                <w:t>and 15d-14(a) under the Securities Exchange Act of 1934, as Adopted</w:t>
              </w:r>
            </w:hyperlink>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Pursuant to Section 302 of the Sarbanes-Oxley Act of 2002.</w:t>
              </w:r>
            </w:hyperlink>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45"/>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5940" w:type="dxa"/>
            <w:vAlign w:val="bottom"/>
            <w:gridSpan w:val="8"/>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Certification of Principal Financial Officer Pursuant to Rules 13a-14(a) and</w:t>
              </w:r>
            </w:hyperlink>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1760" w:type="dxa"/>
            <w:vAlign w:val="bottom"/>
            <w:tcBorders>
              <w:left w:val="single" w:sz="8" w:color="0000EE"/>
            </w:tcBorders>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w w:val="98"/>
              </w:rPr>
            </w:pPr>
            <w:hyperlink w:anchor="page107">
              <w:r>
                <w:rPr>
                  <w:rFonts w:ascii="Arial" w:cs="Arial" w:eastAsia="Arial" w:hAnsi="Arial"/>
                  <w:sz w:val="18"/>
                  <w:szCs w:val="18"/>
                  <w:color w:val="0000EE"/>
                  <w:w w:val="98"/>
                </w:rPr>
                <w:t>15d-14(a) under the Securities Exchange Act of 1934, as Adopted Pursuant</w:t>
              </w:r>
            </w:hyperlink>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3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to Section 302 of the Sarbanes-Oxley Act of 2002.</w:t>
              </w:r>
            </w:hyperlink>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41" w:lineRule="exact"/>
        <w:rPr>
          <w:sz w:val="20"/>
          <w:szCs w:val="20"/>
          <w:color w:val="auto"/>
        </w:rPr>
      </w:pPr>
    </w:p>
    <w:p>
      <w:pPr>
        <w:sectPr>
          <w:pgSz w:w="11900" w:h="16838" w:orient="portrait"/>
          <w:cols w:equalWidth="0" w:num="2">
            <w:col w:w="10260" w:space="520"/>
            <w:col w:w="460"/>
          </w:cols>
          <w:pgMar w:left="320" w:top="334" w:right="3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4920" w:type="dxa"/>
            <w:vAlign w:val="bottom"/>
            <w:gridSpan w:val="3"/>
            <w:vMerge w:val="restart"/>
          </w:tcPr>
          <w:p>
            <w:pPr>
              <w:ind w:left="1920"/>
              <w:spacing w:after="0"/>
              <w:rPr>
                <w:sz w:val="20"/>
                <w:szCs w:val="20"/>
                <w:color w:val="auto"/>
              </w:rPr>
            </w:pPr>
            <w:r>
              <w:rPr>
                <w:rFonts w:ascii="Arial" w:cs="Arial" w:eastAsia="Arial" w:hAnsi="Arial"/>
                <w:sz w:val="14"/>
                <w:szCs w:val="14"/>
                <w:b w:val="1"/>
                <w:bCs w:val="1"/>
                <w:color w:val="auto"/>
              </w:rPr>
              <w:t>Description</w:t>
            </w:r>
          </w:p>
        </w:tc>
        <w:tc>
          <w:tcPr>
            <w:tcW w:w="14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tcPr>
          <w:p>
            <w:pPr>
              <w:jc w:val="center"/>
              <w:ind w:left="42"/>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5200" w:type="dxa"/>
            <w:vAlign w:val="bottom"/>
            <w:tcBorders>
              <w:top w:val="single" w:sz="8" w:color="auto"/>
              <w:bottom w:val="single" w:sz="8" w:color="0000EE"/>
            </w:tcBorders>
            <w:gridSpan w:val="3"/>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Certification of Principal Executive Officer Pursuant to 18 U.S.C. Section</w:t>
              </w:r>
            </w:hyperlink>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left="4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gridSpan w:val="4"/>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1350, as Adopted Pursuant to Section 906 of the Sarbanes-Oxley Act of</w:t>
              </w:r>
            </w:hyperlink>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8">
              <w:r>
                <w:rPr>
                  <w:rFonts w:ascii="Arial" w:cs="Arial" w:eastAsia="Arial" w:hAnsi="Arial"/>
                  <w:sz w:val="18"/>
                  <w:szCs w:val="18"/>
                  <w:color w:val="0000EE"/>
                  <w:w w:val="84"/>
                </w:rPr>
                <w:t>2002.</w:t>
              </w:r>
            </w:hyperlink>
          </w:p>
        </w:tc>
        <w:tc>
          <w:tcPr>
            <w:tcW w:w="46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334" w:right="339" w:bottom="1440" w:gutter="0" w:footer="0" w:header="0"/>
        </w:sectPr>
      </w:pPr>
    </w:p>
    <w:tbl>
      <w:tblPr>
        <w:tblLayout w:type="fixed"/>
        <w:tblInd w:w="60" w:type="dxa"/>
        <w:tblCellMar>
          <w:top w:w="0" w:type="dxa"/>
          <w:left w:w="0" w:type="dxa"/>
          <w:bottom w:w="0" w:type="dxa"/>
          <w:right w:w="0" w:type="dxa"/>
        </w:tblCellMar>
      </w:tblPr>
      <w:tr>
        <w:trPr>
          <w:trHeight w:val="207"/>
        </w:trPr>
        <w:tc>
          <w:tcPr>
            <w:tcW w:w="1020" w:type="dxa"/>
            <w:vAlign w:val="bottom"/>
          </w:tcPr>
          <w:p>
            <w:pPr>
              <w:ind w:left="80"/>
              <w:spacing w:after="0"/>
              <w:rPr>
                <w:sz w:val="20"/>
                <w:szCs w:val="20"/>
                <w:color w:val="auto"/>
              </w:rPr>
            </w:pPr>
            <w:r>
              <w:rPr>
                <w:rFonts w:ascii="Arial" w:cs="Arial" w:eastAsia="Arial" w:hAnsi="Arial"/>
                <w:sz w:val="18"/>
                <w:szCs w:val="18"/>
                <w:color w:val="auto"/>
              </w:rPr>
              <w:t>32.2*</w:t>
            </w:r>
          </w:p>
        </w:tc>
        <w:tc>
          <w:tcPr>
            <w:tcW w:w="53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Certification of Principal Financial Officer Pursuant to 18 U.S.C. Section</w:t>
              </w:r>
            </w:hyperlink>
          </w:p>
        </w:tc>
      </w:tr>
      <w:tr>
        <w:trPr>
          <w:trHeight w:val="196"/>
        </w:trPr>
        <w:tc>
          <w:tcPr>
            <w:tcW w:w="1020" w:type="dxa"/>
            <w:vAlign w:val="bottom"/>
          </w:tcPr>
          <w:p>
            <w:pPr>
              <w:spacing w:after="0"/>
              <w:rPr>
                <w:sz w:val="17"/>
                <w:szCs w:val="17"/>
                <w:color w:val="auto"/>
              </w:rPr>
            </w:pPr>
          </w:p>
        </w:tc>
        <w:tc>
          <w:tcPr>
            <w:tcW w:w="5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1350, as Adopted Pursuant to Section 906 of the Sarbanes-Oxley Act of</w:t>
              </w:r>
            </w:hyperlink>
          </w:p>
        </w:tc>
      </w:tr>
      <w:tr>
        <w:trPr>
          <w:trHeight w:val="196"/>
        </w:trPr>
        <w:tc>
          <w:tcPr>
            <w:tcW w:w="10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09">
              <w:r>
                <w:rPr>
                  <w:rFonts w:ascii="Arial" w:cs="Arial" w:eastAsia="Arial" w:hAnsi="Arial"/>
                  <w:sz w:val="18"/>
                  <w:szCs w:val="18"/>
                  <w:color w:val="0000EE"/>
                  <w:w w:val="84"/>
                </w:rPr>
                <w:t>2002.</w:t>
              </w:r>
            </w:hyperlink>
          </w:p>
        </w:tc>
        <w:tc>
          <w:tcPr>
            <w:tcW w:w="4920" w:type="dxa"/>
            <w:vAlign w:val="bottom"/>
          </w:tcPr>
          <w:p>
            <w:pPr>
              <w:spacing w:after="0"/>
              <w:rPr>
                <w:sz w:val="17"/>
                <w:szCs w:val="17"/>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6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6" w:lineRule="exact"/>
        <w:rPr>
          <w:sz w:val="20"/>
          <w:szCs w:val="20"/>
          <w:color w:val="auto"/>
        </w:rPr>
      </w:pPr>
    </w:p>
    <w:p>
      <w:pPr>
        <w:sectPr>
          <w:pgSz w:w="11900" w:h="16838" w:orient="portrait"/>
          <w:cols w:equalWidth="0" w:num="2">
            <w:col w:w="10060" w:space="720"/>
            <w:col w:w="460"/>
          </w:cols>
          <w:pgMar w:left="320" w:top="334" w:right="339" w:bottom="1440" w:gutter="0" w:footer="0" w:header="0"/>
          <w:type w:val="continuous"/>
        </w:sectPr>
      </w:pPr>
    </w:p>
    <w:p>
      <w:pPr>
        <w:spacing w:after="0" w:line="29" w:lineRule="exact"/>
        <w:rPr>
          <w:sz w:val="20"/>
          <w:szCs w:val="20"/>
          <w:color w:val="auto"/>
        </w:rPr>
      </w:pPr>
    </w:p>
    <w:p>
      <w:pPr>
        <w:jc w:val="both"/>
        <w:ind w:left="580" w:hanging="572"/>
        <w:spacing w:after="0" w:line="255"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3" w:lineRule="exact"/>
        <w:rPr>
          <w:sz w:val="20"/>
          <w:szCs w:val="20"/>
          <w:color w:val="auto"/>
        </w:rPr>
      </w:pPr>
    </w:p>
    <w:p>
      <w:pPr>
        <w:ind w:left="58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granted from the Securities and Exchange Commission as to certain portions, which portions have been omitted and filed separately with the Securities and Exchange Commission.</w:t>
      </w:r>
    </w:p>
    <w:p>
      <w:pPr>
        <w:spacing w:after="0" w:line="1"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9" w:lineRule="exact"/>
        <w:rPr>
          <w:sz w:val="20"/>
          <w:szCs w:val="20"/>
          <w:color w:val="auto"/>
        </w:rPr>
      </w:pPr>
    </w:p>
    <w:p>
      <w:pPr>
        <w:ind w:left="580" w:hanging="572"/>
        <w:spacing w:after="0" w:line="260"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Aptevo will furnish copies of any such schedules to the Securities and Exchange Commission upon request.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chosen not to include the summary permitted by this Item 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060" w:type="dxa"/>
            <w:vAlign w:val="bottom"/>
            <w:gridSpan w:val="2"/>
          </w:tcPr>
          <w:p>
            <w:pPr>
              <w:ind w:left="2580"/>
              <w:spacing w:after="0"/>
              <w:rPr>
                <w:sz w:val="20"/>
                <w:szCs w:val="20"/>
                <w:color w:val="auto"/>
              </w:rPr>
            </w:pPr>
            <w:r>
              <w:rPr>
                <w:rFonts w:ascii="Arial" w:cs="Arial" w:eastAsia="Arial" w:hAnsi="Arial"/>
                <w:sz w:val="18"/>
                <w:szCs w:val="18"/>
                <w:color w:val="auto"/>
              </w:rPr>
              <w:t>Company Name</w:t>
            </w:r>
          </w:p>
        </w:tc>
      </w:tr>
      <w:tr>
        <w:trPr>
          <w:trHeight w:val="486"/>
        </w:trPr>
        <w:tc>
          <w:tcPr>
            <w:tcW w:w="4180" w:type="dxa"/>
            <w:vAlign w:val="bottom"/>
          </w:tcPr>
          <w:p>
            <w:pPr>
              <w:spacing w:after="0"/>
              <w:rPr>
                <w:sz w:val="20"/>
                <w:szCs w:val="20"/>
                <w:color w:val="auto"/>
              </w:rPr>
            </w:pPr>
            <w:r>
              <w:rPr>
                <w:rFonts w:ascii="Arial" w:cs="Arial" w:eastAsia="Arial" w:hAnsi="Arial"/>
                <w:sz w:val="18"/>
                <w:szCs w:val="18"/>
                <w:color w:val="auto"/>
              </w:rPr>
              <w:t>Date: March 31, 2021</w:t>
            </w:r>
          </w:p>
        </w:tc>
        <w:tc>
          <w:tcPr>
            <w:tcW w:w="7060" w:type="dxa"/>
            <w:vAlign w:val="bottom"/>
            <w:gridSpan w:val="2"/>
          </w:tcPr>
          <w:p>
            <w:pPr>
              <w:ind w:left="2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Marvin L. White</w:t>
            </w:r>
          </w:p>
        </w:tc>
      </w:tr>
      <w:tr>
        <w:trPr>
          <w:trHeight w:val="222"/>
        </w:trPr>
        <w:tc>
          <w:tcPr>
            <w:tcW w:w="4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Marvin L. White</w:t>
            </w:r>
          </w:p>
        </w:tc>
      </w:tr>
      <w:tr>
        <w:trPr>
          <w:trHeight w:val="230"/>
        </w:trPr>
        <w:tc>
          <w:tcPr>
            <w:tcW w:w="4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p>
      <w:pPr>
        <w:ind w:left="1740"/>
        <w:spacing w:after="0"/>
        <w:tabs>
          <w:tab w:leader="none" w:pos="6260" w:val="left"/>
          <w:tab w:leader="none" w:pos="99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/s/Marvin L. White</w:t>
            </w:r>
          </w:p>
        </w:tc>
        <w:tc>
          <w:tcPr>
            <w:tcW w:w="444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31, 2021</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rPr>
              <w:t>Marvin L. White</w:t>
            </w:r>
          </w:p>
        </w:tc>
        <w:tc>
          <w:tcPr>
            <w:tcW w:w="4440" w:type="dxa"/>
            <w:vAlign w:val="bottom"/>
          </w:tcPr>
          <w:p>
            <w:pPr>
              <w:ind w:left="140"/>
              <w:spacing w:after="0"/>
              <w:rPr>
                <w:sz w:val="20"/>
                <w:szCs w:val="20"/>
                <w:color w:val="auto"/>
              </w:rPr>
            </w:pPr>
            <w:r>
              <w:rPr>
                <w:rFonts w:ascii="Arial" w:cs="Arial" w:eastAsia="Arial" w:hAnsi="Arial"/>
                <w:sz w:val="14"/>
                <w:szCs w:val="14"/>
                <w:color w:val="auto"/>
              </w:rPr>
              <w:t>(Principal Executive Officer)</w:t>
            </w: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/s/Jeffrey G. Lamothe</w:t>
            </w:r>
          </w:p>
        </w:tc>
        <w:tc>
          <w:tcPr>
            <w:tcW w:w="444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31, 2021</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4"/>
              </w:rPr>
              <w:t>Jeffrey Lamothe</w:t>
            </w:r>
          </w:p>
        </w:tc>
        <w:tc>
          <w:tcPr>
            <w:tcW w:w="4440" w:type="dxa"/>
            <w:vAlign w:val="bottom"/>
          </w:tcPr>
          <w:p>
            <w:pPr>
              <w:ind w:left="140"/>
              <w:spacing w:after="0"/>
              <w:rPr>
                <w:sz w:val="20"/>
                <w:szCs w:val="20"/>
                <w:color w:val="auto"/>
              </w:rPr>
            </w:pPr>
            <w:r>
              <w:rPr>
                <w:rFonts w:ascii="Arial" w:cs="Arial" w:eastAsia="Arial" w:hAnsi="Arial"/>
                <w:sz w:val="14"/>
                <w:szCs w:val="14"/>
                <w:color w:val="auto"/>
              </w:rPr>
              <w:t>(Principal Financial and Accounting Officer)</w:t>
            </w: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ind w:left="1280"/>
              <w:spacing w:after="0"/>
              <w:rPr>
                <w:sz w:val="20"/>
                <w:szCs w:val="20"/>
                <w:color w:val="auto"/>
              </w:rPr>
            </w:pPr>
            <w:r>
              <w:rPr>
                <w:rFonts w:ascii="Arial" w:cs="Arial" w:eastAsia="Arial" w:hAnsi="Arial"/>
                <w:sz w:val="18"/>
                <w:szCs w:val="18"/>
                <w:i w:val="1"/>
                <w:iCs w:val="1"/>
                <w:color w:val="auto"/>
              </w:rPr>
              <w:t>/s/Fuad El-Hibri</w:t>
            </w:r>
          </w:p>
        </w:tc>
        <w:tc>
          <w:tcPr>
            <w:tcW w:w="4440" w:type="dxa"/>
            <w:vAlign w:val="bottom"/>
          </w:tcPr>
          <w:p>
            <w:pPr>
              <w:ind w:left="140"/>
              <w:spacing w:after="0"/>
              <w:rPr>
                <w:sz w:val="20"/>
                <w:szCs w:val="20"/>
                <w:color w:val="auto"/>
              </w:rPr>
            </w:pPr>
            <w:r>
              <w:rPr>
                <w:rFonts w:ascii="Arial" w:cs="Arial" w:eastAsia="Arial" w:hAnsi="Arial"/>
                <w:sz w:val="18"/>
                <w:szCs w:val="18"/>
                <w:color w:val="auto"/>
              </w:rPr>
              <w:t>Chairman of the Board of Directors</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31, 2021</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8"/>
              </w:rPr>
              <w:t>Fuad El-Hibri</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/s/Daniel J. Abdun-Nabi</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31, 2021</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Daniel J. Abdun-Nabi</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/s/Grady Grant, III</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31, 2021</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rPr>
              <w:t>Grady Grant, III</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/s/Zsolt Harsanyi, Ph. D</w:t>
            </w:r>
            <w:r>
              <w:rPr>
                <w:rFonts w:ascii="Arial" w:cs="Arial" w:eastAsia="Arial" w:hAnsi="Arial"/>
                <w:sz w:val="18"/>
                <w:szCs w:val="18"/>
                <w:color w:val="auto"/>
                <w:w w:val="92"/>
              </w:rPr>
              <w:t>.</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31, 2021</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Zsolt Harsanyi, Ph. D.</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/s/Barbara Lopez Kunz</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31, 2021</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6"/>
              </w:rPr>
              <w:t>Barbara Lopez Kunz</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/s/John E. Niederhuber, M.D.</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31, 2021</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John E. Niederhuber, M.D.</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624"/>
        </w:trPr>
        <w:tc>
          <w:tcPr>
            <w:tcW w:w="3820" w:type="dxa"/>
            <w:vAlign w:val="bottom"/>
          </w:tcPr>
          <w:p>
            <w:pPr>
              <w:spacing w:after="0"/>
              <w:rPr>
                <w:sz w:val="24"/>
                <w:szCs w:val="24"/>
                <w:color w:val="auto"/>
              </w:rPr>
            </w:pPr>
          </w:p>
        </w:tc>
        <w:tc>
          <w:tcPr>
            <w:tcW w:w="4440" w:type="dxa"/>
            <w:vAlign w:val="bottom"/>
          </w:tcPr>
          <w:p>
            <w:pPr>
              <w:ind w:left="1720"/>
              <w:spacing w:after="0"/>
              <w:rPr>
                <w:sz w:val="20"/>
                <w:szCs w:val="20"/>
                <w:color w:val="auto"/>
              </w:rPr>
            </w:pPr>
            <w:r>
              <w:rPr>
                <w:rFonts w:ascii="Arial" w:cs="Arial" w:eastAsia="Arial" w:hAnsi="Arial"/>
                <w:sz w:val="18"/>
                <w:szCs w:val="18"/>
                <w:color w:val="auto"/>
              </w:rPr>
              <w:t>97</w:t>
            </w:r>
          </w:p>
        </w:tc>
        <w:tc>
          <w:tcPr>
            <w:tcW w:w="18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4.5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30"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The following description of the common stock, par value $0.001 per share (the “common stock”), of Aptevo Therapeutics Inc. (“us,” “our,” “we” or the “Company”), which is the only security of the Company registered under Section 12 of the Securities Exchange Act of 1934, as amended (the “Exchange Act”), summarizes certain information regarding the common stock in our amended and restated certificate of incorporation, our amended and restated bylaws, applicable provisions of the Delaware General Corporation Law (the “DGCL”) and pursuant to our rights plan, and is qualified by reference to our amended and restated certificate of incorporation, amended and restated bylaws and rights agreement, which are incorporated by reference as Exhibit 3.1, Exhibit 3.2, and Exhibit 4.4 respectively, to our Annual Report on Form 10-K of which this Exhibit 4.5 is a part.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6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Our authorized capital stock consists of 500,000,000 shares of common stock and 15,000,000 shares of preferred stock, $0.001 par value per share (the “preferred stock”). Our common stock is registered under Section 12(b) of the Exchange Act and is listed on the Nasdaq Capital Market under the trading symbol “APVO.”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Voting Rights</w:t>
      </w:r>
    </w:p>
    <w:p>
      <w:pPr>
        <w:spacing w:after="0" w:line="15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jc w:val="both"/>
        <w:ind w:right="20" w:firstLine="864"/>
        <w:spacing w:after="0" w:line="308" w:lineRule="auto"/>
        <w:rPr>
          <w:sz w:val="20"/>
          <w:szCs w:val="20"/>
          <w:color w:val="auto"/>
        </w:rPr>
      </w:pPr>
      <w:r>
        <w:rPr>
          <w:rFonts w:ascii="Arial" w:cs="Arial" w:eastAsia="Arial" w:hAnsi="Arial"/>
          <w:sz w:val="17"/>
          <w:szCs w:val="17"/>
          <w:color w:val="auto"/>
        </w:rPr>
        <w:t>Subject to preferences that may be applicable to any then-outstanding shares of preferred stock, holders of common stock are entitled to receive ratably those dividends, if any, as may be declared from time to time by our board of directors out of legally available funds.</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Liquidation</w:t>
      </w:r>
    </w:p>
    <w:p>
      <w:pPr>
        <w:spacing w:after="0" w:line="14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Rights and Preferences</w:t>
      </w:r>
    </w:p>
    <w:p>
      <w:pPr>
        <w:spacing w:after="0" w:line="15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Each share of common stock includes an associated right pursuant to and as set forth in the Rights Agreement that we entered into with Broadridge Corporate Issuer Solutions, Inc. on November 8, 2020 (the “rights agreement”). Each right initially represents the right to purchase from us one one-thousandth of a share of our Series A Junior Participating Preferred Stock, par value $0.001 per share. This right is not exercisable until the occurrence of certain events specified in such rights agreement. The value attributable to these rights, if any, is reflected in the value of our common stock. The rights agreement and the rights granted thereunder will expire upon the earliest to occur of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date on which all of such rights are redeemed, (ii) the date on which such rights are exchanged, and (iii) the close of business on November 8, 2021.</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Fully Paid and Nonassessable</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Pursuant to our amended and restated certificate of incorporation, our board of directors has the authority, without further action by our stockholders, to designate up to 15,000,000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w:t>
      </w:r>
    </w:p>
    <w:p>
      <w:pPr>
        <w:spacing w:after="0" w:line="10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Certificate of Incorporation, Our Bylaws, the DGCL and our Rights Plan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Delaware Law</w:t>
      </w:r>
    </w:p>
    <w:p>
      <w:pPr>
        <w:spacing w:after="0" w:line="144" w:lineRule="exact"/>
        <w:rPr>
          <w:sz w:val="20"/>
          <w:szCs w:val="20"/>
          <w:color w:val="auto"/>
        </w:rPr>
      </w:pPr>
    </w:p>
    <w:p>
      <w:pPr>
        <w:jc w:val="both"/>
        <w:ind w:right="20" w:firstLine="864"/>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4" w:lineRule="exact"/>
        <w:rPr>
          <w:sz w:val="20"/>
          <w:szCs w:val="20"/>
          <w:color w:val="auto"/>
        </w:rPr>
      </w:pPr>
    </w:p>
    <w:p>
      <w:pPr>
        <w:ind w:left="1300" w:hanging="442"/>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210" w:lineRule="exact"/>
        <w:rPr>
          <w:rFonts w:ascii="Arial" w:cs="Arial" w:eastAsia="Arial" w:hAnsi="Arial"/>
          <w:sz w:val="18"/>
          <w:szCs w:val="18"/>
          <w:color w:val="auto"/>
        </w:rPr>
      </w:pPr>
    </w:p>
    <w:p>
      <w:pPr>
        <w:jc w:val="both"/>
        <w:ind w:left="1300" w:hanging="442"/>
        <w:spacing w:after="0" w:line="275"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216" w:lineRule="exact"/>
        <w:rPr>
          <w:rFonts w:ascii="Arial" w:cs="Arial" w:eastAsia="Arial" w:hAnsi="Arial"/>
          <w:sz w:val="17"/>
          <w:szCs w:val="17"/>
          <w:color w:val="auto"/>
        </w:rPr>
      </w:pPr>
    </w:p>
    <w:p>
      <w:pPr>
        <w:jc w:val="both"/>
        <w:ind w:left="1300" w:hanging="442"/>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17" w:lineRule="exact"/>
        <w:rPr>
          <w:sz w:val="20"/>
          <w:szCs w:val="20"/>
          <w:color w:val="auto"/>
        </w:rPr>
      </w:pPr>
    </w:p>
    <w:p>
      <w:pPr>
        <w:ind w:left="1300" w:hanging="44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79" w:lineRule="exact"/>
        <w:rPr>
          <w:rFonts w:ascii="Arial" w:cs="Arial" w:eastAsia="Arial" w:hAnsi="Arial"/>
          <w:sz w:val="18"/>
          <w:szCs w:val="18"/>
          <w:color w:val="auto"/>
        </w:rPr>
      </w:pPr>
    </w:p>
    <w:p>
      <w:pPr>
        <w:ind w:left="1300" w:hanging="442"/>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90" w:lineRule="exact"/>
        <w:rPr>
          <w:rFonts w:ascii="Arial" w:cs="Arial" w:eastAsia="Arial" w:hAnsi="Arial"/>
          <w:sz w:val="17"/>
          <w:szCs w:val="17"/>
          <w:color w:val="auto"/>
        </w:rPr>
      </w:pPr>
    </w:p>
    <w:p>
      <w:pPr>
        <w:ind w:left="1300" w:right="200" w:hanging="44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0" w:lineRule="exact"/>
        <w:rPr>
          <w:rFonts w:ascii="Arial" w:cs="Arial" w:eastAsia="Arial" w:hAnsi="Arial"/>
          <w:sz w:val="18"/>
          <w:szCs w:val="18"/>
          <w:color w:val="auto"/>
        </w:rPr>
      </w:pPr>
    </w:p>
    <w:p>
      <w:pPr>
        <w:ind w:left="1300" w:right="100" w:hanging="44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10" w:lineRule="exact"/>
        <w:rPr>
          <w:rFonts w:ascii="Arial" w:cs="Arial" w:eastAsia="Arial" w:hAnsi="Arial"/>
          <w:sz w:val="18"/>
          <w:szCs w:val="18"/>
          <w:color w:val="auto"/>
        </w:rPr>
      </w:pPr>
    </w:p>
    <w:p>
      <w:pPr>
        <w:ind w:left="1300" w:right="580" w:hanging="44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jc w:val="both"/>
        <w:ind w:firstLine="864"/>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Staggered Board; Removal of Directors</w:t>
      </w:r>
    </w:p>
    <w:p>
      <w:pPr>
        <w:spacing w:after="0" w:line="171"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Our certificate of incorporation and our bylaws also provide that directors may be removed by the stockholders only for cause upon the vote of 75%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17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Requirements for Advance Notification of Stockholder Nominations, Proposals and Amendments.</w:t>
      </w:r>
    </w:p>
    <w:p>
      <w:pPr>
        <w:spacing w:after="0" w:line="17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Our certificate of incorporation and bylaws provide that the stockholders cannot amend many of the provisions described above except by a vote of 75% or more of our outstanding common stock.</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Shareholder Rights Plan</w:t>
      </w:r>
    </w:p>
    <w:p>
      <w:pPr>
        <w:spacing w:after="0" w:line="17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On November 8, 2020, our board of directors adopted a rights plan pursuant to our rights agreement. The rights plan works by causing substantial dilution to any person or group that acquires beneficial ownership of ten percent (10%) or more of our common stock without the approval of our board of directors. As a result, the overall effect of the rights plan and the issuance of the rights pursuant to the rights plan may be to render more difficult or discourage a merger, tender or exchange offer or other business combination involving the Company that is not approved by our board of directors. The rights plan is not intended to interfere with any merger, tender or exchange offer or other business combination approved by our board of directors. The rights plan also does not prevent our board of directors from considering any offer that it considers to be in the best interest of our stockholders.</w:t>
      </w:r>
    </w:p>
    <w:p>
      <w:pPr>
        <w:spacing w:after="0" w:line="14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ectPr>
          <w:pgSz w:w="11900" w:h="16838" w:orient="portrait"/>
          <w:cols w:equalWidth="0" w:num="1">
            <w:col w:w="11240"/>
          </w:cols>
          <w:pgMar w:left="320" w:top="503"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LIST OF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200" w:lineRule="exact"/>
        <w:rPr>
          <w:sz w:val="20"/>
          <w:szCs w:val="20"/>
          <w:color w:val="auto"/>
        </w:rPr>
      </w:pPr>
    </w:p>
    <w:p>
      <w:pPr>
        <w:sectPr>
          <w:pgSz w:w="11900" w:h="16838" w:orient="portrait"/>
          <w:cols w:equalWidth="0" w:num="2">
            <w:col w:w="5140" w:space="720"/>
            <w:col w:w="5380"/>
          </w:cols>
          <w:pgMar w:left="320" w:top="121"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Aptevo Research and Development LLC</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5140" w:space="720"/>
            <w:col w:w="5380"/>
          </w:cols>
          <w:pgMar w:left="320" w:top="121" w:right="33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9"/>
          <w:szCs w:val="19"/>
          <w:b w:val="1"/>
          <w:bCs w:val="1"/>
          <w:color w:val="333333"/>
        </w:rPr>
        <w:t>Exhibit 23.1</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220" w:lineRule="exact"/>
        <w:rPr>
          <w:sz w:val="20"/>
          <w:szCs w:val="20"/>
          <w:color w:val="auto"/>
        </w:rPr>
      </w:pPr>
    </w:p>
    <w:p>
      <w:pPr>
        <w:jc w:val="both"/>
        <w:ind w:right="280"/>
        <w:spacing w:after="0" w:line="249" w:lineRule="auto"/>
        <w:rPr>
          <w:sz w:val="20"/>
          <w:szCs w:val="20"/>
          <w:color w:val="auto"/>
        </w:rPr>
      </w:pPr>
      <w:r>
        <w:rPr>
          <w:rFonts w:ascii="Arial" w:cs="Arial" w:eastAsia="Arial" w:hAnsi="Arial"/>
          <w:sz w:val="19"/>
          <w:szCs w:val="19"/>
          <w:color w:val="333333"/>
        </w:rPr>
        <w:t xml:space="preserve">We consent to the incorporation by reference in the following Registration Statements of </w:t>
      </w:r>
      <w:r>
        <w:rPr>
          <w:rFonts w:ascii="Arial" w:cs="Arial" w:eastAsia="Arial" w:hAnsi="Arial"/>
          <w:sz w:val="19"/>
          <w:szCs w:val="19"/>
          <w:color w:val="000000"/>
        </w:rPr>
        <w:t>Aptevo Therapeutics Inc. of our report dated March 31,</w:t>
      </w:r>
      <w:r>
        <w:rPr>
          <w:rFonts w:ascii="Arial" w:cs="Arial" w:eastAsia="Arial" w:hAnsi="Arial"/>
          <w:sz w:val="19"/>
          <w:szCs w:val="19"/>
          <w:color w:val="333333"/>
        </w:rPr>
        <w:t xml:space="preserve"> </w:t>
      </w:r>
      <w:r>
        <w:rPr>
          <w:rFonts w:ascii="Arial" w:cs="Arial" w:eastAsia="Arial" w:hAnsi="Arial"/>
          <w:sz w:val="19"/>
          <w:szCs w:val="19"/>
          <w:color w:val="000000"/>
        </w:rPr>
        <w:t>2021, relating to the 2020 consolidated financial statements of Aptevo Therapeutics Inc., appearing in this Annual Report on Form 10-K for the year ended December 31, 2020.</w:t>
      </w:r>
    </w:p>
    <w:p>
      <w:pPr>
        <w:spacing w:after="0" w:line="103" w:lineRule="exact"/>
        <w:rPr>
          <w:sz w:val="20"/>
          <w:szCs w:val="20"/>
          <w:color w:val="auto"/>
        </w:rPr>
      </w:pPr>
    </w:p>
    <w:p>
      <w:pPr>
        <w:ind w:left="880" w:right="620" w:hanging="440"/>
        <w:spacing w:after="0" w:line="246" w:lineRule="auto"/>
        <w:tabs>
          <w:tab w:leader="none" w:pos="880" w:val="left"/>
        </w:tabs>
        <w:numPr>
          <w:ilvl w:val="0"/>
          <w:numId w:val="43"/>
        </w:numPr>
        <w:rPr>
          <w:rFonts w:ascii="Arial" w:cs="Arial" w:eastAsia="Arial" w:hAnsi="Arial"/>
          <w:sz w:val="18"/>
          <w:szCs w:val="18"/>
          <w:color w:val="333333"/>
        </w:rPr>
      </w:pPr>
      <w:r>
        <w:rPr>
          <w:rFonts w:ascii="Arial" w:cs="Arial" w:eastAsia="Arial" w:hAnsi="Arial"/>
          <w:sz w:val="19"/>
          <w:szCs w:val="19"/>
          <w:color w:val="333333"/>
        </w:rPr>
        <w:t>Registration Statement in Form S-8 (No. 333-213108) pertaining to the Converted Equity Awards Incentive Plan and 2016 Stock Incentive Plan of Aptevo Therapeutics Inc.,</w:t>
      </w:r>
    </w:p>
    <w:p>
      <w:pPr>
        <w:ind w:left="880" w:hanging="440"/>
        <w:spacing w:after="0"/>
        <w:tabs>
          <w:tab w:leader="none" w:pos="880" w:val="left"/>
        </w:tabs>
        <w:numPr>
          <w:ilvl w:val="0"/>
          <w:numId w:val="43"/>
        </w:numPr>
        <w:rPr>
          <w:rFonts w:ascii="Arial" w:cs="Arial" w:eastAsia="Arial" w:hAnsi="Arial"/>
          <w:sz w:val="17"/>
          <w:szCs w:val="17"/>
          <w:color w:val="333333"/>
        </w:rPr>
      </w:pPr>
      <w:r>
        <w:rPr>
          <w:rFonts w:ascii="Arial" w:cs="Arial" w:eastAsia="Arial" w:hAnsi="Arial"/>
          <w:sz w:val="18"/>
          <w:szCs w:val="18"/>
          <w:color w:val="333333"/>
        </w:rPr>
        <w:t>Registration Statement on Form S-8 (No. 333-219875) pertaining to the 2016 Stock Incentive Plan of Aptevo Therapeutics Inc.,</w:t>
      </w:r>
    </w:p>
    <w:p>
      <w:pPr>
        <w:spacing w:after="0" w:line="17" w:lineRule="exact"/>
        <w:rPr>
          <w:rFonts w:ascii="Arial" w:cs="Arial" w:eastAsia="Arial" w:hAnsi="Arial"/>
          <w:sz w:val="17"/>
          <w:szCs w:val="17"/>
          <w:color w:val="333333"/>
        </w:rPr>
      </w:pPr>
    </w:p>
    <w:p>
      <w:pPr>
        <w:ind w:left="880" w:hanging="440"/>
        <w:spacing w:after="0"/>
        <w:tabs>
          <w:tab w:leader="none" w:pos="880" w:val="left"/>
        </w:tabs>
        <w:numPr>
          <w:ilvl w:val="0"/>
          <w:numId w:val="43"/>
        </w:numPr>
        <w:rPr>
          <w:rFonts w:ascii="Arial" w:cs="Arial" w:eastAsia="Arial" w:hAnsi="Arial"/>
          <w:sz w:val="17"/>
          <w:szCs w:val="17"/>
          <w:color w:val="333333"/>
        </w:rPr>
      </w:pPr>
      <w:r>
        <w:rPr>
          <w:rFonts w:ascii="Arial" w:cs="Arial" w:eastAsia="Arial" w:hAnsi="Arial"/>
          <w:sz w:val="18"/>
          <w:szCs w:val="18"/>
          <w:color w:val="333333"/>
        </w:rPr>
        <w:t>Registration Statement on Form S-8 (No. 333-226717) pertaining to the 2018 Stock Incentive Plan of Aptevo Therapeutics Inc.,</w:t>
      </w:r>
    </w:p>
    <w:p>
      <w:pPr>
        <w:spacing w:after="0" w:line="22" w:lineRule="exact"/>
        <w:rPr>
          <w:rFonts w:ascii="Arial" w:cs="Arial" w:eastAsia="Arial" w:hAnsi="Arial"/>
          <w:sz w:val="17"/>
          <w:szCs w:val="17"/>
          <w:color w:val="333333"/>
        </w:rPr>
      </w:pPr>
    </w:p>
    <w:p>
      <w:pPr>
        <w:ind w:left="880" w:hanging="440"/>
        <w:spacing w:after="0"/>
        <w:tabs>
          <w:tab w:leader="none" w:pos="880" w:val="left"/>
        </w:tabs>
        <w:numPr>
          <w:ilvl w:val="0"/>
          <w:numId w:val="43"/>
        </w:numPr>
        <w:rPr>
          <w:rFonts w:ascii="Arial" w:cs="Arial" w:eastAsia="Arial" w:hAnsi="Arial"/>
          <w:sz w:val="18"/>
          <w:szCs w:val="18"/>
          <w:color w:val="333333"/>
        </w:rPr>
      </w:pPr>
      <w:r>
        <w:rPr>
          <w:rFonts w:ascii="Arial" w:cs="Arial" w:eastAsia="Arial" w:hAnsi="Arial"/>
          <w:sz w:val="19"/>
          <w:szCs w:val="19"/>
          <w:color w:val="333333"/>
        </w:rPr>
        <w:t>Registration Statement on Form S-3 (No. 333-221499 and No. 333-251318) of Aptevo Therapeutics Inc., and</w:t>
      </w:r>
    </w:p>
    <w:p>
      <w:pPr>
        <w:spacing w:after="0" w:line="11" w:lineRule="exact"/>
        <w:rPr>
          <w:rFonts w:ascii="Arial" w:cs="Arial" w:eastAsia="Arial" w:hAnsi="Arial"/>
          <w:sz w:val="18"/>
          <w:szCs w:val="18"/>
          <w:color w:val="333333"/>
        </w:rPr>
      </w:pPr>
    </w:p>
    <w:p>
      <w:pPr>
        <w:ind w:left="880" w:hanging="440"/>
        <w:spacing w:after="0"/>
        <w:tabs>
          <w:tab w:leader="none" w:pos="880" w:val="left"/>
        </w:tabs>
        <w:numPr>
          <w:ilvl w:val="0"/>
          <w:numId w:val="43"/>
        </w:numPr>
        <w:rPr>
          <w:rFonts w:ascii="Arial" w:cs="Arial" w:eastAsia="Arial" w:hAnsi="Arial"/>
          <w:sz w:val="18"/>
          <w:szCs w:val="18"/>
          <w:color w:val="333333"/>
        </w:rPr>
      </w:pPr>
      <w:r>
        <w:rPr>
          <w:rFonts w:ascii="Arial" w:cs="Arial" w:eastAsia="Arial" w:hAnsi="Arial"/>
          <w:sz w:val="19"/>
          <w:szCs w:val="19"/>
          <w:color w:val="333333"/>
        </w:rPr>
        <w:t>Registration Statement on Form S-3 (No. 333-229115) of Aptevo Therapeutics Inc.</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/s/ Moss Adams LLP</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March 31, 2021</w:t>
      </w:r>
    </w:p>
    <w:p>
      <w:pPr>
        <w:sectPr>
          <w:pgSz w:w="11900" w:h="16838" w:orient="portrait"/>
          <w:cols w:equalWidth="0" w:num="1">
            <w:col w:w="11240"/>
          </w:cols>
          <w:pgMar w:left="320" w:top="34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9"/>
          <w:szCs w:val="19"/>
          <w:b w:val="1"/>
          <w:bCs w:val="1"/>
          <w:color w:val="333333"/>
        </w:rPr>
        <w:t>Exhibit 23.2</w:t>
      </w:r>
    </w:p>
    <w:p>
      <w:pPr>
        <w:spacing w:after="0" w:line="362" w:lineRule="exact"/>
        <w:rPr>
          <w:sz w:val="20"/>
          <w:szCs w:val="20"/>
          <w:color w:val="auto"/>
        </w:rPr>
      </w:pPr>
    </w:p>
    <w:p>
      <w:pPr>
        <w:ind w:left="2360"/>
        <w:spacing w:after="0"/>
        <w:rPr>
          <w:sz w:val="20"/>
          <w:szCs w:val="20"/>
          <w:color w:val="auto"/>
        </w:rPr>
      </w:pPr>
      <w:r>
        <w:rPr>
          <w:rFonts w:ascii="Arial" w:cs="Arial" w:eastAsia="Arial" w:hAnsi="Arial"/>
          <w:sz w:val="19"/>
          <w:szCs w:val="19"/>
          <w:b w:val="1"/>
          <w:bCs w:val="1"/>
          <w:color w:val="333333"/>
        </w:rPr>
        <w:t>Consent of Ernst &amp; Young LLP,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333333"/>
        </w:rPr>
        <w:t>We consent to the incorporation by reference in the following Registration Statements:</w:t>
      </w:r>
    </w:p>
    <w:p>
      <w:pPr>
        <w:spacing w:after="0" w:line="214" w:lineRule="exact"/>
        <w:rPr>
          <w:sz w:val="20"/>
          <w:szCs w:val="20"/>
          <w:color w:val="auto"/>
        </w:rPr>
      </w:pPr>
    </w:p>
    <w:p>
      <w:pPr>
        <w:ind w:left="880" w:right="60" w:hanging="440"/>
        <w:spacing w:after="0" w:line="246" w:lineRule="auto"/>
        <w:tabs>
          <w:tab w:leader="none" w:pos="880" w:val="left"/>
        </w:tabs>
        <w:numPr>
          <w:ilvl w:val="0"/>
          <w:numId w:val="44"/>
        </w:numPr>
        <w:rPr>
          <w:rFonts w:ascii="Arial" w:cs="Arial" w:eastAsia="Arial" w:hAnsi="Arial"/>
          <w:sz w:val="19"/>
          <w:szCs w:val="19"/>
          <w:color w:val="333333"/>
        </w:rPr>
      </w:pPr>
      <w:r>
        <w:rPr>
          <w:rFonts w:ascii="Arial" w:cs="Arial" w:eastAsia="Arial" w:hAnsi="Arial"/>
          <w:sz w:val="19"/>
          <w:szCs w:val="19"/>
          <w:color w:val="333333"/>
        </w:rPr>
        <w:t>Registration Statement (Form S-8 No. 333-213108) pertaining to the Converted Equity Awards Incentive Plan and 2016 Stock Incentive Plan of Aptevo Therapeutics Inc.,</w:t>
      </w:r>
    </w:p>
    <w:p>
      <w:pPr>
        <w:ind w:left="880" w:hanging="440"/>
        <w:spacing w:after="0"/>
        <w:tabs>
          <w:tab w:leader="none" w:pos="880" w:val="left"/>
        </w:tabs>
        <w:numPr>
          <w:ilvl w:val="0"/>
          <w:numId w:val="44"/>
        </w:numPr>
        <w:rPr>
          <w:rFonts w:ascii="Arial" w:cs="Arial" w:eastAsia="Arial" w:hAnsi="Arial"/>
          <w:sz w:val="18"/>
          <w:szCs w:val="18"/>
          <w:color w:val="333333"/>
        </w:rPr>
      </w:pPr>
      <w:r>
        <w:rPr>
          <w:rFonts w:ascii="Arial" w:cs="Arial" w:eastAsia="Arial" w:hAnsi="Arial"/>
          <w:sz w:val="18"/>
          <w:szCs w:val="18"/>
          <w:color w:val="333333"/>
        </w:rPr>
        <w:t>Registration Statement (Form S-8 No. 333-219875) pertaining to the 2016 Stock Incentive Plan of Aptevo Therapeutics Inc.,</w:t>
      </w:r>
    </w:p>
    <w:p>
      <w:pPr>
        <w:spacing w:after="0" w:line="17" w:lineRule="exact"/>
        <w:rPr>
          <w:rFonts w:ascii="Arial" w:cs="Arial" w:eastAsia="Arial" w:hAnsi="Arial"/>
          <w:sz w:val="18"/>
          <w:szCs w:val="18"/>
          <w:color w:val="333333"/>
        </w:rPr>
      </w:pPr>
    </w:p>
    <w:p>
      <w:pPr>
        <w:ind w:left="880" w:hanging="440"/>
        <w:spacing w:after="0"/>
        <w:tabs>
          <w:tab w:leader="none" w:pos="880" w:val="left"/>
        </w:tabs>
        <w:numPr>
          <w:ilvl w:val="0"/>
          <w:numId w:val="44"/>
        </w:numPr>
        <w:rPr>
          <w:rFonts w:ascii="Arial" w:cs="Arial" w:eastAsia="Arial" w:hAnsi="Arial"/>
          <w:sz w:val="18"/>
          <w:szCs w:val="18"/>
          <w:color w:val="333333"/>
        </w:rPr>
      </w:pPr>
      <w:r>
        <w:rPr>
          <w:rFonts w:ascii="Arial" w:cs="Arial" w:eastAsia="Arial" w:hAnsi="Arial"/>
          <w:sz w:val="18"/>
          <w:szCs w:val="18"/>
          <w:color w:val="333333"/>
        </w:rPr>
        <w:t>Registration Statement (Form S-8 No. 333-226717) pertaining to the 2018 Stock Incentive Plan of Aptevo Therapeutics Inc., and</w:t>
      </w:r>
    </w:p>
    <w:p>
      <w:pPr>
        <w:spacing w:after="0" w:line="22" w:lineRule="exact"/>
        <w:rPr>
          <w:rFonts w:ascii="Arial" w:cs="Arial" w:eastAsia="Arial" w:hAnsi="Arial"/>
          <w:sz w:val="18"/>
          <w:szCs w:val="18"/>
          <w:color w:val="333333"/>
        </w:rPr>
      </w:pPr>
    </w:p>
    <w:p>
      <w:pPr>
        <w:ind w:left="880" w:hanging="440"/>
        <w:spacing w:after="0"/>
        <w:tabs>
          <w:tab w:leader="none" w:pos="880" w:val="left"/>
        </w:tabs>
        <w:numPr>
          <w:ilvl w:val="0"/>
          <w:numId w:val="44"/>
        </w:numPr>
        <w:rPr>
          <w:rFonts w:ascii="Arial" w:cs="Arial" w:eastAsia="Arial" w:hAnsi="Arial"/>
          <w:sz w:val="19"/>
          <w:szCs w:val="19"/>
          <w:color w:val="333333"/>
        </w:rPr>
      </w:pPr>
      <w:r>
        <w:rPr>
          <w:rFonts w:ascii="Arial" w:cs="Arial" w:eastAsia="Arial" w:hAnsi="Arial"/>
          <w:sz w:val="19"/>
          <w:szCs w:val="19"/>
          <w:color w:val="333333"/>
        </w:rPr>
        <w:t>Registration Statements (Form S-3 Nos. 333-221499, 333-229115 and 333-251318) of Aptevo Therapeutics Inc.;</w:t>
      </w:r>
    </w:p>
    <w:p>
      <w:pPr>
        <w:spacing w:after="0" w:line="216" w:lineRule="exact"/>
        <w:rPr>
          <w:sz w:val="20"/>
          <w:szCs w:val="20"/>
          <w:color w:val="auto"/>
        </w:rPr>
      </w:pPr>
    </w:p>
    <w:p>
      <w:pPr>
        <w:jc w:val="both"/>
        <w:ind w:right="80"/>
        <w:spacing w:after="0" w:line="249" w:lineRule="auto"/>
        <w:rPr>
          <w:sz w:val="20"/>
          <w:szCs w:val="20"/>
          <w:color w:val="auto"/>
        </w:rPr>
      </w:pPr>
      <w:r>
        <w:rPr>
          <w:rFonts w:ascii="Arial" w:cs="Arial" w:eastAsia="Arial" w:hAnsi="Arial"/>
          <w:sz w:val="19"/>
          <w:szCs w:val="19"/>
          <w:color w:val="333333"/>
        </w:rPr>
        <w:t xml:space="preserve">of our report dated March 25, 2020, except for </w:t>
      </w:r>
      <w:r>
        <w:rPr>
          <w:rFonts w:ascii="Arial" w:cs="Arial" w:eastAsia="Arial" w:hAnsi="Arial"/>
          <w:sz w:val="19"/>
          <w:szCs w:val="19"/>
          <w:color w:val="000000"/>
        </w:rPr>
        <w:t>the effects of presenting Aptevo BioTherapeutics LLC as discontinued operations discussed in Note</w:t>
      </w:r>
      <w:r>
        <w:rPr>
          <w:rFonts w:ascii="Arial" w:cs="Arial" w:eastAsia="Arial" w:hAnsi="Arial"/>
          <w:sz w:val="19"/>
          <w:szCs w:val="19"/>
          <w:color w:val="333333"/>
        </w:rPr>
        <w:t xml:space="preserve"> </w:t>
      </w:r>
      <w:r>
        <w:rPr>
          <w:rFonts w:ascii="Arial" w:cs="Arial" w:eastAsia="Arial" w:hAnsi="Arial"/>
          <w:sz w:val="19"/>
          <w:szCs w:val="19"/>
          <w:color w:val="000000"/>
        </w:rPr>
        <w:t xml:space="preserve">2 and the effects of the reverse stock split discussed in Note 9, </w:t>
      </w:r>
      <w:r>
        <w:rPr>
          <w:rFonts w:ascii="Arial" w:cs="Arial" w:eastAsia="Arial" w:hAnsi="Arial"/>
          <w:sz w:val="19"/>
          <w:szCs w:val="19"/>
          <w:color w:val="333333"/>
        </w:rPr>
        <w:t>as to which the date is December 14, 2020, with respect to the consolidated financial</w:t>
      </w:r>
      <w:r>
        <w:rPr>
          <w:rFonts w:ascii="Arial" w:cs="Arial" w:eastAsia="Arial" w:hAnsi="Arial"/>
          <w:sz w:val="19"/>
          <w:szCs w:val="19"/>
          <w:color w:val="000000"/>
        </w:rPr>
        <w:t xml:space="preserve"> </w:t>
      </w:r>
      <w:r>
        <w:rPr>
          <w:rFonts w:ascii="Arial" w:cs="Arial" w:eastAsia="Arial" w:hAnsi="Arial"/>
          <w:sz w:val="19"/>
          <w:szCs w:val="19"/>
          <w:color w:val="333333"/>
        </w:rPr>
        <w:t>statements of Aptevo Therapeutics Inc. included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333333"/>
        </w:rPr>
        <w:t>/s/ 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333333"/>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333333"/>
        </w:rPr>
        <w:t>March 31, 2021</w:t>
      </w:r>
    </w:p>
    <w:p>
      <w:pPr>
        <w:sectPr>
          <w:pgSz w:w="11900" w:h="16838" w:orient="portrait"/>
          <w:cols w:equalWidth="0" w:num="1">
            <w:col w:w="11240"/>
          </w:cols>
          <w:pgMar w:left="320" w:top="34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1000" w:right="50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800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Annual Report of Aptevo Therapeutics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680" w:val="left"/>
          <w:tab w:leader="none" w:pos="848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4"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Annual Report of Aptevo Therapeutics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680" w:val="left"/>
          <w:tab w:leader="none" w:pos="850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auto"/>
        </w:rPr>
        <w:t>Senior Vice President, Chief Financial Officer,</w:t>
      </w:r>
    </w:p>
    <w:p>
      <w:pPr>
        <w:spacing w:after="0" w:line="34"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and Treasurer</w:t>
      </w:r>
    </w:p>
    <w:p>
      <w:pPr>
        <w:spacing w:after="0" w:line="21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lowerRoman"/>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lvl w:ilvl="1">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endash "/>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lowerLetter"/>
      <w:start w:val="1"/>
    </w:lvl>
    <w:lvl w:ilvl="1">
      <w:lvlJc w:val="left"/>
      <w:lvlText w:val="%2."/>
      <w:numFmt w:val="decimal"/>
      <w:start w:val="1"/>
    </w:lvl>
  </w:abstractNum>
  <w:abstractNum w:abstractNumId="34">
    <w:nsid w:val="6A2342EC"/>
    <w:multiLevelType w:val="hybridMultilevel"/>
    <w:lvl w:ilvl="0">
      <w:lvlJc w:val="left"/>
      <w:lvlText w:val="%1."/>
      <w:numFmt w:val="decimal"/>
      <w:start w:val="2"/>
    </w:lvl>
  </w:abstractNum>
  <w:abstractNum w:abstractNumId="35">
    <w:nsid w:val="2A487CB0"/>
    <w:multiLevelType w:val="hybridMultilevel"/>
    <w:lvl w:ilvl="0">
      <w:lvlJc w:val="left"/>
      <w:lvlText w:val="%1."/>
      <w:numFmt w:val="decimal"/>
      <w:start w:val="3"/>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C"/>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2"/>
    </w:lvl>
  </w:abstractNum>
  <w:abstractNum w:abstractNumId="47">
    <w:nsid w:val="684A481A"/>
    <w:multiLevelType w:val="hybridMultilevel"/>
    <w:lvl w:ilvl="0">
      <w:lvlJc w:val="left"/>
      <w:lvlText w:val="%1."/>
      <w:numFmt w:val="decimal"/>
      <w:start w:val="5"/>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6" Type="http://schemas.openxmlformats.org/officeDocument/2006/relationships/image" Target="media/image116.png"/><Relationship Id="rId153"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23" Type="http://schemas.openxmlformats.org/officeDocument/2006/relationships/hyperlink" Target="http://www.sec.gov/Archives/edgar/data/1671584/000156459016022097/apvo-ex21_6.htm" TargetMode="External"/><Relationship Id="rId124" Type="http://schemas.openxmlformats.org/officeDocument/2006/relationships/hyperlink" Target="http://www.sec.gov/Archives/edgar/data/1671584/000156459016022097/apvo-ex22_69.htm" TargetMode="External"/><Relationship Id="rId125" Type="http://schemas.openxmlformats.org/officeDocument/2006/relationships/hyperlink" Target="http://www.sec.gov/Archives/edgar/data/1671584/000156459017023382/apvo-ex21_142.htm" TargetMode="External"/><Relationship Id="rId126" Type="http://schemas.openxmlformats.org/officeDocument/2006/relationships/hyperlink" Target="http://www.sec.gov/Archives/edgar/data/0001671584/000119312520059183/d872623dex21.htm" TargetMode="External"/><Relationship Id="rId127" Type="http://schemas.openxmlformats.org/officeDocument/2006/relationships/hyperlink" Target="http://www.sec.gov/Archives/edgar/data/1671584/000156459016022097/apvo-ex31_68.htm" TargetMode="External"/><Relationship Id="rId128" Type="http://schemas.openxmlformats.org/officeDocument/2006/relationships/hyperlink" Target="http://www.sec.gov/Archives/edgar/data/1671584/000156459016022097/apvo-ex32_67.htm" TargetMode="External"/><Relationship Id="rId129" Type="http://schemas.openxmlformats.org/officeDocument/2006/relationships/hyperlink" Target="http://www.sec.gov/Archives/edgar/data/1671584/000119312520087225/d865645dex31.htm" TargetMode="External"/><Relationship Id="rId130" Type="http://schemas.openxmlformats.org/officeDocument/2006/relationships/hyperlink" Target="http://www.sec.gov/Archives/edgar/data/1671584/000101905620000553/ex3_1.htm" TargetMode="External"/><Relationship Id="rId131" Type="http://schemas.openxmlformats.org/officeDocument/2006/relationships/hyperlink" Target="http://www.sec.gov/Archives/edgar/data/1671584/000156459020055632/apvo-ex31_6.htm" TargetMode="External"/><Relationship Id="rId132" Type="http://schemas.openxmlformats.org/officeDocument/2006/relationships/hyperlink" Target="http://www.sec.gov/Archives/edgar/data/1671584/000119312516634950/d26473dex41.htm" TargetMode="External"/><Relationship Id="rId133" Type="http://schemas.openxmlformats.org/officeDocument/2006/relationships/hyperlink" Target="http://www.sec.gov/Archives/edgar/data/1671584/000156459016022097/apvo-ex40_66.htm" TargetMode="External"/><Relationship Id="rId134" Type="http://schemas.openxmlformats.org/officeDocument/2006/relationships/hyperlink" Target="http://www.sec.gov/Archives/edgar/data/1671584/000156459018031354/apvo-ex102_6.htm" TargetMode="External"/><Relationship Id="rId135" Type="http://schemas.openxmlformats.org/officeDocument/2006/relationships/hyperlink" Target="http://www.sec.gov/Archives/edgar/data/1671584/000101905620000553/ex4_1.htm" TargetMode="External"/><Relationship Id="rId137" Type="http://schemas.openxmlformats.org/officeDocument/2006/relationships/hyperlink" Target="http://www.sec.gov/Archives/edgar/data/1671584/000156459016022097/apvo-ex102_64.htm" TargetMode="External"/><Relationship Id="rId138" Type="http://schemas.openxmlformats.org/officeDocument/2006/relationships/hyperlink" Target="http://www.sec.gov/Archives/edgar/data/1671584/000156459016022097/apvo-ex103_62.htm" TargetMode="External"/><Relationship Id="rId139" Type="http://schemas.openxmlformats.org/officeDocument/2006/relationships/hyperlink" Target="http://www.sec.gov/Archives/edgar/data/1671584/000156459016022097/apvo-ex108_58.htm" TargetMode="External"/><Relationship Id="rId140" Type="http://schemas.openxmlformats.org/officeDocument/2006/relationships/hyperlink" Target="http://www.sec.gov/Archives/edgar/data/1671584/000156459017017132/apvo-ex41_104.htm" TargetMode="External"/><Relationship Id="rId141" Type="http://schemas.openxmlformats.org/officeDocument/2006/relationships/hyperlink" Target="http://www.sec.gov/Archives/edgar/data/1671584/000156459016022097/apvo-ex1010_56.htm" TargetMode="External"/><Relationship Id="rId142" Type="http://schemas.openxmlformats.org/officeDocument/2006/relationships/hyperlink" Target="http://www.sec.gov/Archives/edgar/data/1671584/000156459016022097/apvo-ex1011_114.htm" TargetMode="External"/><Relationship Id="rId143" Type="http://schemas.openxmlformats.org/officeDocument/2006/relationships/hyperlink" Target="http://www.sec.gov/Archives/edgar/data/1671584/000119312516543367/d26473dex109.htm" TargetMode="External"/><Relationship Id="rId144" Type="http://schemas.openxmlformats.org/officeDocument/2006/relationships/hyperlink" Target="http://www.sec.gov/Archives/edgar/data/1671584/000119312516543367/d26473dex1012.htm" TargetMode="External"/><Relationship Id="rId145" Type="http://schemas.openxmlformats.org/officeDocument/2006/relationships/hyperlink" Target="http://www.sec.gov/Archives/edgar/data/1671584/000119312516543367/d26473dex1013.htm" TargetMode="External"/><Relationship Id="rId146" Type="http://schemas.openxmlformats.org/officeDocument/2006/relationships/hyperlink" Target="http://www.sec.gov/Archives/edgar/data/1671584/000119312516543367/d26473dex1014.htm" TargetMode="External"/><Relationship Id="rId147" Type="http://schemas.openxmlformats.org/officeDocument/2006/relationships/hyperlink" Target="http://www.sec.gov/Archives/edgar/data/1671584/000119312516543367/d26473dex1015.htm" TargetMode="External"/><Relationship Id="rId148" Type="http://schemas.openxmlformats.org/officeDocument/2006/relationships/hyperlink" Target="http://www.sec.gov/Archives/edgar/data/1671584/000119312516543367/d26473dex1016.htm" TargetMode="External"/><Relationship Id="rId149" Type="http://schemas.openxmlformats.org/officeDocument/2006/relationships/hyperlink" Target="http://www.sec.gov/Archives/edgar/data/1671584/000119312516543367/d26473dex1017.htm" TargetMode="External"/><Relationship Id="rId150" Type="http://schemas.openxmlformats.org/officeDocument/2006/relationships/hyperlink" Target="http://www.sec.gov/Archives/edgar/data/1671584/000119312516543367/d26473dex1018.htm" TargetMode="External"/><Relationship Id="rId151" Type="http://schemas.openxmlformats.org/officeDocument/2006/relationships/hyperlink" Target="http://www.sec.gov/Archives/edgar/data/1671584/000119312516543367/d26473dex1019.htm" TargetMode="External"/><Relationship Id="rId152" Type="http://schemas.openxmlformats.org/officeDocument/2006/relationships/hyperlink" Target="http://www.sec.gov/Archives/edgar/data/1671584/000119312516543367/d26473dex1020.htm" TargetMode="External"/><Relationship Id="rId154" Type="http://schemas.openxmlformats.org/officeDocument/2006/relationships/hyperlink" Target="http://www.sec.gov/Archives/edgar/data/1671584/000119312516543367/d26473dex1021.htm" TargetMode="External"/><Relationship Id="rId155" Type="http://schemas.openxmlformats.org/officeDocument/2006/relationships/hyperlink" Target="http://www.sec.gov/Archives/edgar/data/1671584/000119312516543367/d26473dex1022.htm" TargetMode="External"/><Relationship Id="rId156" Type="http://schemas.openxmlformats.org/officeDocument/2006/relationships/hyperlink" Target="http://www.sec.gov/Archives/edgar/data/1671584/000156459016030242/apvo-ex101_6.htm" TargetMode="External"/><Relationship Id="rId157" Type="http://schemas.openxmlformats.org/officeDocument/2006/relationships/hyperlink" Target="http://www.sec.gov/Archives/edgar/data/1671584/000156459017017132/apvo-ex103_14.htm" TargetMode="External"/><Relationship Id="rId158" Type="http://schemas.openxmlformats.org/officeDocument/2006/relationships/hyperlink" Target="http://www.sec.gov/Archives/edgar/data/1671584/000156459017023280/apvo-ex11_503.htm" TargetMode="External"/><Relationship Id="rId159" Type="http://schemas.openxmlformats.org/officeDocument/2006/relationships/hyperlink" Target="http://www.sec.gov/Archives/edgar/data/1671584/000156459017023382/apvo-ex102_143.htm" TargetMode="External"/><Relationship Id="rId160" Type="http://schemas.openxmlformats.org/officeDocument/2006/relationships/hyperlink" Target="http://www.sec.gov/Archives/edgar/data/1671584/000156459018005384/apvo-ex1038_189.htm" TargetMode="External"/><Relationship Id="rId161" Type="http://schemas.openxmlformats.org/officeDocument/2006/relationships/hyperlink" Target="http://www.sec.gov/Archives/edgar/data/1671584/000156459018020781/apvo-ex101_214.htm" TargetMode="External"/><Relationship Id="rId162" Type="http://schemas.openxmlformats.org/officeDocument/2006/relationships/hyperlink" Target="http://www.sec.gov/Archives/edgar/data/1671584/000156459018020781/apvo-ex102_257.htm" TargetMode="External"/><Relationship Id="rId163" Type="http://schemas.openxmlformats.org/officeDocument/2006/relationships/hyperlink" Target="http://www.sec.gov/Archives/edgar/data/1671584/000156459018031354/apvo-ex101_7.htm" TargetMode="External"/><Relationship Id="rId164" Type="http://schemas.openxmlformats.org/officeDocument/2006/relationships/hyperlink" Target="http://www.sec.gov/Archives/edgar/data/1671584/000119312519083529/d708427dex101.htm" TargetMode="External"/><Relationship Id="rId165" Type="http://schemas.openxmlformats.org/officeDocument/2006/relationships/hyperlink" Target="http://www.sec.gov/Archives/edgar/data/1671584/000156459019031118/apvo-ex101_204.htm" TargetMode="External"/><Relationship Id="rId166" Type="http://schemas.openxmlformats.org/officeDocument/2006/relationships/hyperlink" Target="http://www.sec.gov/Archives/edgar/data/1671584/000156459020040295/exhibit10_1.htm" TargetMode="External"/><Relationship Id="rId167" Type="http://schemas.openxmlformats.org/officeDocument/2006/relationships/hyperlink" Target="http://www.sec.gov/Archives/edgar/data/1671584/000156459020040295/exhibit10_2.htm" TargetMode="External"/><Relationship Id="rId170" Type="http://schemas.openxmlformats.org/officeDocument/2006/relationships/hyperlink" Target="http://www.sec.gov/Archives/edgar/data/1671584/000156459020040295/exhibit10_3.htm" TargetMode="External"/><Relationship Id="rId171" Type="http://schemas.openxmlformats.org/officeDocument/2006/relationships/hyperlink" Target="http://www.sec.gov/Archives/edgar/data/1671584/000156459020040295/exhibit10_4.htm" TargetMode="External"/><Relationship Id="rId172" Type="http://schemas.openxmlformats.org/officeDocument/2006/relationships/hyperlink" Target="http://www.sec.gov/Archives/edgar/data/1671584/000156459020040295/exhibit10_5.htm" TargetMode="External"/><Relationship Id="rId173" Type="http://schemas.openxmlformats.org/officeDocument/2006/relationships/hyperlink" Target="http://www.sec.gov/Archives/edgar/data/1671584/000156459020053058/apvo-ex106_127.htm" TargetMode="External"/><Relationship Id="rId174" Type="http://schemas.openxmlformats.org/officeDocument/2006/relationships/hyperlink" Target="http://www.sec.gov/Archives/edgar/data/1671584/000156459020056954/apvo-ex1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2021-03-31T07:04:19Z</dcterms:created>
  <dcterms:modified xsi:type="dcterms:W3CDTF">2021-03-31T07:04:19Z</dcterms:modified>
</cp:coreProperties>
</file>