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428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0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81-1567056</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140" w:space="720"/>
            <w:col w:w="3380"/>
          </w:cols>
          <w:pgMar w:left="320" w:top="503" w:right="339" w:bottom="1440" w:gutter="0" w:footer="0" w:header="0"/>
          <w:type w:val="continuous"/>
        </w:sectPr>
      </w:pPr>
    </w:p>
    <w:p>
      <w:pPr>
        <w:ind w:left="1760"/>
        <w:spacing w:after="0"/>
        <w:rPr>
          <w:sz w:val="20"/>
          <w:szCs w:val="20"/>
          <w:color w:val="auto"/>
        </w:rPr>
      </w:pPr>
      <w:r>
        <w:rPr>
          <w:rFonts w:ascii="Arial" w:cs="Arial" w:eastAsia="Arial" w:hAnsi="Arial"/>
          <w:sz w:val="18"/>
          <w:szCs w:val="18"/>
          <w:b w:val="1"/>
          <w:bCs w:val="1"/>
          <w:color w:val="auto"/>
        </w:rPr>
        <w:t>2401 4</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Avenue, Suite 1050</w:t>
      </w:r>
    </w:p>
    <w:p>
      <w:pPr>
        <w:ind w:left="2060"/>
        <w:spacing w:after="0"/>
        <w:tabs>
          <w:tab w:leader="none" w:pos="8180" w:val="left"/>
        </w:tabs>
        <w:rPr>
          <w:sz w:val="20"/>
          <w:szCs w:val="20"/>
          <w:color w:val="auto"/>
        </w:rPr>
      </w:pPr>
      <w:r>
        <w:rPr>
          <w:rFonts w:ascii="Arial" w:cs="Arial" w:eastAsia="Arial" w:hAnsi="Arial"/>
          <w:sz w:val="18"/>
          <w:szCs w:val="18"/>
          <w:b w:val="1"/>
          <w:bCs w:val="1"/>
          <w:color w:val="auto"/>
        </w:rPr>
        <w:t>Seattle, Washington</w:t>
      </w:r>
      <w:r>
        <w:rPr>
          <w:sz w:val="20"/>
          <w:szCs w:val="20"/>
          <w:color w:val="auto"/>
        </w:rPr>
        <w:tab/>
      </w:r>
      <w:r>
        <w:rPr>
          <w:rFonts w:ascii="Arial" w:cs="Arial" w:eastAsia="Arial" w:hAnsi="Arial"/>
          <w:sz w:val="16"/>
          <w:szCs w:val="16"/>
          <w:b w:val="1"/>
          <w:bCs w:val="1"/>
          <w:color w:val="auto"/>
        </w:rPr>
        <w:t>98121</w:t>
      </w:r>
    </w:p>
    <w:p>
      <w:pPr>
        <w:spacing w:after="0" w:line="12"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0" w:lineRule="exact"/>
        <w:rPr>
          <w:sz w:val="24"/>
          <w:szCs w:val="24"/>
          <w:color w:val="auto"/>
        </w:rPr>
      </w:pPr>
    </w:p>
    <w:p>
      <w:pPr>
        <w:ind w:left="1280"/>
        <w:spacing w:after="0"/>
        <w:tabs>
          <w:tab w:leader="none" w:pos="5040" w:val="left"/>
          <w:tab w:leader="none" w:pos="786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Symbols(s)</w:t>
      </w:r>
      <w:r>
        <w:rPr>
          <w:sz w:val="20"/>
          <w:szCs w:val="20"/>
          <w:color w:val="auto"/>
        </w:rPr>
        <w:tab/>
      </w:r>
      <w:r>
        <w:rPr>
          <w:rFonts w:ascii="Arial" w:cs="Arial" w:eastAsia="Arial" w:hAnsi="Arial"/>
          <w:sz w:val="16"/>
          <w:szCs w:val="16"/>
          <w:b w:val="1"/>
          <w:bCs w:val="1"/>
          <w:color w:val="auto"/>
        </w:rPr>
        <w:t>Name of Exchange on Which Registered</w:t>
      </w:r>
    </w:p>
    <w:p>
      <w:pPr>
        <w:spacing w:after="0" w:line="27" w:lineRule="exact"/>
        <w:rPr>
          <w:sz w:val="24"/>
          <w:szCs w:val="24"/>
          <w:color w:val="auto"/>
        </w:rPr>
      </w:pPr>
    </w:p>
    <w:p>
      <w:pPr>
        <w:ind w:left="360"/>
        <w:spacing w:after="0"/>
        <w:tabs>
          <w:tab w:leader="none" w:pos="5540" w:val="left"/>
          <w:tab w:leader="none" w:pos="8200" w:val="left"/>
        </w:tabs>
        <w:rPr>
          <w:sz w:val="20"/>
          <w:szCs w:val="20"/>
          <w:color w:val="auto"/>
        </w:rPr>
      </w:pPr>
      <w:r>
        <w:rPr>
          <w:rFonts w:ascii="Arial" w:cs="Arial" w:eastAsia="Arial" w:hAnsi="Arial"/>
          <w:sz w:val="18"/>
          <w:szCs w:val="18"/>
          <w:b w:val="1"/>
          <w:bCs w:val="1"/>
          <w:color w:val="auto"/>
        </w:rPr>
        <w:t>Common Stock, $0.001 par value per share</w:t>
      </w:r>
      <w:r>
        <w:rPr>
          <w:sz w:val="20"/>
          <w:szCs w:val="20"/>
          <w:color w:val="auto"/>
        </w:rPr>
        <w:tab/>
      </w:r>
      <w:r>
        <w:rPr>
          <w:rFonts w:ascii="Arial" w:cs="Arial" w:eastAsia="Arial" w:hAnsi="Arial"/>
          <w:sz w:val="18"/>
          <w:szCs w:val="18"/>
          <w:b w:val="1"/>
          <w:bCs w:val="1"/>
          <w:color w:val="auto"/>
        </w:rPr>
        <w:t>APVO</w:t>
      </w:r>
      <w:r>
        <w:rPr>
          <w:sz w:val="20"/>
          <w:szCs w:val="20"/>
          <w:color w:val="auto"/>
        </w:rPr>
        <w:tab/>
      </w:r>
      <w:r>
        <w:rPr>
          <w:rFonts w:ascii="Arial" w:cs="Arial" w:eastAsia="Arial" w:hAnsi="Arial"/>
          <w:sz w:val="16"/>
          <w:szCs w:val="16"/>
          <w:b w:val="1"/>
          <w:bCs w:val="1"/>
          <w:color w:val="auto"/>
        </w:rPr>
        <w:t>The Nasdaq Stock Market LLC</w:t>
      </w:r>
    </w:p>
    <w:p>
      <w:pPr>
        <w:spacing w:after="0" w:line="23" w:lineRule="exact"/>
        <w:rPr>
          <w:sz w:val="24"/>
          <w:szCs w:val="24"/>
          <w:color w:val="auto"/>
        </w:rPr>
      </w:pPr>
    </w:p>
    <w:p>
      <w:pPr>
        <w:ind w:left="8280"/>
        <w:spacing w:after="0"/>
        <w:rPr>
          <w:sz w:val="20"/>
          <w:szCs w:val="20"/>
          <w:color w:val="auto"/>
        </w:rPr>
      </w:pPr>
      <w:r>
        <w:rPr>
          <w:rFonts w:ascii="Arial" w:cs="Arial" w:eastAsia="Arial" w:hAnsi="Arial"/>
          <w:sz w:val="18"/>
          <w:szCs w:val="18"/>
          <w:b w:val="1"/>
          <w:bCs w:val="1"/>
          <w:color w:val="auto"/>
        </w:rPr>
        <w:t>(The Nasdaq Capital Market)</w:t>
      </w:r>
    </w:p>
    <w:p>
      <w:pPr>
        <w:spacing w:after="0" w:line="76"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ind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200"/>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14, 2023, the number of shares of the registrant’s common stock outstanding was 17,616,772.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gridSpan w:val="18"/>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9520" w:type="dxa"/>
            <w:vAlign w:val="bottom"/>
            <w:gridSpan w:val="1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Financial Statements (Unaudited)</w:t>
            </w:r>
          </w:p>
        </w:tc>
        <w:tc>
          <w:tcPr>
            <w:tcW w:w="20" w:type="dxa"/>
            <w:vAlign w:val="bottom"/>
            <w:tcBorders>
              <w:bottom w:val="single" w:sz="8" w:color="0000EE"/>
            </w:tcBorders>
          </w:tcPr>
          <w:p>
            <w:pPr>
              <w:spacing w:after="0"/>
              <w:rPr>
                <w:sz w:val="18"/>
                <w:szCs w:val="18"/>
                <w:color w:val="auto"/>
              </w:rPr>
            </w:pPr>
          </w:p>
        </w:tc>
        <w:tc>
          <w:tcPr>
            <w:tcW w:w="708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bottom w:val="single" w:sz="8" w:color="0000EE"/>
            </w:tcBorders>
          </w:tcPr>
          <w:p>
            <w:pPr>
              <w:spacing w:after="0"/>
              <w:rPr>
                <w:sz w:val="18"/>
                <w:szCs w:val="18"/>
                <w:color w:val="auto"/>
              </w:rPr>
            </w:pPr>
          </w:p>
        </w:tc>
        <w:tc>
          <w:tcPr>
            <w:tcW w:w="618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42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90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gridSpan w:val="7"/>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75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Risk Factors</w:t>
            </w:r>
          </w:p>
        </w:tc>
        <w:tc>
          <w:tcPr>
            <w:tcW w:w="820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Defaults Upon Senior Securities</w:t>
            </w:r>
          </w:p>
        </w:tc>
        <w:tc>
          <w:tcPr>
            <w:tcW w:w="2000" w:type="dxa"/>
            <w:vAlign w:val="bottom"/>
            <w:tcBorders>
              <w:top w:val="single" w:sz="8" w:color="0000FF"/>
            </w:tcBorders>
            <w:gridSpan w:val="7"/>
          </w:tcPr>
          <w:p>
            <w:pPr>
              <w:spacing w:after="0"/>
              <w:rPr>
                <w:sz w:val="18"/>
                <w:szCs w:val="18"/>
                <w:color w:val="auto"/>
              </w:rPr>
            </w:pP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77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22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r>
      <w:tr>
        <w:trPr>
          <w:trHeight w:val="237"/>
        </w:trPr>
        <w:tc>
          <w:tcPr>
            <w:tcW w:w="776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Royalty and milestone receivable</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other accrued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issued or outstanding</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ind w:left="20"/>
              <w:spacing w:after="0"/>
              <w:rPr>
                <w:sz w:val="20"/>
                <w:szCs w:val="20"/>
                <w:color w:val="auto"/>
              </w:rPr>
            </w:pPr>
            <w:r>
              <w:rPr>
                <w:rFonts w:ascii="Arial" w:cs="Arial" w:eastAsia="Arial" w:hAnsi="Arial"/>
                <w:sz w:val="18"/>
                <w:szCs w:val="18"/>
                <w:color w:val="auto"/>
              </w:rPr>
              <w:t>Common stock: $0.001 par value; 500,000,000 shares authorized; 14,465,703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Arial" w:cs="Arial" w:eastAsia="Arial" w:hAnsi="Arial"/>
                <w:sz w:val="18"/>
                <w:szCs w:val="18"/>
                <w:color w:val="auto"/>
              </w:rPr>
              <w:t>6,466,294 shares issued and outstanding at September 30, 2023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60" w:type="dxa"/>
            <w:vAlign w:val="bottom"/>
          </w:tcPr>
          <w:p>
            <w:pPr>
              <w:ind w:left="160"/>
              <w:spacing w:after="0"/>
              <w:rPr>
                <w:sz w:val="20"/>
                <w:szCs w:val="20"/>
                <w:color w:val="auto"/>
              </w:rPr>
            </w:pPr>
            <w:r>
              <w:rPr>
                <w:rFonts w:ascii="Arial" w:cs="Arial" w:eastAsia="Arial" w:hAnsi="Arial"/>
                <w:sz w:val="18"/>
                <w:szCs w:val="18"/>
                <w:color w:val="auto"/>
              </w:rPr>
              <w:t>December 31, 2022,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5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232,207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(217,545 )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(206,036 )</w:t>
            </w:r>
          </w:p>
        </w:tc>
      </w:tr>
      <w:tr>
        <w:trPr>
          <w:trHeight w:val="237"/>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-3445510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-1859915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14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(3,887 )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(13,516 )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(13,208 )</w:t>
            </w: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(2,674 )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(3,307 )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(8,978 )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(10,863 )</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Other income (expense) from continuing operations,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(4,048 )</w:t>
            </w: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Gain related to sale of non-financial asset</w:t>
            </w:r>
          </w:p>
        </w:tc>
        <w:tc>
          <w:tcPr>
            <w:tcW w:w="200" w:type="dxa"/>
            <w:vAlign w:val="bottom"/>
          </w:tcPr>
          <w:p>
            <w:pPr>
              <w:spacing w:after="0"/>
              <w:rPr>
                <w:sz w:val="20"/>
                <w:szCs w:val="20"/>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extinguishment of liability related to sale of</w:t>
            </w:r>
          </w:p>
        </w:tc>
        <w:tc>
          <w:tcPr>
            <w:tcW w:w="200" w:type="dxa"/>
            <w:vAlign w:val="bottom"/>
            <w:shd w:val="clear" w:color="auto" w:fill="CFF0FC"/>
          </w:tcPr>
          <w:p>
            <w:pPr>
              <w:spacing w:after="0"/>
              <w:rPr>
                <w:sz w:val="19"/>
                <w:szCs w:val="19"/>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royalties</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gridSpan w:val="2"/>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gridSpan w:val="2"/>
            <w:vMerge w:val="continue"/>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gridSpan w:val="2"/>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(6,334 )</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(7,809 )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(12,454 )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income per share from</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Basic and diluted net (loss) income per share:</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(0.50 )</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calculation:</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12,579,012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5,090,592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9,006,542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5,017,864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12,579,012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5,090,592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9,006,542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5,019,552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-3308350</wp:posOffset>
            </wp:positionV>
            <wp:extent cx="7747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-3308350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-3308350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-2416810</wp:posOffset>
            </wp:positionV>
            <wp:extent cx="774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-2416810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-2416810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-1773555</wp:posOffset>
            </wp:positionV>
            <wp:extent cx="340296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2965" cy="17970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-984885</wp:posOffset>
            </wp:positionV>
            <wp:extent cx="7747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-984885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-984885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-668020</wp:posOffset>
            </wp:positionV>
            <wp:extent cx="340296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2965"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38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78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88"/>
              </w:rPr>
              <w:t>(11,508 )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Non-cash interest expense and other</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extinguishment of liability related to sale of royalties</w:t>
            </w:r>
          </w:p>
        </w:tc>
        <w:tc>
          <w:tcPr>
            <w:tcW w:w="9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(37,182 )</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Royalty receivable</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8"/>
                <w:szCs w:val="18"/>
                <w:color w:val="auto"/>
              </w:rPr>
              <w:t>Accounts payable, accrued compensation and other liabilities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(1,383 )</w:t>
            </w:r>
          </w:p>
        </w:tc>
      </w:tr>
      <w:tr>
        <w:trPr>
          <w:trHeight w:val="24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operating lease liability</w:t>
            </w:r>
          </w:p>
        </w:tc>
        <w:tc>
          <w:tcPr>
            <w:tcW w:w="9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(504 )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21"/>
                <w:szCs w:val="2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(6,477 )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(15,083 )</w:t>
            </w: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tcPr>
          <w:p>
            <w:pPr>
              <w:spacing w:after="0"/>
              <w:rPr>
                <w:sz w:val="20"/>
                <w:szCs w:val="20"/>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37"/>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long-term debt, including fees</w:t>
            </w:r>
          </w:p>
        </w:tc>
        <w:tc>
          <w:tcPr>
            <w:tcW w:w="9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(3,467 )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(11,767 )</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Repayments under liability related to sale of royalties</w:t>
            </w:r>
          </w:p>
        </w:tc>
        <w:tc>
          <w:tcPr>
            <w:tcW w:w="920" w:type="dxa"/>
            <w:vAlign w:val="bottom"/>
          </w:tcPr>
          <w:p>
            <w:pPr>
              <w:spacing w:after="0"/>
              <w:rPr>
                <w:sz w:val="20"/>
                <w:szCs w:val="20"/>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(6,779 )</w:t>
            </w:r>
          </w:p>
        </w:tc>
      </w:tr>
      <w:tr>
        <w:trPr>
          <w:trHeight w:val="24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Value of equity awards withheld for tax liability</w:t>
            </w:r>
          </w:p>
        </w:tc>
        <w:tc>
          <w:tcPr>
            <w:tcW w:w="9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milestones related to sale of royalties</w:t>
            </w:r>
          </w:p>
        </w:tc>
        <w:tc>
          <w:tcPr>
            <w:tcW w:w="920" w:type="dxa"/>
            <w:vAlign w:val="bottom"/>
          </w:tcPr>
          <w:p>
            <w:pPr>
              <w:spacing w:after="0"/>
              <w:rPr>
                <w:sz w:val="20"/>
                <w:szCs w:val="20"/>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 for milestones related to sale of royalties</w:t>
            </w:r>
          </w:p>
        </w:tc>
        <w:tc>
          <w:tcPr>
            <w:tcW w:w="9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(500 )</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r>
      <w:tr>
        <w:trPr>
          <w:trHeight w:val="243"/>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pre-funded warrants</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Net cash provided in (used in) financing activities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(8,614 )</w:t>
            </w: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 in cash and cash equivalents</w:t>
            </w:r>
          </w:p>
        </w:tc>
        <w:tc>
          <w:tcPr>
            <w:tcW w:w="9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100" w:type="dxa"/>
            <w:vAlign w:val="bottom"/>
          </w:tcPr>
          <w:p>
            <w:pPr>
              <w:spacing w:after="0"/>
              <w:rPr>
                <w:sz w:val="20"/>
                <w:szCs w:val="20"/>
                <w:color w:val="auto"/>
              </w:rPr>
            </w:pPr>
          </w:p>
        </w:tc>
      </w:tr>
      <w:tr>
        <w:trPr>
          <w:trHeight w:val="277"/>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bottom w:val="single" w:sz="8" w:color="auto"/>
            </w:tcBorders>
            <w:shd w:val="clear" w:color="auto" w:fill="CFF0FC"/>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Change in ROU asset and lease liability from lease remeasurement</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-3042920</wp:posOffset>
            </wp:positionV>
            <wp:extent cx="7683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-2399665</wp:posOffset>
            </wp:positionV>
            <wp:extent cx="7683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-1156970</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-513715</wp:posOffset>
            </wp:positionV>
            <wp:extent cx="119126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91260" cy="1797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3"/>
            <w:vMerge w:val="restart"/>
          </w:tcPr>
          <w:p>
            <w:pPr>
              <w:jc w:val="right"/>
              <w:ind w:right="59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6,466,294</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(206,036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Common stock issued upon vesting of</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160"/>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42,264</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730,913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for the period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340" w:type="dxa"/>
            <w:vAlign w:val="bottom"/>
          </w:tcPr>
          <w:p>
            <w:pPr>
              <w:jc w:val="right"/>
              <w:spacing w:after="0"/>
              <w:rPr>
                <w:sz w:val="20"/>
                <w:szCs w:val="20"/>
                <w:color w:val="auto"/>
              </w:rPr>
            </w:pPr>
            <w:r>
              <w:rPr>
                <w:rFonts w:ascii="Arial" w:cs="Arial" w:eastAsia="Arial" w:hAnsi="Arial"/>
                <w:sz w:val="18"/>
                <w:szCs w:val="18"/>
                <w:color w:val="auto"/>
              </w:rPr>
              <w:t>7,239,471</w:t>
            </w:r>
          </w:p>
        </w:tc>
        <w:tc>
          <w:tcPr>
            <w:tcW w:w="126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226,470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(203,263 )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00" w:type="dxa"/>
            <w:vAlign w:val="bottom"/>
            <w:gridSpan w:val="2"/>
            <w:shd w:val="clear" w:color="auto" w:fill="CFF0FC"/>
          </w:tcPr>
          <w:p>
            <w:pPr>
              <w:ind w:left="20"/>
              <w:spacing w:after="0" w:line="200" w:lineRule="exact"/>
              <w:rPr>
                <w:sz w:val="20"/>
                <w:szCs w:val="20"/>
                <w:color w:val="auto"/>
              </w:rPr>
            </w:pPr>
            <w:r>
              <w:rPr>
                <w:rFonts w:ascii="Arial" w:cs="Arial" w:eastAsia="Arial" w:hAnsi="Arial"/>
                <w:sz w:val="18"/>
                <w:szCs w:val="18"/>
                <w:color w:val="auto"/>
              </w:rPr>
              <w:t>Common stock issued upon vesting of</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restricted stock units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Issuances of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Net loss for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(7,948 )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(7,948 )</w:t>
            </w:r>
          </w:p>
        </w:tc>
        <w:tc>
          <w:tcPr>
            <w:tcW w:w="0" w:type="dxa"/>
            <w:vAlign w:val="bottom"/>
          </w:tcPr>
          <w:p>
            <w:pPr>
              <w:spacing w:after="0"/>
              <w:rPr>
                <w:sz w:val="1"/>
                <w:szCs w:val="1"/>
                <w:color w:val="auto"/>
              </w:rPr>
            </w:pPr>
          </w:p>
        </w:tc>
      </w:tr>
      <w:tr>
        <w:trPr>
          <w:trHeight w:val="278"/>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7,543,440</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227,415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0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Common stock issued upon vesting of</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160"/>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48,778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2,221,550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Issuances of pre-funded warrants</w:t>
            </w:r>
          </w:p>
        </w:tc>
        <w:tc>
          <w:tcPr>
            <w:tcW w:w="1340" w:type="dxa"/>
            <w:vAlign w:val="bottom"/>
          </w:tcPr>
          <w:p>
            <w:pPr>
              <w:jc w:val="right"/>
              <w:spacing w:after="0"/>
              <w:rPr>
                <w:sz w:val="20"/>
                <w:szCs w:val="20"/>
                <w:color w:val="auto"/>
              </w:rPr>
            </w:pPr>
            <w:r>
              <w:rPr>
                <w:rFonts w:ascii="Arial" w:cs="Arial" w:eastAsia="Arial" w:hAnsi="Arial"/>
                <w:sz w:val="18"/>
                <w:szCs w:val="18"/>
                <w:color w:val="auto"/>
              </w:rPr>
              <w:t>4,651,935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Net loss for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(6,334 )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(6,334 )</w:t>
            </w:r>
          </w:p>
        </w:tc>
        <w:tc>
          <w:tcPr>
            <w:tcW w:w="0" w:type="dxa"/>
            <w:vAlign w:val="bottom"/>
          </w:tcPr>
          <w:p>
            <w:pPr>
              <w:spacing w:after="0"/>
              <w:rPr>
                <w:sz w:val="1"/>
                <w:szCs w:val="1"/>
                <w:color w:val="auto"/>
              </w:rPr>
            </w:pPr>
          </w:p>
        </w:tc>
      </w:tr>
      <w:tr>
        <w:trPr>
          <w:trHeight w:val="278"/>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14,465,703</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232,207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(217,545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vMerge w:val="restart"/>
          </w:tcPr>
          <w:p>
            <w:pPr>
              <w:jc w:val="right"/>
              <w:ind w:right="59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3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4,898,143</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215,232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(214,063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Common stock issued upon vesting of</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160"/>
              <w:spacing w:after="0"/>
              <w:rPr>
                <w:sz w:val="20"/>
                <w:szCs w:val="20"/>
                <w:color w:val="auto"/>
              </w:rPr>
            </w:pPr>
            <w:r>
              <w:rPr>
                <w:rFonts w:ascii="Arial" w:cs="Arial" w:eastAsia="Arial" w:hAnsi="Arial"/>
                <w:sz w:val="18"/>
                <w:szCs w:val="18"/>
                <w:color w:val="auto"/>
              </w:rPr>
              <w:t>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9,822</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2"/>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Commitment shares issued pursuant to</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Lincoln Park Purchase Agreement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99,276</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 for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(7,697 )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(7,697 )</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340" w:type="dxa"/>
            <w:vAlign w:val="bottom"/>
          </w:tcPr>
          <w:p>
            <w:pPr>
              <w:jc w:val="right"/>
              <w:spacing w:after="0"/>
              <w:rPr>
                <w:sz w:val="20"/>
                <w:szCs w:val="20"/>
                <w:color w:val="auto"/>
              </w:rPr>
            </w:pPr>
            <w:r>
              <w:rPr>
                <w:rFonts w:ascii="Arial" w:cs="Arial" w:eastAsia="Arial" w:hAnsi="Arial"/>
                <w:sz w:val="18"/>
                <w:szCs w:val="18"/>
                <w:color w:val="auto"/>
              </w:rPr>
              <w:t>5,007,241</w:t>
            </w:r>
          </w:p>
        </w:tc>
        <w:tc>
          <w:tcPr>
            <w:tcW w:w="280" w:type="dxa"/>
            <w:vAlign w:val="bottom"/>
          </w:tcPr>
          <w:p>
            <w:pPr>
              <w:spacing w:after="0"/>
              <w:rPr>
                <w:sz w:val="20"/>
                <w:szCs w:val="20"/>
                <w:color w:val="auto"/>
              </w:rPr>
            </w:pP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215,829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(221,760 )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(5,884 )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00" w:type="dxa"/>
            <w:vAlign w:val="bottom"/>
            <w:gridSpan w:val="2"/>
            <w:shd w:val="clear" w:color="auto" w:fill="CFF0FC"/>
          </w:tcPr>
          <w:p>
            <w:pPr>
              <w:ind w:left="20"/>
              <w:spacing w:after="0" w:line="200" w:lineRule="exact"/>
              <w:rPr>
                <w:sz w:val="20"/>
                <w:szCs w:val="20"/>
                <w:color w:val="auto"/>
              </w:rPr>
            </w:pPr>
            <w:r>
              <w:rPr>
                <w:rFonts w:ascii="Arial" w:cs="Arial" w:eastAsia="Arial" w:hAnsi="Arial"/>
                <w:sz w:val="18"/>
                <w:szCs w:val="18"/>
                <w:color w:val="auto"/>
              </w:rPr>
              <w:t>Common stock issued upon vesting of</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restricted stock units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Issuances of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78,285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Net income for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5,089,852</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216,750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(193,750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 issued upon vesting of</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 for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(7,644 )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(7,644 )</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340" w:type="dxa"/>
            <w:vAlign w:val="bottom"/>
          </w:tcPr>
          <w:p>
            <w:pPr>
              <w:jc w:val="right"/>
              <w:spacing w:after="0"/>
              <w:rPr>
                <w:sz w:val="20"/>
                <w:szCs w:val="20"/>
                <w:color w:val="auto"/>
              </w:rPr>
            </w:pPr>
            <w:r>
              <w:rPr>
                <w:rFonts w:ascii="Arial" w:cs="Arial" w:eastAsia="Arial" w:hAnsi="Arial"/>
                <w:sz w:val="18"/>
                <w:szCs w:val="18"/>
                <w:color w:val="auto"/>
              </w:rPr>
              <w:t>5,090,644</w:t>
            </w:r>
          </w:p>
        </w:tc>
        <w:tc>
          <w:tcPr>
            <w:tcW w:w="280" w:type="dxa"/>
            <w:vAlign w:val="bottom"/>
          </w:tcPr>
          <w:p>
            <w:pPr>
              <w:spacing w:after="0"/>
              <w:rPr>
                <w:sz w:val="20"/>
                <w:szCs w:val="20"/>
                <w:color w:val="auto"/>
              </w:rPr>
            </w:pP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217,109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(201,394 )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-6471285</wp:posOffset>
            </wp:positionV>
            <wp:extent cx="7747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-6471285</wp:posOffset>
            </wp:positionV>
            <wp:extent cx="6858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-6471285</wp:posOffset>
            </wp:positionV>
            <wp:extent cx="6858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-6471285</wp:posOffset>
            </wp:positionV>
            <wp:extent cx="6858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-6471285</wp:posOffset>
            </wp:positionV>
            <wp:extent cx="6858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-5708650</wp:posOffset>
            </wp:positionV>
            <wp:extent cx="7747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-5708650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-5708650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-5708650</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-4602480</wp:posOffset>
            </wp:positionV>
            <wp:extent cx="3934460"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34460" cy="3175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-3505200</wp:posOffset>
            </wp:positionV>
            <wp:extent cx="3934460" cy="53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34460" cy="53149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-2819400</wp:posOffset>
            </wp:positionV>
            <wp:extent cx="7747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-2819400</wp:posOffset>
            </wp:positionV>
            <wp:extent cx="6858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-2819400</wp:posOffset>
            </wp:positionV>
            <wp:extent cx="6858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-2819400</wp:posOffset>
            </wp:positionV>
            <wp:extent cx="6858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-1919605</wp:posOffset>
            </wp:positionV>
            <wp:extent cx="7747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-1919605</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-1919605</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-1919605</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-814070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-796290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-814070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-796290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-814070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-796290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-814070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-796290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-187960</wp:posOffset>
            </wp:positionV>
            <wp:extent cx="7747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accompanying financial statements have been prepared on a basis that assumes we will continue as a going concern and which contemplates the realization of assets and satisfaction of liabilities and commitments in the normal course of business. For the nine months ended September 30, 2023, we had a net loss of $11.5 million. We had an accumulated deficit of $217.5 million as of September 30, 2023. For the nine months ended September 30, 2023, net cash used in our operating activities was $6.5 million. We have suffered recurring losses from operations and negative cash flows from operating activities. We believe that our existing cash resources, milestone payments related to the Royalty Purchase Agreement with HealthCare Royalty Management, LLC ("HCR"), funds available under the Purchase Agreement with Lincoln Park Capital Fund, LLC ("Lincoln Park") and the Equity Distribution Agreement with Piper Sandler &amp; Co ("Piper Sandler"), cash to be generated from future milestones related to IXINITY sales and regulatory approvals achieved by Medexus Pharmaceuticals, Inc. ("Medexus"), contingent considerations to be received from Kamada Ltd. (previously Saol), and exercise of warrants will be sufficient to meet our projected operating requirements for at least twelve months from the date of issuance of these financial statements. On August 4, 2023, we completed a public offering related to the issuance and sale of our common stock (or pre-funded warrant in lieu thereof) and common warrants. Our net proceeds from the offering amounted to $4.3 million after placement agent and other fees. Subsequently, on November 9, 2023, we entered into a warrant inducement agreement (the “Inducement Agreement”) with certain holders of our Series A and Series B common warrants issued in connection with our August 2023 public offering. Pursuant to the Inducement Agreement, certain holders agreed to exercise for cash all their Series A and Series B common warrants at an exercise price of $0.233. We anticipate receiving up to $3.7 million in gross proceeds from the exercise of these warrants (see Note 12). We may choose to raise additional funds to support our operating and capital needs in the future.</w:t>
      </w:r>
    </w:p>
    <w:p>
      <w:pPr>
        <w:spacing w:after="0" w:line="5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expected milestones are received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2022, and the notes thereto, which are included in the Company’s Annual Report on Form 10-K for the year ended December 31,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509"/>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subsidiary, Aptevo Research and Development LLC. All intercompany balances and transactions have been eliminated.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Gain Related to Sale of Nonfinancial Asset to XOMA (US) LLC</w:t>
      </w:r>
    </w:p>
    <w:p>
      <w:pPr>
        <w:spacing w:after="0" w:line="117"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8"/>
          <w:szCs w:val="18"/>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Under the terms of the Purchase Agreement, we received $9.6 million at closing (the “Closing Payment”) and an additional post-closing payment of $0.05 million post-closing payment. In exchange for the Closing Payment, the Company sold to XOMA its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milestone payment upon receipt of a Notice of Compliance for IXINITY from Health Canada (the "Canadian Approval Milestone Payment"); and (iii) 50% of the milestone payments upon receipt of regulatory approval in each of Germany, France, the United Kingdom, Spain and Italy (the "European Approval Milestone Payments") and when the worldwide net sales of IXINITY for a fiscal year meet or exceed $120 million (the "Net Sales Milestone Payment").</w:t>
      </w:r>
    </w:p>
    <w:p>
      <w:pPr>
        <w:spacing w:after="0" w:line="86"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 xml:space="preserve">We accounted for the $9.6 million Closing Payment and the $0.05 million post-closing payment from XOMA as other income in accordance with Accounting Standards Codification (ASC) 610-20 </w:t>
      </w:r>
      <w:r>
        <w:rPr>
          <w:rFonts w:ascii="Arial" w:cs="Arial" w:eastAsia="Arial" w:hAnsi="Arial"/>
          <w:sz w:val="18"/>
          <w:szCs w:val="18"/>
          <w:i w:val="1"/>
          <w:iCs w:val="1"/>
          <w:color w:val="auto"/>
        </w:rPr>
        <w:t>Other Income - Gains and Losses from the Derecognition of Nonfinancial Assets</w:t>
      </w:r>
      <w:r>
        <w:rPr>
          <w:rFonts w:ascii="Arial" w:cs="Arial" w:eastAsia="Arial" w:hAnsi="Arial"/>
          <w:sz w:val="18"/>
          <w:szCs w:val="18"/>
          <w:color w:val="auto"/>
        </w:rPr>
        <w:t xml:space="preserve"> in the first quarter of 2023. Contractual rights sold to XOMA represent an intangible asset under ASC 610-20 </w:t>
      </w:r>
      <w:r>
        <w:rPr>
          <w:rFonts w:ascii="Arial" w:cs="Arial" w:eastAsia="Arial" w:hAnsi="Arial"/>
          <w:sz w:val="18"/>
          <w:szCs w:val="18"/>
          <w:i w:val="1"/>
          <w:iCs w:val="1"/>
          <w:color w:val="auto"/>
        </w:rPr>
        <w:t>Other Income - Gains and Losses from the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Nonfinancial Assets </w:t>
      </w:r>
      <w:r>
        <w:rPr>
          <w:rFonts w:ascii="Arial" w:cs="Arial" w:eastAsia="Arial" w:hAnsi="Arial"/>
          <w:sz w:val="18"/>
          <w:szCs w:val="18"/>
          <w:color w:val="auto"/>
        </w:rPr>
        <w:t>for which XOMA bears all benefit and Aptevo has no obligations going forward. The Company will continue to account for its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future milestones under our LLC Purchase Agreement with Medexus as contingent consideration under </w:t>
      </w:r>
      <w:r>
        <w:rPr>
          <w:rFonts w:ascii="Arial" w:cs="Arial" w:eastAsia="Arial" w:hAnsi="Arial"/>
          <w:sz w:val="18"/>
          <w:szCs w:val="18"/>
          <w:i w:val="1"/>
          <w:iCs w:val="1"/>
          <w:color w:val="auto"/>
        </w:rPr>
        <w:t>ASC 450-30 Gain Contingencies</w:t>
      </w:r>
      <w:r>
        <w:rPr>
          <w:rFonts w:ascii="Arial" w:cs="Arial" w:eastAsia="Arial" w:hAnsi="Arial"/>
          <w:sz w:val="18"/>
          <w:szCs w:val="18"/>
          <w:color w:val="auto"/>
        </w:rPr>
        <w:t xml:space="preserve"> and will record income when proceeds are received.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Liability Related to Sale of Royalties and Non-Cash Interest Expense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September 30,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Through March 31, 2022,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 Revenues or Various Other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 of Income</w:t>
      </w:r>
      <w:r>
        <w:rPr>
          <w:rFonts w:ascii="Arial" w:cs="Arial" w:eastAsia="Arial" w:hAnsi="Arial"/>
          <w:sz w:val="18"/>
          <w:szCs w:val="18"/>
          <w:color w:val="auto"/>
        </w:rPr>
        <w:t>.</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 xml:space="preserve">On June 7, 2022, we entered into and closed an amendment to the Royalty Purchase Agreement (the "Amendment to Royalty Purchase Agreement") (see Note 8) which removed all restrictions related to HCR’s rate of return, and it is no longer a sale of a specified percentage of royalty revenue. The Amendment to Royalty Purchase Agreement was accounted for under ASC 610-20, </w:t>
      </w:r>
      <w:r>
        <w:rPr>
          <w:rFonts w:ascii="Arial" w:cs="Arial" w:eastAsia="Arial" w:hAnsi="Arial"/>
          <w:sz w:val="17"/>
          <w:szCs w:val="17"/>
          <w:i w:val="1"/>
          <w:iCs w:val="1"/>
          <w:color w:val="auto"/>
        </w:rPr>
        <w:t>Gains and Losses from Derecognition of Nonfinancial Assets</w:t>
      </w:r>
      <w:r>
        <w:rPr>
          <w:rFonts w:ascii="Arial" w:cs="Arial" w:eastAsia="Arial" w:hAnsi="Arial"/>
          <w:sz w:val="17"/>
          <w:szCs w:val="17"/>
          <w:color w:val="auto"/>
        </w:rPr>
        <w:t xml:space="preserve"> and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xml:space="preserve"> and the transaction was no longer considered a debt-like financing.</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As a result of the Amendment to Royalty Purchase Agreement, the Company recognized a gain of $37.2 million in the second quarter of 2022, which was the total balance of liability related to the sale of royalties on the closing date. Future milestone payments will be accounted for as variable consideration and recognized as other income when such milestones are earned using the most likely method in accordance with ASC 610-20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 Gains and Losses from the Derecognition of Nonfinancial Assets. </w:t>
      </w:r>
      <w:r>
        <w:rPr>
          <w:rFonts w:ascii="Arial" w:cs="Arial" w:eastAsia="Arial" w:hAnsi="Arial"/>
          <w:sz w:val="18"/>
          <w:szCs w:val="18"/>
          <w:color w:val="auto"/>
        </w:rPr>
        <w:t>We received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2022 milestone payment of $2.5 million on February 28, 2023. The proceeds from the 2022 milestone payment were recorded as other income in the consolidated statement of operations for the year ended December 31, 2022. The Company is eligible to receive an additional milestone payment of $10 million based on achievement of sales milestone in 2023.</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We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RUXIENCE Royalty 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Aptevo’s royalty revenue was exclusively related to royalties on Pfizer’s net sales of RUXIENCE. We did not recognize royalty revenue for the nine months ended September 30, 2023. Royalty revenue for the period covered by this report reflects revenue recorded only in the first quarter of 2022 due to our Amendment to Royalty Purchase Agreement with HCR (see Note 8). As a result of the Amendment to Royalty Purchase Agreement, we ceased reporting as royalty revenue, royalties paid by Pfizer to HCR related to Pfizer’s sales of RUXIENCE.</w:t>
      </w:r>
    </w:p>
    <w:p>
      <w:pPr>
        <w:spacing w:after="0" w:line="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8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Given the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Aptevo did not record revenue for the nine months ended September 30, 2023 due to our Amendment to Royalty Purchase Agreement. Revenue recorded for the nine months ended September 30, 2022 represents actual royalty revenue given the timing of RUXIENCE sales reports received from Pfizer. There was no significant financing component to the contract.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On March 29, 2023, we used a portion of the proceeds from our Purchase Agreement with XOMA to fully repay the $2.8 million outstanding principal balance of our MidCap debt, and $0.3 million in exit fees. The pre-payment was not considered an amendment to our Credit Agreement (as defined below) since we were required to fully repay the remaining principal balance if we sold our IXINITY deferred payment stream and milestones.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2022 that was filed with the SEC on March 30, 2023. Our other significant accounting policies have not changed materially from the policies previously reported.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accompanying unaudited condensed consolidated financial statements include discontinued operations from two separate transactions: the sale of our hyperimmune business to Saol International Limited (subsequently acquired by Kamada Ltd.) in September 2017, from which we received a payment in March 2023 related to the collection of certain accounts receivable, and the sale of our Aptevo BioTherapeutics LLC business to Medexus in February 2020. In March 2023, we sold our rights to deferred payments and a percentage of potential future milestones from Medexus to XOMA.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300" w:type="dxa"/>
            <w:vAlign w:val="bottom"/>
          </w:tcPr>
          <w:p>
            <w:pPr>
              <w:spacing w:after="0"/>
              <w:rPr>
                <w:sz w:val="16"/>
                <w:szCs w:val="16"/>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10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20"/>
                <w:szCs w:val="20"/>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Gain on contingent consideration from release of</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escrow related to sale of Aptevo BioTherapeutics</w:t>
            </w:r>
          </w:p>
        </w:tc>
        <w:tc>
          <w:tcPr>
            <w:tcW w:w="94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LLC Purchase Agreement with Medexus entitled us to future deferred payments and milestones. For the nine months ended September 30, 2023, we collected $0.5 million in deferred payments from Medexus related to IXINITY sales and $0.2 million related to funds released from escrow from the sale of Aptevo BioTherapeutics in 2020. Additionally, we received $0.3 million related to the sale of hyperimmune business to Saol as a result of the collection of certain accounts receivable. For the nine months ended September 30, 2022, we collected $0.5 million in deferred payment from Medexus related to IXINITY sales. As a result of our Purchase Agreement with XOMA, we no longer receive deferred payments from Medexus. We are still entitled to receive a percentage of future milestones based on Medexus' achievement of certain IXINITY net sales and regulatory approvals. The proceeds from the income from discontinued operations are included within net income in the operating section of the unaudited condensed consolidated statements of cash flows.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XOMA Transaction</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2020 LLC Purchase Agreement. Under the terms of our Purchase Agreement with XOMA, we received $9.6 million at closing (the “Closing Payment”) and an additional post-closing payment of $0.05 million (the “Post-Closing Payment”).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We accounted for the $9.6 million Closing Payment and the $0.05 million post-closing payment from XOMA as other income in accordance with </w:t>
      </w:r>
      <w:r>
        <w:rPr>
          <w:rFonts w:ascii="Arial" w:cs="Arial" w:eastAsia="Arial" w:hAnsi="Arial"/>
          <w:sz w:val="16"/>
          <w:szCs w:val="16"/>
          <w:i w:val="1"/>
          <w:iCs w:val="1"/>
          <w:color w:val="auto"/>
        </w:rPr>
        <w:t xml:space="preserve">ASC 610-20 Other Income - Gains and Losses from the Derecognition of Nonfinancial Assets </w:t>
      </w:r>
      <w:r>
        <w:rPr>
          <w:rFonts w:ascii="Arial" w:cs="Arial" w:eastAsia="Arial" w:hAnsi="Arial"/>
          <w:sz w:val="16"/>
          <w:szCs w:val="16"/>
          <w:color w:val="auto"/>
        </w:rPr>
        <w:t>in the first quarter of 2023. Contractual rights sold to XOMA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an intangible asset under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xml:space="preserve"> for which XOMA bears all benefit and Aptevo has no obligations going forward. The Company will continue to account for its portion of future milestones under our LLC Purchase Agreement with Medexus as contingent consideration under </w:t>
      </w:r>
      <w:r>
        <w:rPr>
          <w:rFonts w:ascii="Arial" w:cs="Arial" w:eastAsia="Arial" w:hAnsi="Arial"/>
          <w:sz w:val="16"/>
          <w:szCs w:val="16"/>
          <w:i w:val="1"/>
          <w:iCs w:val="1"/>
          <w:color w:val="auto"/>
        </w:rPr>
        <w:t>ASC 450-30 Gain Contingencies</w:t>
      </w:r>
      <w:r>
        <w:rPr>
          <w:rFonts w:ascii="Arial" w:cs="Arial" w:eastAsia="Arial" w:hAnsi="Arial"/>
          <w:sz w:val="16"/>
          <w:szCs w:val="16"/>
          <w:color w:val="auto"/>
        </w:rPr>
        <w:t xml:space="preserve"> and will record income when proceeds are received.</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 Bioscience AB</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bispecific antibody candidate simultaneously targeting 4-1BB (CD137), a member of the TNFR superfamily of a costimulatory receptor found on activated T cells, and 5T4, a tumor antigen widely overexpressed in a number of different types of cancer.</w:t>
      </w:r>
    </w:p>
    <w:p>
      <w:pPr>
        <w:spacing w:after="0" w:line="4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In accordance with ASC 808, we concluded that because the Collaboration Agreement is a cost sharing agreement, there is no revenue.</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nine months ended September 30, 2023 and 2022, we recorded approximately $2.0 million and $0.3 million, which represent 50% of our cost share, in our research and development expense related to the Collaboration Agreement,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At September 30, 2023 and December 31, 2022, we had $17.5 million and $21.6 million in Level 1 money market funds, respectively. The carrying amounts of our money market funds approximate their fair value. At September 30, 2023 and December 31, 2022, we did not have any Level 2 or Level 3 assets.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Cash and Cash Equivalents</w:t>
      </w:r>
    </w:p>
    <w:p>
      <w:pPr>
        <w:spacing w:after="0" w:line="13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and cash equivalents as of September 30, 2023 and December 31, 2022:</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r>
      <w:tr>
        <w:trPr>
          <w:trHeight w:val="185"/>
        </w:trPr>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FF0FC"/>
          </w:tcPr>
          <w:p>
            <w:pPr>
              <w:spacing w:after="0"/>
              <w:rPr>
                <w:sz w:val="20"/>
                <w:szCs w:val="20"/>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20"/>
                <w:szCs w:val="20"/>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August 5, 2020, we entered into a Credit Agreement, with MidCap Financial (the "Credit Agreement"). The Credit Agreement provided us with up to $25.0 million of available borrowing capacity under a term loan facility. The full $25.0 million was drawn on the closing date of the Credit Agreement.</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29, 2023, we used a portion of the proceeds from our Purchase Agreement with XOMA to fully repay the $2.8 million outstanding principal of our MidCap debt, including payment of $0.3 million in exit fees. The pre-payment was not considered an amendment to our Credit Agreement since we were required to fully repay the remaining principal balance if we sold IXINITY deferred payment stream and milestones. As of September 30, 2023, we do not have any outstanding debt on the balance sheet.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Liability Related to Sale of Royalties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September 30, 2023 ($35 million at closing and $12.5 million in milestone payments) and we are eligible to receive an additional $10 million based on the achievement of sales milestone in 2023.</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Due to the nature of the transaction, which included a cap on HCR’s rate of return, we recorded a liability related to the proceeds received from HCR of $35.0 million, net of transaction costs of $1.1 million and the 2021 milestone payments in the collective amount of $10.0 million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 or Various Other Measures of Income</w:t>
      </w:r>
      <w:r>
        <w:rPr>
          <w:rFonts w:ascii="Arial" w:cs="Arial" w:eastAsia="Arial" w:hAnsi="Arial"/>
          <w:sz w:val="18"/>
          <w:szCs w:val="18"/>
          <w:color w:val="auto"/>
        </w:rPr>
        <w:t>.</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On June 7, 2022, we entered into and closed an amendment to our Royalty Purchase Agreement, resulting in the Company recognizing a $37.2 million gain, which was the total balance of liability related to the sale of royalties on the closing date.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Arial" w:cs="Arial" w:eastAsia="Arial" w:hAnsi="Arial"/>
          <w:sz w:val="18"/>
          <w:szCs w:val="18"/>
          <w:i w:val="1"/>
          <w:iCs w:val="1"/>
          <w:color w:val="auto"/>
        </w:rPr>
        <w:t>Gains and Losses from Derecognition of Nonfinancial Assets</w:t>
      </w:r>
      <w:r>
        <w:rPr>
          <w:rFonts w:ascii="Arial" w:cs="Arial" w:eastAsia="Arial" w:hAnsi="Arial"/>
          <w:sz w:val="18"/>
          <w:szCs w:val="18"/>
          <w:color w:val="auto"/>
        </w:rPr>
        <w:t xml:space="preserve"> and ASC 405-20, </w:t>
      </w:r>
      <w:r>
        <w:rPr>
          <w:rFonts w:ascii="Arial" w:cs="Arial" w:eastAsia="Arial" w:hAnsi="Arial"/>
          <w:sz w:val="18"/>
          <w:szCs w:val="18"/>
          <w:i w:val="1"/>
          <w:iCs w:val="1"/>
          <w:color w:val="auto"/>
        </w:rPr>
        <w:t>Liabilities –</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509"/>
        <w:spacing w:after="0" w:line="301" w:lineRule="auto"/>
        <w:rPr>
          <w:sz w:val="20"/>
          <w:szCs w:val="20"/>
          <w:color w:val="auto"/>
        </w:rPr>
      </w:pPr>
      <w:r>
        <w:rPr>
          <w:rFonts w:ascii="Arial" w:cs="Arial" w:eastAsia="Arial" w:hAnsi="Arial"/>
          <w:sz w:val="16"/>
          <w:szCs w:val="16"/>
          <w:color w:val="auto"/>
        </w:rPr>
        <w:t xml:space="preserve">Future milestone payments will be accounted for as variable consideration and recognized using the most likely method in accordance with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We received the 2022 milestone payment of $2.5 million on February 28, 2023. The proceeds from the 2022 milestone payment were recorded as other income in the consolidated statement of operations for the year ended December 31, 2022. We are eligible to receive an additional milestone payment of $10 million based on achievement of sales milestone in 2023.</w:t>
      </w:r>
    </w:p>
    <w:p>
      <w:pPr>
        <w:spacing w:after="0" w:line="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Due to our Amendment to Royalty Purchase Agreement, we did not have any liability related to sale of royalties as of September 30, 2023. The following table presents the changes in the liability in the prior period related to the sale of royalties under the Royalty Purchase Agreement with HCR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5"/>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r>
      <w:tr>
        <w:trPr>
          <w:trHeight w:val="23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royalties, 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w:t>
            </w:r>
          </w:p>
        </w:tc>
        <w:tc>
          <w:tcPr>
            <w:tcW w:w="100" w:type="dxa"/>
            <w:vAlign w:val="bottom"/>
            <w:shd w:val="clear" w:color="auto" w:fill="CFF0FC"/>
          </w:tcPr>
          <w:p>
            <w:pPr>
              <w:spacing w:after="0"/>
              <w:rPr>
                <w:sz w:val="20"/>
                <w:szCs w:val="20"/>
                <w:color w:val="auto"/>
              </w:rPr>
            </w:pPr>
          </w:p>
        </w:tc>
      </w:tr>
      <w:tr>
        <w:trPr>
          <w:trHeight w:val="237"/>
        </w:trPr>
        <w:tc>
          <w:tcPr>
            <w:tcW w:w="7900" w:type="dxa"/>
            <w:vAlign w:val="bottom"/>
          </w:tcPr>
          <w:p>
            <w:pPr>
              <w:ind w:left="100"/>
              <w:spacing w:after="0"/>
              <w:rPr>
                <w:sz w:val="20"/>
                <w:szCs w:val="20"/>
                <w:color w:val="auto"/>
              </w:rPr>
            </w:pPr>
            <w:r>
              <w:rPr>
                <w:rFonts w:ascii="Arial" w:cs="Arial" w:eastAsia="Arial" w:hAnsi="Arial"/>
                <w:sz w:val="18"/>
                <w:szCs w:val="18"/>
                <w:color w:val="auto"/>
              </w:rPr>
              <w:t>Proceeds from milestone payments, net of transaction costs</w:t>
            </w: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100"/>
              <w:spacing w:after="0"/>
              <w:rPr>
                <w:sz w:val="20"/>
                <w:szCs w:val="20"/>
                <w:color w:val="auto"/>
              </w:rPr>
            </w:pPr>
            <w:r>
              <w:rPr>
                <w:rFonts w:ascii="Arial" w:cs="Arial" w:eastAsia="Arial" w:hAnsi="Arial"/>
                <w:sz w:val="18"/>
                <w:szCs w:val="18"/>
                <w:color w:val="auto"/>
              </w:rPr>
              <w:t>RUXIENCE royalties paid by Pfizer to HCR</w:t>
            </w:r>
          </w:p>
        </w:tc>
        <w:tc>
          <w:tcPr>
            <w:tcW w:w="14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(6,779 )</w:t>
            </w:r>
          </w:p>
        </w:tc>
      </w:tr>
      <w:tr>
        <w:trPr>
          <w:trHeight w:val="243"/>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Gain from extinguishment of liability related to sale of royalties</w:t>
            </w:r>
          </w:p>
        </w:tc>
        <w:tc>
          <w:tcPr>
            <w:tcW w:w="14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(37,182 )</w:t>
            </w:r>
          </w:p>
        </w:tc>
      </w:tr>
      <w:tr>
        <w:trPr>
          <w:trHeight w:val="237"/>
        </w:trPr>
        <w:tc>
          <w:tcPr>
            <w:tcW w:w="7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Liability related to sale of royalties, ending balance</w:t>
            </w:r>
          </w:p>
        </w:tc>
        <w:tc>
          <w:tcPr>
            <w:tcW w:w="14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non-cash interest expense through the date of the Amendment to Royalty Purchase Agreement.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4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September 30, 2023, we are not reasonably certain to exercise the two options to extend the lease term. Therefore, pursuant to our May 26, 2022 amendment, we recorded our lease liability through April 30, 2030.</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nine months ended September 30, 2023, we recorded $0.3 million and $0.6 million, respectively, related to variable lease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2022, we recorded $0.2 million and $0.6 million, respectively, related to variable lease expense.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200" w:type="dxa"/>
            <w:vAlign w:val="bottom"/>
          </w:tcPr>
          <w:p>
            <w:pPr>
              <w:spacing w:after="0"/>
              <w:rPr>
                <w:sz w:val="16"/>
                <w:szCs w:val="16"/>
                <w:color w:val="auto"/>
              </w:rPr>
            </w:pPr>
          </w:p>
        </w:tc>
        <w:tc>
          <w:tcPr>
            <w:tcW w:w="2980" w:type="dxa"/>
            <w:vAlign w:val="bottom"/>
            <w:tcBorders>
              <w:bottom w:val="single" w:sz="8" w:color="auto"/>
            </w:tcBorders>
            <w:gridSpan w:val="7"/>
          </w:tcPr>
          <w:p>
            <w:pPr>
              <w:jc w:val="right"/>
              <w:ind w:right="73"/>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6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center"/>
              <w:ind w:left="917"/>
              <w:spacing w:after="0"/>
              <w:rPr>
                <w:sz w:val="20"/>
                <w:szCs w:val="20"/>
                <w:color w:val="auto"/>
              </w:rPr>
            </w:pPr>
            <w:r>
              <w:rPr>
                <w:rFonts w:ascii="Arial" w:cs="Arial" w:eastAsia="Arial" w:hAnsi="Arial"/>
                <w:sz w:val="18"/>
                <w:szCs w:val="18"/>
                <w:color w:val="auto"/>
                <w:w w:val="93"/>
              </w:rPr>
              <w:t>297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center"/>
              <w:ind w:left="917"/>
              <w:spacing w:after="0"/>
              <w:rPr>
                <w:sz w:val="20"/>
                <w:szCs w:val="20"/>
                <w:color w:val="auto"/>
              </w:rPr>
            </w:pPr>
            <w:r>
              <w:rPr>
                <w:rFonts w:ascii="Arial" w:cs="Arial" w:eastAsia="Arial" w:hAnsi="Arial"/>
                <w:sz w:val="18"/>
                <w:szCs w:val="18"/>
                <w:color w:val="auto"/>
                <w:w w:val="93"/>
              </w:rPr>
              <w:t>297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7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ind w:left="520"/>
              <w:spacing w:after="0"/>
              <w:rPr>
                <w:sz w:val="20"/>
                <w:szCs w:val="20"/>
                <w:color w:val="auto"/>
              </w:rPr>
            </w:pPr>
            <w:r>
              <w:rPr>
                <w:rFonts w:ascii="Arial" w:cs="Arial" w:eastAsia="Arial" w:hAnsi="Arial"/>
                <w:sz w:val="18"/>
                <w:szCs w:val="18"/>
                <w:b w:val="1"/>
                <w:bCs w:val="1"/>
                <w:i w:val="1"/>
                <w:iCs w:val="1"/>
                <w:color w:val="auto"/>
                <w:w w:val="84"/>
              </w:rPr>
              <w:t>Right of use assets acquired under operating leases: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w w:val="90"/>
              </w:rPr>
              <w:t>As of September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4"/>
                <w:szCs w:val="14"/>
                <w:b w:val="1"/>
                <w:bCs w:val="1"/>
                <w:color w:val="auto"/>
                <w:w w:val="89"/>
              </w:rPr>
              <w:t>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Seattle office lease, including amendment</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4,992</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operating leases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8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4,992</w:t>
            </w:r>
          </w:p>
        </w:tc>
        <w:tc>
          <w:tcPr>
            <w:tcW w:w="300" w:type="dxa"/>
            <w:vAlign w:val="bottom"/>
          </w:tcPr>
          <w:p>
            <w:pPr>
              <w:spacing w:after="0"/>
              <w:rPr>
                <w:sz w:val="20"/>
                <w:szCs w:val="20"/>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ind w:left="520"/>
              <w:spacing w:after="0"/>
              <w:rPr>
                <w:sz w:val="20"/>
                <w:szCs w:val="20"/>
                <w:color w:val="auto"/>
              </w:rPr>
            </w:pPr>
            <w:r>
              <w:rPr>
                <w:rFonts w:ascii="Arial" w:cs="Arial" w:eastAsia="Arial" w:hAnsi="Arial"/>
                <w:sz w:val="18"/>
                <w:szCs w:val="18"/>
                <w:b w:val="1"/>
                <w:bCs w:val="1"/>
                <w:i w:val="1"/>
                <w:iCs w:val="1"/>
                <w:color w:val="auto"/>
              </w:rPr>
              <w:t>Lease payments:</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3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4"/>
                <w:szCs w:val="14"/>
                <w:b w:val="1"/>
                <w:bCs w:val="1"/>
                <w:color w:val="auto"/>
                <w:w w:val="89"/>
              </w:rPr>
              <w:t>2022</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0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left="897"/>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-2562225</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-2562225</wp:posOffset>
            </wp:positionV>
            <wp:extent cx="5969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-2562225</wp:posOffset>
            </wp:positionV>
            <wp:extent cx="603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-2562225</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-1516380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-1516380</wp:posOffset>
            </wp:positionV>
            <wp:extent cx="603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jc w:val="both"/>
        <w:ind w:firstLine="509"/>
        <w:spacing w:after="0" w:line="277" w:lineRule="auto"/>
        <w:rPr>
          <w:sz w:val="20"/>
          <w:szCs w:val="20"/>
          <w:color w:val="auto"/>
        </w:rPr>
      </w:pPr>
      <w:r>
        <w:rPr>
          <w:rFonts w:ascii="Arial" w:cs="Arial" w:eastAsia="Arial" w:hAnsi="Arial"/>
          <w:sz w:val="18"/>
          <w:szCs w:val="18"/>
          <w:color w:val="auto"/>
        </w:rPr>
        <w:t>As of September 30, 2023, the long-term and current portion of the lease liabilities is $5.6 million and $0.7 million, respectively. As of September 30, 2022, the long-term and current portion of the lease liabilities were $6.2 million and $0.1 million,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2023, the weighted-average remaining lease term and weighted-average discount rate for operating leases was 6.59 years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12.03%. As of September 30, 2022, the weighted-average remaining lease term and weighted-average discount rate for operating leases was 7.6 years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12.03%.</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Shares of the Company's common stock underlying pre-funded warrants are included in the calculation of basic and diluted earnings per share. For the purpose of this calculation, warrants, stock options and restricted stock units ("RSUs") are only included in the calculation of diluted net income (loss) per share when their effect is dilutive.</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(loss) income per share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8"/>
          </w:tcPr>
          <w:p>
            <w:pPr>
              <w:jc w:val="center"/>
              <w:ind w:right="370"/>
              <w:spacing w:after="0"/>
              <w:rPr>
                <w:sz w:val="20"/>
                <w:szCs w:val="20"/>
                <w:color w:val="auto"/>
              </w:rPr>
            </w:pPr>
            <w:r>
              <w:rPr>
                <w:rFonts w:ascii="Arial" w:cs="Arial" w:eastAsia="Arial" w:hAnsi="Arial"/>
                <w:sz w:val="14"/>
                <w:szCs w:val="14"/>
                <w:b w:val="1"/>
                <w:bCs w:val="1"/>
                <w:color w:val="auto"/>
                <w:w w:val="94"/>
              </w:rPr>
              <w:t>For the Three Months Ended</w:t>
            </w:r>
          </w:p>
        </w:tc>
        <w:tc>
          <w:tcPr>
            <w:tcW w:w="246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92"/>
              </w:rPr>
              <w:t>For the Nine Months Ended September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85"/>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37"/>
        </w:trPr>
        <w:tc>
          <w:tcPr>
            <w:tcW w:w="460" w:type="dxa"/>
            <w:vAlign w:val="bottom"/>
          </w:tcPr>
          <w:p>
            <w:pPr>
              <w:spacing w:after="0"/>
              <w:rPr>
                <w:sz w:val="20"/>
                <w:szCs w:val="20"/>
                <w:color w:val="auto"/>
              </w:rPr>
            </w:pPr>
          </w:p>
        </w:tc>
        <w:tc>
          <w:tcPr>
            <w:tcW w:w="5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(7,809</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(12,454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12,177</w:t>
            </w: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6"/>
        </w:trPr>
        <w:tc>
          <w:tcPr>
            <w:tcW w:w="460" w:type="dxa"/>
            <w:vAlign w:val="bottom"/>
          </w:tcPr>
          <w:p>
            <w:pPr>
              <w:spacing w:after="0"/>
              <w:rPr>
                <w:sz w:val="24"/>
                <w:szCs w:val="24"/>
                <w:color w:val="auto"/>
              </w:rPr>
            </w:pPr>
          </w:p>
        </w:tc>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(7,644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(11,508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12,669</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5"/>
        </w:trPr>
        <w:tc>
          <w:tcPr>
            <w:tcW w:w="460" w:type="dxa"/>
            <w:vAlign w:val="bottom"/>
          </w:tcPr>
          <w:p>
            <w:pPr>
              <w:spacing w:after="0"/>
              <w:rPr>
                <w:sz w:val="18"/>
                <w:szCs w:val="18"/>
                <w:color w:val="auto"/>
              </w:rPr>
            </w:pPr>
          </w:p>
        </w:tc>
        <w:tc>
          <w:tcPr>
            <w:tcW w:w="5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 and diluted net (loss) income per share from continuing</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44"/>
        </w:trPr>
        <w:tc>
          <w:tcPr>
            <w:tcW w:w="460" w:type="dxa"/>
            <w:vAlign w:val="bottom"/>
          </w:tcPr>
          <w:p>
            <w:pPr>
              <w:spacing w:after="0"/>
              <w:rPr>
                <w:sz w:val="21"/>
                <w:szCs w:val="21"/>
                <w:color w:val="auto"/>
              </w:rPr>
            </w:pPr>
          </w:p>
        </w:tc>
        <w:tc>
          <w:tcPr>
            <w:tcW w:w="5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50"/>
              <w:spacing w:after="0"/>
              <w:rPr>
                <w:sz w:val="20"/>
                <w:szCs w:val="20"/>
                <w:color w:val="auto"/>
              </w:rPr>
            </w:pPr>
            <w:r>
              <w:rPr>
                <w:rFonts w:ascii="Arial" w:cs="Arial" w:eastAsia="Arial" w:hAnsi="Arial"/>
                <w:sz w:val="18"/>
                <w:szCs w:val="18"/>
                <w:color w:val="auto"/>
              </w:rPr>
              <w:t>(1.53 )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61"/>
              <w:spacing w:after="0"/>
              <w:rPr>
                <w:sz w:val="20"/>
                <w:szCs w:val="20"/>
                <w:color w:val="auto"/>
              </w:rPr>
            </w:pPr>
            <w:r>
              <w:rPr>
                <w:rFonts w:ascii="Arial" w:cs="Arial" w:eastAsia="Arial" w:hAnsi="Arial"/>
                <w:sz w:val="18"/>
                <w:szCs w:val="18"/>
                <w:color w:val="auto"/>
              </w:rPr>
              <w:t>(1.38 )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w w:val="90"/>
              </w:rPr>
              <w:t>Basic and diluted net income per share from discontinued operations: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6"/>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5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 and diluted net (loss) income per share:</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50"/>
              <w:spacing w:after="0"/>
              <w:rPr>
                <w:sz w:val="20"/>
                <w:szCs w:val="20"/>
                <w:color w:val="auto"/>
              </w:rPr>
            </w:pPr>
            <w:r>
              <w:rPr>
                <w:rFonts w:ascii="Arial" w:cs="Arial" w:eastAsia="Arial" w:hAnsi="Arial"/>
                <w:sz w:val="18"/>
                <w:szCs w:val="18"/>
                <w:color w:val="auto"/>
              </w:rPr>
              <w:t>(1.50 )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61"/>
              <w:spacing w:after="0"/>
              <w:rPr>
                <w:sz w:val="20"/>
                <w:szCs w:val="20"/>
                <w:color w:val="auto"/>
              </w:rPr>
            </w:pPr>
            <w:r>
              <w:rPr>
                <w:rFonts w:ascii="Arial" w:cs="Arial" w:eastAsia="Arial" w:hAnsi="Arial"/>
                <w:sz w:val="18"/>
                <w:szCs w:val="18"/>
                <w:color w:val="auto"/>
              </w:rPr>
              <w:t>(1.28 )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Pr>
          <w:p>
            <w:pPr>
              <w:spacing w:after="0"/>
              <w:rPr>
                <w:sz w:val="22"/>
                <w:szCs w:val="22"/>
                <w:color w:val="auto"/>
              </w:rPr>
            </w:pPr>
          </w:p>
        </w:tc>
      </w:tr>
      <w:tr>
        <w:trPr>
          <w:trHeight w:val="224"/>
        </w:trPr>
        <w:tc>
          <w:tcPr>
            <w:tcW w:w="46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Shares used in calculation: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9"/>
        </w:trPr>
        <w:tc>
          <w:tcPr>
            <w:tcW w:w="4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920" w:type="dxa"/>
            <w:vAlign w:val="bottom"/>
            <w:shd w:val="clear" w:color="auto" w:fill="CFF0FC"/>
          </w:tcPr>
          <w:p>
            <w:pPr>
              <w:ind w:left="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12,579,012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5,090,592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9,006,542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5,017,864</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12,579,012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5,090,592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9,006,542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5,019,552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72"/>
        </w:trPr>
        <w:tc>
          <w:tcPr>
            <w:tcW w:w="46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rPr>
              <w:t>The following table represents all potentially dilutive shares: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As of 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36"/>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Common Warrants 2019</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Series A Common Warrants 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8,065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6"/>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Series B Common Warrants 2023</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Pre-funded Warrants 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Unvested RSUs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6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1"/>
        </w:trPr>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-4337050</wp:posOffset>
            </wp:positionV>
            <wp:extent cx="2554605"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4605"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-3548380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-3548380</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-3548380</wp:posOffset>
            </wp:positionV>
            <wp:extent cx="60325"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-3548380</wp:posOffset>
            </wp:positionV>
            <wp:extent cx="5969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-3230880</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-3230880</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-3230880</wp:posOffset>
            </wp:positionV>
            <wp:extent cx="6032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-3230880</wp:posOffset>
            </wp:positionV>
            <wp:extent cx="5969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-2571115</wp:posOffset>
            </wp:positionV>
            <wp:extent cx="255460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460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jc w:val="both"/>
        <w:ind w:firstLine="509"/>
        <w:spacing w:after="0" w:line="286" w:lineRule="auto"/>
        <w:rPr>
          <w:sz w:val="20"/>
          <w:szCs w:val="20"/>
          <w:color w:val="auto"/>
        </w:rPr>
      </w:pPr>
      <w:r>
        <w:rPr>
          <w:rFonts w:ascii="Arial" w:cs="Arial" w:eastAsia="Arial" w:hAnsi="Arial"/>
          <w:sz w:val="17"/>
          <w:szCs w:val="17"/>
          <w:color w:val="auto"/>
        </w:rPr>
        <w:t>We use the treasury stock method when determining dilutive shares. For the three months ended September 30, 2023, the Company was in a net loss position, therefore the share number used to calculate diluted earnings per share is the same as the basic earnings per share. As of September 30, 2022, we determined RSUs were the only dilutive shares, therefore included in the diluted earnings per share calculation.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Equity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August 2023 Public Raise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4, 2023, we completed a public offering of common stock and warrants, as follows:</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 public offering of 2,221,550 shares of common stock at a price of $0.62 per share.</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 public offering price of $0.619 per pre-funded warrant, to purchase up to 5,842,967 shares of common stock at an exercise price of $0.001 per share and will not expire prior to exercise. As of September 30, 2023, 4,651,935 of the pre-funded warrants were exercised. The remaining pre-funded warrants were exercised in October 2023.</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 public offering of related Series A and Series B common warrants to purchase up to an aggregate of 16,129,034 shares of common stock at an exercise price of $0.62 per share. 8,064,517 of Series A and 8,064,517 of Series B common warrants will expire on August 4, 2028 and February 4, 2025, respectively.</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received net proceeds of $4.3 million, net of transaction costs, as a result of this offering. Subsequently, on November 9, 2023, we entered into an Inducement Agreement with certain holders of our Series A and Series B common warrants issued in connection with our August 2023 public offering. Pursuant to the Inducement Agreement, certain holders agreed to exercise for cash all their Series A and Series B common warrants at an exercise price of $0.233. We anticipate receiving up to $3.7 million in gross proceeds from the exercise of these warrants. Additionally, pursuant to the Inducement Agreement, we agreed to issue up to an aggregate of 32,026,068 new Series A and new Series B warrants. If the new warrants are exercised, we may receive up to an additional $7.5 million in gross proceeds.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December 14, 2020, we entered into an Equity Distribution Agreement with Piper Sandler (the "Equity Distribution Agreement").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shares of common stock by Piper Sandler will be sold pursuant to a Registration Statement on Form S-3 which we filed on December 14, 2020. In the nine months ended September 30, 2023, the Company issued 730,913 shares of common stock at an average price of $2.26 under the Equity Distribution Agreement. We received $1.6 million in proceeds from the issuance of these shares. In the nine months ended September 30, 2022, the Company issued 78,285 shares of common stock at an average price of $5.75 under the Equity Distribution Agreement. We received $0.4 million in proceeds from the issuance of these shares.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February 16, 2022, we entered into a Purchase Agreement ("2022 Purchase Agreement") and a Registration Rights Agreement with Lincoln Park (the "Registration Rights Agreement").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2022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2022 Purchase Agreement. For the nine months ended September 30, 2023, we issued 300,000 shares of our common stock to Lincoln Park under the 2022 Purchase Agreement and we received $0.5 million in proceeds from issuance of these shares. We did not issue any shares of our common stock for cash consideration to Lincoln Park under the 2022 Purchase Agreement in the nine months ended September 30,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November 2, 2023, we entered into Amendment No. 3 to the Rights Agreement and extended the expiration of such agreement to November 4, 2024 and changed the exercise price to $2.02 per one one-thousandth of a Series A Junior Participating Preferred Share, subject to adjustment.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On June 1, 2018, at the 2018 Annual Meeting of the Stockholders, the Company’s stockholders approved a new 2018 Stock Incentive Plan (the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June 7, 2022, at the 2022 Annual Meeting of Stockholders, our stockholders approved the Amended and Restated 2018 SIP to increase the number of shares authorized for issuance under the 2018 SIP by 500,000 shares of common stock. As of September 30, 2023, there are approximately 0.1 million shares available to be granted under the 2018 SIP.</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6"/>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6"/>
              </w:rPr>
              <w:t>For the Nine Months Ended</w:t>
            </w:r>
          </w:p>
        </w:tc>
        <w:tc>
          <w:tcPr>
            <w:tcW w:w="10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2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6"/>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20"/>
                <w:szCs w:val="20"/>
                <w:color w:val="auto"/>
              </w:rPr>
            </w:pPr>
          </w:p>
        </w:tc>
      </w:tr>
      <w:tr>
        <w:trPr>
          <w:trHeight w:val="237"/>
        </w:trPr>
        <w:tc>
          <w:tcPr>
            <w:tcW w:w="52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0"/>
                <w:szCs w:val="20"/>
                <w:color w:val="auto"/>
              </w:rPr>
            </w:pPr>
          </w:p>
        </w:tc>
      </w:tr>
      <w:tr>
        <w:trPr>
          <w:trHeight w:val="277"/>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3"/>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r>
      <w:tr>
        <w:trPr>
          <w:trHeight w:val="185"/>
        </w:trPr>
        <w:tc>
          <w:tcPr>
            <w:tcW w:w="5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08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6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7"/>
        </w:trPr>
        <w:tc>
          <w:tcPr>
            <w:tcW w:w="58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left="336"/>
              <w:spacing w:after="0"/>
              <w:rPr>
                <w:sz w:val="20"/>
                <w:szCs w:val="20"/>
                <w:color w:val="auto"/>
              </w:rPr>
            </w:pPr>
            <w:r>
              <w:rPr>
                <w:rFonts w:ascii="Arial" w:cs="Arial" w:eastAsia="Arial" w:hAnsi="Arial"/>
                <w:sz w:val="18"/>
                <w:szCs w:val="18"/>
                <w:color w:val="auto"/>
                <w:w w:val="92"/>
              </w:rPr>
              <w:t>105.56%</w:t>
            </w:r>
          </w:p>
        </w:tc>
        <w:tc>
          <w:tcPr>
            <w:tcW w:w="200" w:type="dxa"/>
            <w:vAlign w:val="bottom"/>
          </w:tcPr>
          <w:p>
            <w:pPr>
              <w:spacing w:after="0"/>
              <w:rPr>
                <w:sz w:val="20"/>
                <w:szCs w:val="20"/>
                <w:color w:val="auto"/>
              </w:rPr>
            </w:pP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103.63%</w:t>
            </w:r>
          </w:p>
        </w:tc>
        <w:tc>
          <w:tcPr>
            <w:tcW w:w="1260" w:type="dxa"/>
            <w:vAlign w:val="bottom"/>
            <w:gridSpan w:val="2"/>
          </w:tcPr>
          <w:p>
            <w:pPr>
              <w:jc w:val="center"/>
              <w:ind w:left="96"/>
              <w:spacing w:after="0"/>
              <w:rPr>
                <w:sz w:val="20"/>
                <w:szCs w:val="20"/>
                <w:color w:val="auto"/>
              </w:rPr>
            </w:pPr>
            <w:r>
              <w:rPr>
                <w:rFonts w:ascii="Arial" w:cs="Arial" w:eastAsia="Arial" w:hAnsi="Arial"/>
                <w:sz w:val="18"/>
                <w:szCs w:val="18"/>
                <w:color w:val="auto"/>
                <w:w w:val="90"/>
              </w:rPr>
              <w:t>106.24%</w:t>
            </w:r>
          </w:p>
        </w:tc>
        <w:tc>
          <w:tcPr>
            <w:tcW w:w="100" w:type="dxa"/>
            <w:vAlign w:val="bottom"/>
          </w:tcPr>
          <w:p>
            <w:pPr>
              <w:spacing w:after="0"/>
              <w:rPr>
                <w:sz w:val="20"/>
                <w:szCs w:val="20"/>
                <w:color w:val="auto"/>
              </w:rPr>
            </w:pPr>
          </w:p>
        </w:tc>
      </w:tr>
      <w:tr>
        <w:trPr>
          <w:trHeight w:val="249"/>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center"/>
              <w:ind w:left="336"/>
              <w:spacing w:after="0"/>
              <w:rPr>
                <w:sz w:val="20"/>
                <w:szCs w:val="20"/>
                <w:color w:val="auto"/>
              </w:rPr>
            </w:pPr>
            <w:r>
              <w:rPr>
                <w:rFonts w:ascii="Arial" w:cs="Arial" w:eastAsia="Arial" w:hAnsi="Arial"/>
                <w:sz w:val="18"/>
                <w:szCs w:val="18"/>
                <w:color w:val="auto"/>
                <w:w w:val="90"/>
              </w:rPr>
              <w:t>2.96%</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0"/>
              </w:rPr>
              <w:t>4.18%</w:t>
            </w:r>
          </w:p>
        </w:tc>
        <w:tc>
          <w:tcPr>
            <w:tcW w:w="126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90"/>
              </w:rPr>
              <w:t>1.71%</w:t>
            </w:r>
          </w:p>
        </w:tc>
        <w:tc>
          <w:tcPr>
            <w:tcW w:w="100" w:type="dxa"/>
            <w:vAlign w:val="bottom"/>
            <w:shd w:val="clear" w:color="auto" w:fill="CFF0FC"/>
          </w:tcPr>
          <w:p>
            <w:pPr>
              <w:spacing w:after="0"/>
              <w:rPr>
                <w:sz w:val="21"/>
                <w:szCs w:val="2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Expected average life of options</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w w:val="94"/>
              </w:rPr>
              <w:t>5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5 years</w:t>
            </w:r>
          </w:p>
        </w:tc>
        <w:tc>
          <w:tcPr>
            <w:tcW w:w="200" w:type="dxa"/>
            <w:vAlign w:val="bottom"/>
          </w:tcPr>
          <w:p>
            <w:pPr>
              <w:spacing w:after="0"/>
              <w:rPr>
                <w:sz w:val="20"/>
                <w:szCs w:val="20"/>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the three and nine months ended September 30, 2023, management has applied an estimated forfeiture rate of 27% and 29%, respectively. For the three and nine months ended September 30, 2022, management has applied an estimated forfeiture rate of 30%. Expected volatility slightly decreased as our stock price fluctuated from a low of $0.31 to a high of $1.78 for the three months ended September 30, 2023, compared to a low of $2.95 to a high of $4.59 for the three months ended September 30,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nine months ended September 30, 2023:</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364,266</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8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103,965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(2,033 )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2023</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466,198</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Exercisable September 30, 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September 30, 2023</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413,647</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-384810</wp:posOffset>
            </wp:positionV>
            <wp:extent cx="186055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60550" cy="20574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As of September 30, 2023, we had $1.0 million of unrecognized compensation expense related to options expected to vest over a weighted-average remaining vesting period of 0.9 years. The weighted-average grant date fair value per share of options granted during the nine months ended September 30, 2023 and 2022 was $1.68 and $4.35, respectively. The aggregate intrinsic value of options exercised for the nine months ended September 30, 2023 and 2022 was $0. The total fair value of stock options vested for the nine months ended September 30, 2023 and 2022 was $1.2 million and $1.3 million, respectively.</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aggregate intrinsic value is the total pretax intrinsic value (the difference between the closing stock price of Aptevo’s common stock on the last trading day of September 2023 and the exercise price, multiplied by the number of in the money options) that would have been received by the option holders had all the option holders exercised their options on the last trading day of the quarter.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nine months ended September 30, 2023:</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Value per Unit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223,775</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168,168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(99,303 )</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(7,103 )</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expected to vest at September 30,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285,537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September 30, 2023, there was $1.0 million unrecognized stock-based compensation expense related to unvested RSUs expected to vest over the weighted-average period of 1.4 years.</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 - 2019</w:t>
      </w:r>
    </w:p>
    <w:p>
      <w:pPr>
        <w:sectPr>
          <w:pgSz w:w="11900" w:h="16838" w:orient="portrait"/>
          <w:cols w:equalWidth="0" w:num="1">
            <w:col w:w="11240"/>
          </w:cols>
          <w:pgMar w:left="320" w:top="34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6" w:name="page17"/>
    <w:bookmarkEnd w:id="16"/>
    <w:p>
      <w:pPr>
        <w:jc w:val="both"/>
        <w:ind w:firstLine="509"/>
        <w:spacing w:after="0" w:line="293" w:lineRule="auto"/>
        <w:rPr>
          <w:sz w:val="20"/>
          <w:szCs w:val="20"/>
          <w:color w:val="auto"/>
        </w:rPr>
      </w:pPr>
      <w:r>
        <w:rPr>
          <w:rFonts w:ascii="Arial" w:cs="Arial" w:eastAsia="Arial" w:hAnsi="Arial"/>
          <w:sz w:val="16"/>
          <w:szCs w:val="16"/>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These are therefore included within equity on our unaudited condensed consolidated balance sheet. For the nine months ended September 30, 2023 and 2022, the Company did not have any of its warrants exercised. As of September 30, 2023 and 2022, there were warrants to purchase 350,589 shares of common stock outstanding.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 - 2023</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 xml:space="preserve">In August 2023, as part of a public offering, we issued warrants to purchase up to 21,972,001 shares of our common stock, of which 16,129,034 of Series A and Series B common warrants have an exercise price of $0.62 per share and will expire on August 4, 2028 and February 4, 2025, respectively, and 5,842,967 of pre-funded warrants with an exercise price of $0.001 per share and will not expire prior to exercise. As of September 30, 2023, 4,651,935 of the pre-funded warrants were exercised. The remaining pre-funded warrants were exercised in October 2023. We determined the warrants do not meet liability classification pursuant to ASC 480 –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These are therefore included within equity on our unaudited condensed consolidated balance sheet. As of September 30, 2023, there were 8,064,517 of Series A and 8,064,517 of Series B warrants to purchase an aggregate of 16,129,034 shares of common stock outstanding.</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On November 9 2023, we entered into a warrant Inducement Agreement with certain holders of our existing Series A common warrants and Series B common warrants (together, the "Existing Warrants") to purchase shares of common stock. Pursuant to the terms of the Inducement Agreement, the holders agreed to exercise for cash their Existing Warrants to purchase up to an aggregate of 16,013,034 shares of common stock at an exercise price of $0.233 during the period from the date of the Inducement Agreement until December 8, 2023. In consideration of the holder’s agreement to exercise the Existing Warrants, we agreed to issue new Series A and new Series B common warrants (together, the "New Warrants"), to purchase a number of shares of common stock equal to 200% of the number of shares of common stock issued upon exercise of the Existing Warrants. We anticipate receiving up to $3.7 million in gross proceeds from the exercise of the Existing Warrants.</w:t>
      </w:r>
    </w:p>
    <w:p>
      <w:pPr>
        <w:spacing w:after="0" w:line="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Since the date of the Inducement Agreement, certain holders exercised their Existing Warrants to purchase 8,754,970 shares of our common stock at an exercise price of $0.233. We received $2.0 million in gross proceeds from the exercise of these warrants.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New Warrants will have an exercise price of $0.233 per share. Of the New Series A Warrants, 50% of will be immediately exercisable and expire in August 2028 and 50% will be exercisable on or after the Stockholder Approval Date and expire in December 2028. Of the New Series B Warrants, 50% of will be immediately exercisable and expire in February 2025 and 50% will be exercisable on or after the Stockholder Approval Date and expire in December 2025. If the New Warrants are exercised, we may receive up to an additional $7.5 million in gross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5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7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(in collaboration with Alligator),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immuno-oncology candidates that are designed to engage immune effector cells and disease targets to produce signaling responses that modulate the immune system to kill tumor cells.</w:t>
      </w:r>
    </w:p>
    <w:p>
      <w:pPr>
        <w:spacing w:after="0" w:line="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we are skilled at candidate generation, validation, and subsequent preclinical and clinical development using the ADAPTIR platform and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color w:val="auto"/>
        </w:rPr>
        <w:t>Recent Development</w:t>
      </w:r>
    </w:p>
    <w:p>
      <w:pPr>
        <w:spacing w:after="0" w:line="121" w:lineRule="exact"/>
        <w:rPr>
          <w:sz w:val="20"/>
          <w:szCs w:val="20"/>
          <w:color w:val="auto"/>
        </w:rPr>
      </w:pPr>
    </w:p>
    <w:p>
      <w:pPr>
        <w:jc w:val="both"/>
        <w:ind w:left="1020" w:right="28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4, 2023, Aptevo closed a public offering for $5 million that included healthcare-focused institutional investors. The Company raised an additional $2 million through the exercise of warrants in November 2023. This funding extends cash runway for at least the next twelve months.</w:t>
      </w:r>
    </w:p>
    <w:p>
      <w:pPr>
        <w:spacing w:after="0" w:line="7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Company may also receive up to $9.2 million if additional warrants are exercised.</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ALG.APV-527 Phase 1 dose escalation trial for the treatment of multiple solid tum 5T4 continues to dose patients and progress in the clinic.</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Trial endpoints include identification of an expansion phase dose and signals of clinical activity.</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Planning for initiation of the Company’s Phase 2 program evaluating APVO436 in two clinical trials (relapsed/refractory and frontline AML) is ongoing.</w:t>
      </w:r>
    </w:p>
    <w:p>
      <w:pPr>
        <w:spacing w:after="0" w:line="62" w:lineRule="exact"/>
        <w:rPr>
          <w:rFonts w:ascii="Arial" w:cs="Arial" w:eastAsia="Arial" w:hAnsi="Arial"/>
          <w:sz w:val="18"/>
          <w:szCs w:val="18"/>
          <w:color w:val="auto"/>
        </w:rPr>
      </w:pPr>
    </w:p>
    <w:p>
      <w:pPr>
        <w:ind w:left="1540" w:right="160" w:hanging="509"/>
        <w:spacing w:after="0" w:line="277" w:lineRule="auto"/>
        <w:rPr>
          <w:rFonts w:ascii="Arial" w:cs="Arial" w:eastAsia="Arial" w:hAnsi="Arial"/>
          <w:sz w:val="18"/>
          <w:szCs w:val="18"/>
          <w:color w:val="auto"/>
        </w:rPr>
      </w:pPr>
      <w:r>
        <w:rPr>
          <w:rFonts w:ascii="Arial" w:cs="Arial" w:eastAsia="Arial" w:hAnsi="Arial"/>
          <w:sz w:val="18"/>
          <w:szCs w:val="18"/>
          <w:color w:val="auto"/>
        </w:rPr>
        <w:t>oThe Phase 2 program is intended to further evaluate the triplet combination of APVO436 + venetoclax + azacitidine among frontline and relapsed/refractory AML patients who are venetoclax treatment naïve.</w:t>
      </w:r>
    </w:p>
    <w:p>
      <w:pPr>
        <w:spacing w:after="0" w:line="166" w:lineRule="exact"/>
        <w:rPr>
          <w:sz w:val="20"/>
          <w:szCs w:val="20"/>
          <w:color w:val="auto"/>
        </w:rPr>
      </w:pPr>
    </w:p>
    <w:p>
      <w:pPr>
        <w:ind w:left="520" w:right="4740"/>
        <w:spacing w:after="0" w:line="377" w:lineRule="auto"/>
        <w:rPr>
          <w:sz w:val="20"/>
          <w:szCs w:val="20"/>
          <w:color w:val="auto"/>
        </w:rPr>
      </w:pPr>
      <w:r>
        <w:rPr>
          <w:rFonts w:ascii="Arial" w:cs="Arial" w:eastAsia="Arial" w:hAnsi="Arial"/>
          <w:sz w:val="18"/>
          <w:szCs w:val="18"/>
          <w:b w:val="1"/>
          <w:bCs w:val="1"/>
          <w:color w:val="auto"/>
        </w:rPr>
        <w:t>Comparison of the three and nine months ended September 30, 2023 and 2022 Royalty Revenue</w:t>
      </w:r>
    </w:p>
    <w:p>
      <w:pPr>
        <w:spacing w:after="0" w:line="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For the nine months ended September 30, 2023 and 2022, royalty revenue was $0.0 and $3.1 million, respectively. We did not recognize royalty revenue in 2023 due to our Amendment to Royalty Purchase Agreement with HCR. As a result of the amendment, we ceased reporting as royalty revenue, royalties paid by Pfizer to HCR related to Pfizer’s sales of RUXIENCE beginning in the second quarter of 2022. The royalty revenue from Pfizer related to a Collaboration and License Agreement ("Definitive Agreement") acquired by Aptevo as part of our spin-off from Emergent in 2016. The Definitive Agreement was originally executed by Trubion Pharmaceuticals, which was subsequently acquired by Emergent, and Wyeth, a wholly owned subsidiary of Pfizer (see Note 8).</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received the 2022 milestone payment of $2.5 million on February 28, 2023. The proceeds from the 2022 milestone payment were recorded as other income in the consolidated statement of operations for the year ended December 31, 2022. We are eligible to receive an additional milestone payment of $10 million based on the achievement of sales milestone in 2023.</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63" w:lineRule="exact"/>
        <w:rPr>
          <w:sz w:val="20"/>
          <w:szCs w:val="20"/>
          <w:color w:val="auto"/>
        </w:rPr>
      </w:pPr>
    </w:p>
    <w:p>
      <w:pPr>
        <w:ind w:left="1800" w:hanging="384"/>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800" w:hanging="384"/>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costs related to our clinical and pre-clinical programs;</w:t>
      </w:r>
    </w:p>
    <w:p>
      <w:pPr>
        <w:spacing w:after="0" w:line="117" w:lineRule="exact"/>
        <w:rPr>
          <w:rFonts w:ascii="Arial" w:cs="Arial" w:eastAsia="Arial" w:hAnsi="Arial"/>
          <w:sz w:val="18"/>
          <w:szCs w:val="18"/>
          <w:color w:val="auto"/>
        </w:rPr>
      </w:pPr>
    </w:p>
    <w:p>
      <w:pPr>
        <w:ind w:left="1800" w:hanging="384"/>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800" w:hanging="384"/>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800" w:hanging="384"/>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program for the three and nine months ended September 30, 2023 and 2022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Change</w:t>
            </w:r>
          </w:p>
        </w:tc>
      </w:tr>
      <w:tr>
        <w:trPr>
          <w:trHeight w:val="237"/>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APVO436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(950 )</w:t>
            </w:r>
          </w:p>
        </w:tc>
      </w:tr>
      <w:tr>
        <w:trPr>
          <w:trHeight w:val="249"/>
        </w:trPr>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ALG.APV-527</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21"/>
                <w:szCs w:val="21"/>
                <w:color w:val="auto"/>
              </w:rPr>
            </w:pPr>
          </w:p>
        </w:tc>
      </w:tr>
      <w:tr>
        <w:trPr>
          <w:trHeight w:val="237"/>
        </w:trPr>
        <w:tc>
          <w:tcPr>
            <w:tcW w:w="502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(437 )</w:t>
            </w:r>
          </w:p>
        </w:tc>
      </w:tr>
      <w:tr>
        <w:trPr>
          <w:trHeight w:val="278"/>
        </w:trPr>
        <w:tc>
          <w:tcPr>
            <w:tcW w:w="5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430"/>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Change</w:t>
            </w:r>
          </w:p>
        </w:tc>
      </w:tr>
      <w:tr>
        <w:trPr>
          <w:trHeight w:val="230"/>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Clinical programs:</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APVO436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(231 )</w:t>
            </w:r>
          </w:p>
        </w:tc>
      </w:tr>
      <w:tr>
        <w:trPr>
          <w:trHeight w:val="237"/>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ALG.APV-527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0"/>
                <w:szCs w:val="20"/>
                <w:color w:val="auto"/>
              </w:rPr>
            </w:pPr>
          </w:p>
        </w:tc>
      </w:tr>
      <w:tr>
        <w:trPr>
          <w:trHeight w:val="243"/>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Preclinical program, general research and discovery</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(1,725 )</w:t>
            </w:r>
          </w:p>
        </w:tc>
      </w:tr>
      <w:tr>
        <w:trPr>
          <w:trHeight w:val="239"/>
        </w:trPr>
        <w:tc>
          <w:tcPr>
            <w:tcW w:w="5020" w:type="dxa"/>
            <w:vAlign w:val="bottom"/>
            <w:tcBorders>
              <w:top w:val="single" w:sz="8" w:color="CFF0FC"/>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13,516</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FF0FC"/>
            </w:tcBorders>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-1242695</wp:posOffset>
            </wp:positionV>
            <wp:extent cx="2272030" cy="5918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2030" cy="5918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Research and development expenses decreased by $0.6 million, from $4.5 million for three months ended September 30, 2022 to $3.9 million for the three months ended September 30, 2023. The decrease was primarily due to lower spending on APVO436 Phase 1b clinical trial as we concluded enrollment in that study and lower spending on preclinical projects and employee costs. The decrease is partially offset by higher spending on the ALG.APV-527 Phase 1 clinical trial as we continue to enroll new patients and sites. Research and development expenses increased by $0.3 million, from $13.2 million for the nine months ended September 30, 2022 to $13.5 million for the nine months ended September 30, 2023. The increase was primarily due to higher spending on the ALG.APV-527 Phase 1 clinical trial. The increase was partially offset by lower spending on APVO436 Phase 1b clinical trial and preclinical projects and employee costs.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General and administrative expenses decreased by $0.6 million, from $3.3 million for the three months ended September 30, 2022 to $2.7 million for the three months ended September 30, 2023. General and administrative expenses decreased by $1.9 million, from $10.9 million for nine months ended September 30, 2022 to $9.0 million for the nine months ended September 30, 2023. The decrease is primarily due to lower employee and consulting costs.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consists primarily of a gain related to the sale of a nonfinancial asset, costs related to debt extinguishment, accrued exit fees on debt, non-cash interest on financing agreements, and interest on debt.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Other income, net was $0.2 million and $0.4 million for the three and nine months ended September 30, 2023, respectively. Other expense, net was $0.0 million and $4.0 million for the three and nine months ended September 30, 2022, respectively. The change in other income (expense), net is primarily due to higher interest income from our money market funds and not having interest expense related to our MidCap term loan due to principal paydown and full repayment of the outstanding balance in the first quarter of 2023. Additionally, beginning Q2 2022, we no longer record non-cash interest expense due to our Amendment to the Royalty Purchase Agreement in the second quarter of 2022, which eliminated the liability related to the sale of royalties and the related non-cash interest expense.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Gain Related to Sale of Nonfinancial Asset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recorded $9.7 million in other income for the nine months ended September 30, 2023, due to the sale of the deferred payments and milestones to XOMA during the quarter (see Note 3). We did not have any such gain for the comparative period in the prior year.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Gain on Extinguishment of Liability Related to Royalties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recorded $37.2 million in other income for the nine months ended September 30, 2022, due to our Amendment to Royalty Purchase Agreement (see Note 8). We did not have any such gain for the comparative period in the current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accompanying unaudited condensed consolidated financial statements include discontinued operations from two separate transactions: the sale of the hyperimmune business to Saol International Limited in September 2017, from which we received a payment in 2021 related to the collection of a certain accounts receivable, and the sale of Aptevo BioTherapeutics in 2020.</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0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20"/>
                <w:szCs w:val="20"/>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w w:val="97"/>
              </w:rPr>
              <w:t>Gain on contingent consideration from release of escrow related to</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sale of Aptevo BioTherapeutics</w:t>
            </w:r>
          </w:p>
        </w:tc>
        <w:tc>
          <w:tcPr>
            <w:tcW w:w="68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6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680" w:type="dxa"/>
            <w:vAlign w:val="bottom"/>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946</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For the nine months ended September 30, 2023, we collected $0.5 million in deferred payments from Medexus related to IXINITY sales and $0.2 million related to funds released from escrow from the sale of Aptevo BioTherapeutics in 2020. Additionally, we received $0.3 million related to the sale of the hyperimmune business to Saol as a result of the collection of certain accounts receivable. We are still entitled to receive a percentage of future milestones based on Medexus’ achievement of certain IXINITY net sales and regulatory approvals. For the nine months ended September 30, 2022, we collected $0.5 million in deferred payments from Medexus related IXINITY sales. The proceeds from the income from discontinued operations are included within net income in the operating section of the unaudited condensed consolidated statements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2023 and 2022</w:t>
      </w:r>
      <w:r>
        <w:rPr>
          <w:rFonts w:ascii="Arial" w:cs="Arial" w:eastAsia="Arial" w:hAnsi="Arial"/>
          <w:sz w:val="18"/>
          <w:szCs w:val="18"/>
          <w:color w:val="231F20"/>
        </w:rPr>
        <w: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169"/>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used in:</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(6,477 )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(15,083 )</w:t>
            </w:r>
          </w:p>
        </w:tc>
      </w:tr>
      <w:tr>
        <w:trPr>
          <w:trHeight w:val="249"/>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(29 )</w:t>
            </w: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(8,614 )</w:t>
            </w:r>
          </w:p>
        </w:tc>
      </w:tr>
      <w:tr>
        <w:trPr>
          <w:trHeight w:val="276"/>
        </w:trPr>
        <w:tc>
          <w:tcPr>
            <w:tcW w:w="6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Net cash used in operating activities of $6.5 million for the nine months ended September 30, 2023 was primarily due to our net loss of $11.5 million for the period and changes in working capital accounts. Net cash used in operating activities of $15.1 million for the nine months ended September 30, 2022 was primarily due to changes in working capital accounts.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2023 was $0. Net cash used in investing activities for the nine months ended September 30, 2022 was due to purchases of property and equipment.</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Net cash provided by financing activities of $3.0 million for the nine months ended September 30, 2023 was primarily due to $6.4 million proceeds received from issuance of common stock and pre-funded warrants. This was offset by $3.5 million of repayments of the MidCap term loan, which included the remaining outstanding principal balance and loan prepayment fees. Net cash used in financing activities of $8.6 million for the nine months ended September 30, 2022 was primarily due to the $11.8 million of repayments of the MidCap term loan, and $6.8 million royalties received from Pfizer by HCR pursuant to our Royalty Purchase Agreement. This was</w:t>
      </w:r>
    </w:p>
    <w:p>
      <w:pPr>
        <w:sectPr>
          <w:pgSz w:w="11900" w:h="16838" w:orient="portrait"/>
          <w:cols w:equalWidth="0" w:num="1">
            <w:col w:w="11240"/>
          </w:cols>
          <w:pgMar w:left="320" w:top="33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offset by the $10 million milestone received by Aptevo from HCR related to the sale of royalties, net of $0.5 million transaction costs, and $0.4 million proceeds received from issuance of common stock pursuant to our Equity Distribution Agreement with Piper Sandler.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Royalty Purchase Agreement and Milestone Payments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September 30, 2023 ($35 million at closing and $12.5 million in milestone payments) and we are eligible to receive an additional $10 million based on the achievement of sales milestone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IXINITY Milestone Payments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For the nine months ended September 30, 2023, Aptevo received $0.5 million in deferred payments from Medexus related to IXINITY sales for the fourth quarter of 2022.</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December 14, 2020, we filed a Registration Statement on Form S-3 covering the offering, issuance, and sale of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If our public float increases such that we may sell additional amounts under the Equity Distribution Agreement and the prospectus than is mentioned in our last prospectus supplement to the Registration Statement on Form S-3 filed on December 13, 2020,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In the nine months ended September 30, 2023, the Company issued 730,913 shares of common stock at an average price of $2.26 under the Equity Distribution Agreement. These shares were issued in the first quarter of 2023. We received $1.6 million in proceeds from the issuance of these shares. In the nine months ended September 30, 2022, the Company issued 78,285 shares of common stock at an average price of $5.75 under the Equity Distribution Agreement. We received $0.4 million in proceeds from the issuance of these shares.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February 16, 2022, we entered into a new Purchase Agreement and a Registration Rights Agreement with Lincoln Park ("2022 Purchase Agreement"). The 2022 Purchase Agreement and Registration Rights Agreement replaced our 2018 Purchase Agreement and Registration Rights Agreement with Lincoln Park.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issued 99,276 shares of our common stock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Lincoln Park for no cash consideration as an initial fee for its commitment to purchase shares of our common stock under the Purchase Agreement. The aggregate number of shares that we can sell to Lincoln Park under the Purchase Agreement may not exceed 981,103 shares, unless shareholder approval is obtained or the average price of all applicable sales of our common stock sold to Lincoln Park equals or exceeds $6.14 per share. For the nine months ended September 30, 2023, we issued 300,000 shares of our common stock to Lincoln Park under the 2022 Purchase Agreement. We received $0.5 million in proceeds from issuance of these shares. We did not issue any shares of our common stock for cash consideration to Lincoln Park under the 2022 Purchase Agreement in the nine months ended September 30, 2022.</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Warrants - March 2019</w:t>
      </w:r>
    </w:p>
    <w:p>
      <w:pPr>
        <w:spacing w:after="0" w:line="13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March 11, 2019, in connection with the completion of a public offering of common stock, we issued warrants to purchase 1,571,429 shares of common stock at a price of $18.20. As of September 30, 2023 and 2022, there were warrants to purchase 350,589 shares of common stock outstanding. These warrants have a 5-year life and expire in March 2024.</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Series A and Series B Common Warrants - August 2023</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August 4, 2023, in connection with the completion of a public offering, we issued Series A Common Warrants to purchase up to an aggregate of 8,064,517 shares of common stock and Series B Common Warrants to purchase up to an aggregate of 8,064,517 shares of common stock. The Series A and Series B Common Warrants have an exercise price of $0.62 per share, are exercisable immediately following the date of issuance and will expire on August 4, 2028 and February 4, 2025, respectively. On November 9, 2023, we entered into a warrant Inducement Agreement with certain holders of our Series A and Series B common warrants to purchase up to an aggregate of 16,013,034 shares of common stock at a new exercise price of $0.233. We have 58,000 Series A and 58,000 Series B Common Warrants outstanding from our August 2023 public offering.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New Series A and Series B Common Warrants – November 2023</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November 9, 2023, we entered into a warrant Inducement Agreement with certain holders of our existing Series A common warrants and Series B common warrants (together, the "Existing Warrants") to purchase shares of common stock. Pursuant to the terms of the Inducement Agreement, the holders agreed to exercise for cash their Existing Warrants to purchase up to an aggregate of 16,013,034 shares of common stock at an exercise price of $0.233 during the period from the date of the Inducement Agreement until December 8, 2023. In consideration of the holder’s agreement to exercise the Existing Warrants, we agreed to issue new Series A and new Series B common warrants (together, the "New Warrants"), to purchase a number of shares of common stock equal to 200% of the number of shares of common stock issued upon exercise of the Existing Warrants. We anticipate receiving up to $3.7 in gross proceeds from the exercise of the Existing Warrants. If the New Warrants are exercised, we may receive up to an additional $7.5 million in gross proceeds.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Royalty Purchase Agreement with HCR, royalty payments from Pfizer, deferred payments from Medexus, the Purchase Agreement with XOMA,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cash and cash equivalents of $19.1 million and an accumulated deficit of $217.5 million as of September 30, 2023.</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2023, net cash used in our operating activities was $6.5 million.</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Due to the current macroeconomic environment, we may experience delays in opportunities to partner our product candidates, due to financial and other impacts on potential partners. Additionally, we may experience potential impacts on our future milestones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8"/>
          <w:szCs w:val="18"/>
          <w:color w:val="auto"/>
        </w:rPr>
        <w:t>from Medexus due to effects of macroeconomic impacts, including, but not limited to, bank failure, and the rising and fluctuating inflation, which may impact Medexus’ ability to continue to successfully commercialize the IXINITY businesses. Additionally, we may experience potential impacts on our future milestones, which are based on global net sales of RUXIENCE, from HCR due to the effects of the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milestones related to IXINITY sales and approvals by Medexus, and exercise of warrants will be sufficient to meet our projected operating requirements for at least twelve months from the date of this filing of this Quarterly Report on Form 10-Q.</w:t>
      </w:r>
    </w:p>
    <w:p>
      <w:pPr>
        <w:spacing w:after="0" w:line="8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or on acceptable terms;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profitability given our historical losses;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regulatory clearance to commence clinical trials for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macroeconomic conditions, including rising and fluctuating inflation, interest rates and supply chain constraints;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develop our ADAPTIR or ADAPTIR-FLEX platforms;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to what extent future milestones are received under our Royalty Purchase Agreement with HCR;</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from Medexus with respect to IXINITY;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260" w:hanging="368"/>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26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6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our Phase 2 clinical trial of APVO436.</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September 30, 2023, there were no material changes to the information provided under Item 7A, Quantitative and Qualitative Disclosures About Market Risk in our Annual Report on Form 10-K for the year ended December 31, 2022 filed on March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of September 30, 2023,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September 30, 2023,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is dependent on our continued ability to attract, motivate and retain key personnel, and any failure to attract or retain key personnel may negatively affect our business.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long-term success depends, in part, upon our ability to develop, receive regulatory approval for and commercialize our product candidates.</w:t>
      </w:r>
    </w:p>
    <w:p>
      <w:pPr>
        <w:spacing w:after="0" w:line="140" w:lineRule="exact"/>
        <w:rPr>
          <w:rFonts w:ascii="Arial" w:cs="Arial" w:eastAsia="Arial" w:hAnsi="Arial"/>
          <w:sz w:val="16"/>
          <w:szCs w:val="16"/>
          <w:color w:val="auto"/>
        </w:rPr>
      </w:pPr>
    </w:p>
    <w:p>
      <w:pPr>
        <w:ind w:left="760" w:right="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establishing and maintaining collaborations that leverage our capabilities in pursuit of developing and commercializing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affected by macroeconomic conditions, including rising and fluctuating inflation, interest rates, market volatility, economic uncertainty, bank failure, and supply chain constraints.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of activist stockholders against us have been and could be disruptive and costly and may cause uncertainty about the strategic direction of our business.</w:t>
      </w:r>
    </w:p>
    <w:p>
      <w:pPr>
        <w:spacing w:after="0" w:line="62"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to the Company by Medexus.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have experienced significant operating losses in the past and may not be profitable in the future. For the nine months ended September 30, 2023, we had net loss of $12.5 million compared to $12.2 million net income for the same period in 2022. The net income for the nine months ended September 30, 2022 was due to a one-time $37.2 million gain recognized as a result of Amendment to Royalty Purchase Agreement with HCR. As of September 30, 2023, we had an accumulated deficit of $217.5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Purchase Agreement with XOMA, the ability to receive a potential future milestone payment under the Royalty Purchase Agreement with HCR, potential future milestone payments from Medexus under our LLC Purchase Agreement, our ability to issue securities under the Equity Distribution Agreement with Piper Sandler and our Purchase Agreement with Lincoln Park Capital, and exercise of warrants will provide us with sufficient liquidity to meet our cash requirements through at least next twelve months, our future success and ability to attain profitability will depend upon our ability to develop and commercialize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As of September 30, 2023, we had cash and cash equivalents in the amount of $19.1 million. We will require additional funding to grow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could harm our business, results of operations and future prospects. Our future capital requirements will depend on many factors, including:</w:t>
      </w:r>
    </w:p>
    <w:p>
      <w:pPr>
        <w:spacing w:after="0" w:line="70" w:lineRule="exact"/>
        <w:rPr>
          <w:sz w:val="20"/>
          <w:szCs w:val="20"/>
          <w:color w:val="auto"/>
        </w:rPr>
      </w:pPr>
    </w:p>
    <w:p>
      <w:pPr>
        <w:ind w:left="1260" w:hanging="368"/>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timing and receipt of any milestone payments under our agreements with Medexus with respect to the sales of IXINITY;</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development costs, timing, and other requirements to complete dosing of our Phase 1b clinical trial for APVO436 and Phase 1 clinical trial of ALG.APV-527, as well as future clinical trials;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macroeconomic conditions, including the impact of inflation and cost of capital.</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both"/>
        <w:ind w:firstLine="509"/>
        <w:spacing w:after="0" w:line="284" w:lineRule="auto"/>
        <w:rPr>
          <w:sz w:val="20"/>
          <w:szCs w:val="20"/>
          <w:color w:val="auto"/>
        </w:rPr>
      </w:pPr>
      <w:r>
        <w:rPr>
          <w:rFonts w:ascii="Arial" w:cs="Arial" w:eastAsia="Arial" w:hAnsi="Arial"/>
          <w:sz w:val="16"/>
          <w:szCs w:val="16"/>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and the rising conflict in the Middle East,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8,064,517 shares of our common stock (or pre-funded warrant in lieu thereof) at a purchase price of $0.62. We received $5 million in gross proceeds from issuance of these shares. Our net proceeds from the offering amounted to $4.3 million after placement agent and other fees. Future issuances of common stock may include, but not be limited to, (i) any sale of up to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(iv) the issuance of the remaining outstanding shares of common stock upon the exercise of warrants issued in connection with our August 2023 public offering of common stock and warrants, (v) the issuance of up to 32,026,068 shares of common stock upon the exercise of warrants issued in connection with our November 2023 warrant Inducement Agreement with certain holders of our Series A and Series B common warrants issued in connection with our August 2023 public offering, or (iv)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SEC regulations limit the amount of funds we can raise during any 12-month period pursuant to our shelf registration statement on Form S-</w:t>
      </w:r>
    </w:p>
    <w:p>
      <w:pPr>
        <w:spacing w:after="0" w:line="46" w:lineRule="exact"/>
        <w:rPr>
          <w:sz w:val="20"/>
          <w:szCs w:val="20"/>
          <w:color w:val="auto"/>
        </w:rPr>
      </w:pPr>
    </w:p>
    <w:p>
      <w:pPr>
        <w:jc w:val="both"/>
        <w:ind w:firstLine="8"/>
        <w:spacing w:after="0" w:line="251" w:lineRule="auto"/>
        <w:tabs>
          <w:tab w:leader="none" w:pos="1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29, 2022, we filed an amendment to the prospectus related to the Registration Statement on Form S-3 filed on December 14, 2020 pursuant to General Instruction I.B.6 of Form S-3 (General Instruction I.B.6), which updates the amount of registered shares that we are eligible to sell.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 For example, on March 10 and March 12, 2023, the Federal Deposit Insurance Corporation (“FDIC”) took control and was appointed receiver of Silicon Valley Bank (“SVB”) and Signature Bank, respectively, after each bank was unable to continue their operations. These events exposed vulnerabilities in the banking sector, including legal uncertainties, significant volatility and contagion risk, and caused market prices of regional bank stocks to plummet. As of the date of this filing, we don’t have any exposure to SVB and Signature Bank, however, we are unable to predict the extent or nature of the impacts of these evolving circumstances at this time. If, for example, other banks and financial institutions enter receivership or become insolvent in the future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response to financial conditions affecting the banking system and financial markets, our ability to access our existing cash, cash equivalents and investments may be threatened. While it is not possible at this time to predict the extent of the impact that the failure of SVB and Signature Bank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("Tang Proposal").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Arial" w:cs="Arial" w:eastAsia="Arial" w:hAnsi="Arial"/>
          <w:sz w:val="17"/>
          <w:szCs w:val="17"/>
          <w:i w:val="1"/>
          <w:iCs w:val="1"/>
          <w:color w:val="auto"/>
        </w:rPr>
        <w:t>Other Income - Gains and Losses from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Derecognition of Nonfinancial Assets </w:t>
      </w:r>
      <w:r>
        <w:rPr>
          <w:rFonts w:ascii="Arial" w:cs="Arial" w:eastAsia="Arial" w:hAnsi="Arial"/>
          <w:sz w:val="17"/>
          <w:szCs w:val="17"/>
          <w:color w:val="auto"/>
        </w:rPr>
        <w:t>in the first quarter of 2023.</w:t>
      </w:r>
    </w:p>
    <w:p>
      <w:pPr>
        <w:spacing w:after="0" w:line="7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ind w:firstLine="509"/>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62" w:lineRule="exact"/>
        <w:rPr>
          <w:sz w:val="20"/>
          <w:szCs w:val="20"/>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timing of any milestone payments with respect to sales of IXINITY by Medexus;</w:t>
      </w:r>
    </w:p>
    <w:p>
      <w:pPr>
        <w:spacing w:after="0" w:line="117"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jc w:val="both"/>
        <w:ind w:left="1340" w:hanging="373"/>
        <w:spacing w:after="0" w:line="263"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5" w:lineRule="exact"/>
        <w:rPr>
          <w:rFonts w:ascii="Arial" w:cs="Arial" w:eastAsia="Arial" w:hAnsi="Arial"/>
          <w:sz w:val="18"/>
          <w:szCs w:val="18"/>
          <w:color w:val="auto"/>
        </w:rPr>
      </w:pPr>
    </w:p>
    <w:p>
      <w:pPr>
        <w:ind w:left="1340" w:hanging="373"/>
        <w:spacing w:after="0" w:line="277"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On June 25, 2020, we announced that we were entitled to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of RUXIENCE. The agreement was originally executed by Trubion Pharmaceuticals (which was subsequently acquired by Emergent) and Wyeth (a wholly-owned subsidiary of Pfizer).</w:t>
      </w:r>
    </w:p>
    <w:p>
      <w:pPr>
        <w:spacing w:after="0" w:line="5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September 30,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milestone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jc w:val="both"/>
        <w:ind w:firstLine="509"/>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84" w:lineRule="exact"/>
        <w:rPr>
          <w:sz w:val="20"/>
          <w:szCs w:val="20"/>
          <w:color w:val="auto"/>
        </w:rPr>
      </w:pPr>
    </w:p>
    <w:p>
      <w:pPr>
        <w:jc w:val="both"/>
        <w:ind w:firstLine="530"/>
        <w:spacing w:after="0" w:line="257" w:lineRule="auto"/>
        <w:rPr>
          <w:sz w:val="20"/>
          <w:szCs w:val="20"/>
          <w:color w:val="auto"/>
        </w:rPr>
      </w:pPr>
      <w:r>
        <w:rPr>
          <w:rFonts w:ascii="Arial" w:cs="Arial" w:eastAsia="Arial" w:hAnsi="Arial"/>
          <w:sz w:val="18"/>
          <w:szCs w:val="18"/>
          <w:color w:val="auto"/>
        </w:rPr>
        <w:t>As of December 31, 2022, we had approximately $156.2 million and $71.1 million of federal and state net operating loss carryforwards, respectively, available to reduce future taxable income that will begin to expire in 2037 for federal income tax purposes. We completed an IRC Section 382 study through December 31, 2021.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the rising conflict in the Middle East,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COVID-19 pandemic, reoccurrences of COVID-19 or other pandemics, or other future widespread public health epidemics could adversely impact our business, including our clinical trials.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COVID-19 pandemic caused severe global economic and societal disruptions and uncertainties. Although the COVID-19 pandemic has ended, reoccurrences of COVID-19 or other pandemics, or other future widespread public health epidemics may cause disruptions that could severely impact our business, such as delays or difficulties to the financing environment and raising capital due to economic uncertainty or volatility; supply constraints; delays in opportunities to partner our product candidates, due to financial and other impacts on potential partners; diversion of healthcare resources away from the conduct of clinical trials; potential impacts on our future milestone payments from Medexus due to the environment which may impact Medexus’ ability to continue to successfully commercialize the IXINITY business or Pfizer to successfully commercialize RUXIENCE; and negative impacts on suppliers and licensees. The ultimate impact of COVID-19 reoccurrences or other pandemics on our business, results of operations, financial condition and cash flows is dependent on future developments, including the duration of any pandemic and the related length of its impact on the United States and global economies, which are uncertain and cannot be predicted at this time. The impact of the COVID-19 pandemic, recurrences, or future other pandemics may also exacerbate many of the other risks described in this “Risk Factors” section. Despite our efforts to manage these impacts, their ultimate impact depends on factors beyond our knowledge or control, including the duration and severity of any outbreak and actions taken to contain its spread and mitigate its public health effects. The foregoing and other continued disruptions in our business as a result of COVID-19 could result in a material adverse effect on our business, results of operations, financial condition, prospects and the trading prices of our securities in the near-term and beyond 2023.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5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concluded enrollment in our Phase 1b clinical trial with APVO436 and are in the process of initiating a Phase 2 study in the second half of 2023. Additionally, we initiated a first-in-human Phase 1 clinical study of ALG.APV-527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we cannot guarantee that this trial or future trials of ALG.APV-527 will show the desired safety and efficacy.</w:t>
      </w:r>
    </w:p>
    <w:p>
      <w:pPr>
        <w:spacing w:after="0" w:line="7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APVO436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509"/>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260" w:hanging="368"/>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260" w:hanging="368"/>
        <w:spacing w:after="0" w:line="342"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15" w:lineRule="exact"/>
        <w:rPr>
          <w:rFonts w:ascii="Arial" w:cs="Arial" w:eastAsia="Arial" w:hAnsi="Arial"/>
          <w:sz w:val="16"/>
          <w:szCs w:val="16"/>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fail to reach an agreement with regulators or IRBs regarding the scope, design, or implementation of our clinical trials;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260" w:hanging="368"/>
        <w:spacing w:after="0" w:line="308"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260" w:hanging="368"/>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submitted an IND for ALG.APV-527 to the FDA in the second half of 2022 for which we received a “may proceed” notification from the FDA.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clinical trial, including the patient eligibility criteria for the study in question;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reporting of preliminary results of any of our clinical trial sites;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509"/>
        <w:spacing w:after="0" w:line="287" w:lineRule="auto"/>
        <w:rPr>
          <w:sz w:val="20"/>
          <w:szCs w:val="20"/>
          <w:color w:val="auto"/>
        </w:rPr>
      </w:pPr>
      <w:r>
        <w:rPr>
          <w:rFonts w:ascii="Arial" w:cs="Arial" w:eastAsia="Arial" w:hAnsi="Arial"/>
          <w:sz w:val="16"/>
          <w:szCs w:val="16"/>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64" w:lineRule="exact"/>
        <w:rPr>
          <w:sz w:val="20"/>
          <w:szCs w:val="20"/>
          <w:color w:val="auto"/>
        </w:rPr>
      </w:pPr>
    </w:p>
    <w:p>
      <w:pPr>
        <w:ind w:left="1260" w:hanging="36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authorities may require us to conduct additional clinical trials or abandon our research efforts for our other product candidates;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260" w:hanging="368"/>
        <w:spacing w:after="0" w:line="286"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57" w:lineRule="exact"/>
        <w:rPr>
          <w:rFonts w:ascii="Arial" w:cs="Arial" w:eastAsia="Arial" w:hAnsi="Arial"/>
          <w:sz w:val="17"/>
          <w:szCs w:val="17"/>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both"/>
        <w:ind w:firstLine="509"/>
        <w:spacing w:after="0" w:line="253" w:lineRule="auto"/>
        <w:rPr>
          <w:sz w:val="20"/>
          <w:szCs w:val="20"/>
          <w:color w:val="auto"/>
        </w:rPr>
      </w:pPr>
      <w:r>
        <w:rPr>
          <w:rFonts w:ascii="Arial" w:cs="Arial" w:eastAsia="Arial" w:hAnsi="Arial"/>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both"/>
        <w:ind w:firstLine="509"/>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41"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5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2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designation contained an untrue statement of material fact or omitted material information, or if the FDA finds that the product candidate was not eligible for designation at the time of the submission of the request.</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1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2" w:lineRule="exact"/>
        <w:rPr>
          <w:sz w:val="20"/>
          <w:szCs w:val="20"/>
          <w:color w:val="auto"/>
        </w:rPr>
      </w:pPr>
    </w:p>
    <w:p>
      <w:pPr>
        <w:jc w:val="both"/>
        <w:ind w:firstLine="8"/>
        <w:spacing w:after="0" w:line="287" w:lineRule="auto"/>
        <w:tabs>
          <w:tab w:leader="none" w:pos="25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 the past and may in the future conduct clinical trials for our product candidates outside the United States, and the FDA or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authorities may not accept data from such trials in the development or approval of our product candidates in those jurisdictions.</w:t>
      </w:r>
    </w:p>
    <w:p>
      <w:pPr>
        <w:spacing w:after="0" w:line="12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7"/>
          <w:szCs w:val="17"/>
          <w:color w:val="auto"/>
        </w:rPr>
        <w:t>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6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5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believe that our most significant competitors in the oncology market include: AbbVie Inc., Adagene, Affimed, Agenus, ALX Oncology Holdings Inc., Alligator Bioscience, Amgen Inc., Arcellx, BioNTech, AvenCell Therapeutics, Inc., Bio-Path, Bristol Myers Squibb, Cellectis, Compass Therapeutics, CStone Pharmaceuticals, Crescendo Bioscience, Elpiscience Biopharmaceuticals, Faron Pharma, F-star Therapeutics, FutureGen BioPharma, Genentech Inc. (a subsidiary of F. Hoffmann-La Roche Ltd.), Genmab A/S, Incyte, Gilead Sciences, Inc., GlaxoSmithKline plc, Harpoon Therapeutics, ImmunoGen, Inc., InhibRX Inc., Innate Pharma, Innovent Biotech, invoX Pharma, Janssen BioTech Inc (a subsidiary of Johnson &amp; Johnson), LAVA Therapeutics, Macrogenics, Inc., Merus N.V. and its subsidiary Merus US, Inc., Molecular Partners, Novartis, Numab, Pieris Pharmaceuticals, Inc., Regeneron Pharma, Sanofi-Aventis US LLC, Shattuck Labs, Syros Pharmaceuticals, Inc., Pfizer Inc., Servier Laboratories, Takeda Pharmaceuticals U.S.A., Inc. Menarini Group, University of Pennsylvania, University of North Carolina ,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64" w:lineRule="exact"/>
        <w:rPr>
          <w:sz w:val="20"/>
          <w:szCs w:val="20"/>
          <w:color w:val="auto"/>
        </w:rPr>
      </w:pPr>
    </w:p>
    <w:p>
      <w:pPr>
        <w:jc w:val="both"/>
        <w:ind w:left="1260" w:hanging="368"/>
        <w:spacing w:after="0" w:line="259"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1260"/>
        <w:spacing w:after="0"/>
        <w:rPr>
          <w:sz w:val="20"/>
          <w:szCs w:val="20"/>
          <w:color w:val="auto"/>
        </w:rPr>
      </w:pPr>
      <w:r>
        <w:rPr>
          <w:rFonts w:ascii="Arial" w:cs="Arial" w:eastAsia="Arial" w:hAnsi="Arial"/>
          <w:sz w:val="16"/>
          <w:szCs w:val="16"/>
          <w:color w:val="auto"/>
        </w:rPr>
        <w:t>payment reduction occurred beginning April 1, 2022 through June 30, 2022, and the 2% payment reduction will resume on July 1, 2022.</w:t>
      </w:r>
    </w:p>
    <w:p>
      <w:pPr>
        <w:spacing w:after="0" w:line="140" w:lineRule="exact"/>
        <w:rPr>
          <w:sz w:val="20"/>
          <w:szCs w:val="20"/>
          <w:color w:val="auto"/>
        </w:rPr>
      </w:pPr>
    </w:p>
    <w:p>
      <w:pPr>
        <w:jc w:val="both"/>
        <w:ind w:left="1260" w:hanging="368"/>
        <w:spacing w:after="0" w:line="275"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8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and potency in treating the targeted indication based on data derived from adequate and well-controlled clinical trials, including Phase 3 safety and efficacy trials conducted in patients with the disease or condition being targeted.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373"/>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40" w:hanging="373"/>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jc w:val="both"/>
        <w:ind w:left="1040" w:hanging="373"/>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040" w:hanging="373"/>
        <w:spacing w:after="0" w:line="25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6" w:lineRule="exact"/>
        <w:rPr>
          <w:rFonts w:ascii="Arial" w:cs="Arial" w:eastAsia="Arial" w:hAnsi="Arial"/>
          <w:sz w:val="18"/>
          <w:szCs w:val="18"/>
          <w:color w:val="auto"/>
        </w:rPr>
      </w:pPr>
    </w:p>
    <w:p>
      <w:pPr>
        <w:jc w:val="both"/>
        <w:ind w:left="1040" w:hanging="373"/>
        <w:spacing w:after="0" w:line="29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40" w:hanging="373"/>
        <w:spacing w:after="0" w:line="271"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8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68" w:lineRule="exact"/>
        <w:rPr>
          <w:sz w:val="20"/>
          <w:szCs w:val="20"/>
          <w:color w:val="auto"/>
        </w:rPr>
      </w:pPr>
    </w:p>
    <w:p>
      <w:pPr>
        <w:ind w:left="1260" w:right="20" w:hanging="36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U.S. and foreign patents, that are meaningful to our products, including defending those patents against adverse claims;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left="1260" w:hanging="36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(PTAB) of the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If approved, our products regulated as biologics may face competition from biosimilars approved through an abbreviated regulatory pathway.</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an application pending that covers the APTEVO THERAPEUTICS trademark and received a notice of allowance from the USPTO for the APTEVO BIOTHERAPEUTICS and APTEVO RESEARCH AND DEVELOPMENT trademarks in August 2022.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Collaborations and Other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260" w:hanging="368"/>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6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stock price has fluctuated in the past and is likely to be volatile in the future. Between August 1, 2016 and up to September 30, 2023, the reported closing price of our common stock has fluctuated between $0.31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the rising conflict in the Middle East,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84"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expenses, and results of clinical and preclinical trials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and to what extent future milestone payments are received under our Amendment to Royalty Purchase Agreement with HCR;</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industry and macroeconomic conditions, including domestic and global financial, economic, and geopolitical instability;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such as the Tang Proposal,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September 13, 2023, the Company received a letter from Nasdaq notifying the Company that, for the last 30 consecutive business days, the bid price of the Company’s common stock had closed below $1.00 per share, the minimum closing bid price required by the continued listing requirements of Nasdaq Listing Rule 5550(a)(2) (the “Bid Price Requirement”).</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Nasdaq’s letter has no immediate impact on the listing of the Company’s common stock, which will continue to be listed and traded on Nasdaq, subject to the Company’s compliance with the other continued listing requirements. Nasdaq’s letter provides the Company 180 calendar days, or until March 11, 2024 (the "Compliance Date"), to regain compliance with the Bid Price Requirement. To regain compliance with the Bid Price Requirement, the closing bid price of the Company’s common stock must be at least $1.00 per share for a minimum of ten consecutive business days before the Compliance Date. The Company may be eligible for an additional 180-day period to regain compliance if the Company meets all other listing standards of Nasdaq, with the exception of the bid price requirement, and provides written notice to Nasdaq of its intention to cure the deficiency during the second compliance period, by effecting a reverse stock split, if necessary. In the event the Company fails to regain compliance, the Company would have the right to a hearing before the Nasdaq Listing Qualifications Panel (the "Panel"). There can be no assurance that, if the Company receives a delisting notice and appeals the delisting determination by the Panel, such appeal would be successful.</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intends to take all reasonable measures available to regain compliance under the Nasdaq Listing Rules and remain listed on Nasdaq, including by effecting a reverse stock split.</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and August 2023 public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offerings and November 2023 warrant Inducement Agreement,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Moreover, we currently have a short-term stockholder Rights Agreement in effect. On November 2, 2023, we entered into Amendment No. 3 to the Rights Agreement and extended the expiration of such agreement to November 4, 2024.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stockholders may initiate action against us could create costs, inconvenience or otherwise adversely affect your ability to seek legal redress.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connection with the transaction with Lincoln Park, we registered under the Securities Act of 1933, as amended, the resale of shares of common stock that have been and may be issued under the Purchase Agreement with Lincoln Park. Any such sales or perception that such sales may occur, whether under the Lincoln Park Purchase Agreement or otherwise, could decrease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gridSpan w:val="3"/>
          </w:tcPr>
          <w:p>
            <w:pPr>
              <w:ind w:left="3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gridSpan w:val="3"/>
            <w:vMerge w:val="restart"/>
          </w:tcPr>
          <w:p>
            <w:pPr>
              <w:ind w:left="3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6"/>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50" w:lineRule="exact"/>
        <w:rPr>
          <w:sz w:val="20"/>
          <w:szCs w:val="20"/>
          <w:color w:val="auto"/>
        </w:rPr>
      </w:pPr>
    </w:p>
    <w:p>
      <w:pPr>
        <w:ind w:right="20" w:firstLine="8"/>
        <w:spacing w:after="0" w:line="277" w:lineRule="auto"/>
        <w:tabs>
          <w:tab w:leader="none" w:pos="1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Schedules and other similar attachments have been omitted pursuant to Item 601(a)(5) of Regulation S-K. Aptevo will furnish copies of any such schedules and attachments to the Securities and Exchange Commission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ind w:left="20"/>
        <w:spacing w:after="0"/>
        <w:tabs>
          <w:tab w:leader="none" w:pos="6200" w:val="left"/>
          <w:tab w:leader="none" w:pos="81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29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97" w:lineRule="exact"/>
        <w:rPr>
          <w:sz w:val="20"/>
          <w:szCs w:val="20"/>
          <w:color w:val="auto"/>
        </w:rPr>
      </w:pPr>
    </w:p>
    <w:p>
      <w:pPr>
        <w:ind w:left="20"/>
        <w:spacing w:after="0"/>
        <w:tabs>
          <w:tab w:leader="none" w:pos="6200" w:val="left"/>
          <w:tab w:leader="none" w:pos="82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2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Daphne Taylor</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September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6720" w:val="left"/>
          <w:tab w:leader="none" w:pos="84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7"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Marvin L. White</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Aptevo Inc. on Form 10-Q for the period ending September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6720" w:val="left"/>
          <w:tab w:leader="none" w:pos="84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7"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Daphne Taylor</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8"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2023-11-14T07:37:48Z</dcterms:created>
  <dcterms:modified xsi:type="dcterms:W3CDTF">2023-11-14T07:37:48Z</dcterms:modified>
</cp:coreProperties>
</file>