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812.htm"/>
      <w:bookmarkStart w:id="1" w:name="ksapvo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12, 2026, Aptevo Therapeutics Inc. (the “Company”) entered into Warrant Inducement and Reload Letters (the “Inducement Letters”) with certain holders (the “Holders”) of the Company’s common stock purchase warrants, issued on June 20, 2025 (the “June 2025 Warrants”), on April 3, 2025 (the “April 2025 Warrants”) and on December 12, 2024 (the “December 2024 Warrants” and together with the June 2025 Warrants and the April 2025 Warrants, the “Existing Warrants”), pursuant to which the Holders agreed to exercise in full for cash the Existing Warrants to purchase up to an aggregate of 254,922 shares of common stock, par value $0.001 per share (“Common Stock”), of the Company, at a reduced exercise price of $4.03 per share. Upon exercise of all of the Existing Warrants in connection with the Inducement Letters, the Company would receive aggregate gross proceeds of up to approximately $1.0 million from the exercise of the Existing Warrants before deducting placement agent fees and other expenses payable by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Holders’ agreement to exercise the Existing Warrants in accordance with the Inducement Letters, the Company issued new unregistered common stock purchase warrants (the “Inducement Warrants”) to purchase up to an aggregate of 1,274,610 shares of Common Stock, at an exercise price of $4.03 per share. The Inducement Warrants will be exercisable on or after the date on which the Company obtains the required stockholder approval and will expire on the five year anniversary of the date of such stockholder approval.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on August 12, 2026, the Company entered into a Securities Purchase Agreement (the “Securities Purchase Agreement”) with the Holders, pursuant to which the Company agreed to sell to the Holders in a private placement up to 861,708 unregistered shares of Common Stock (the “Shares”) at a purchase price of $4.03 per share (or, at a purchaser’s election to comply with a 4.99% or 9.99% beneficial ownership limitation, pre-funded common stock purchase warrants (the “Pre-Funded Warrants”) to purchase up to 861,708 shares in lieu of such shares), together with common stock purchase warrants (the “Common Warrants” and together with the Pre-Funded Warrants, the “PIPE Warrants” and together with the Inducement Warrants, the “Warrants”) to purchase up to 4,308,540 shares of Common Stock at an exercise price of $4.03 per share. The Pre-Funded Warrants are immediately exercisable and will expire upon exercise in full, and the Common Warrants will be exercisable on or after the date on which the Company obtains the required stockholder approval and will expire on the five year anniversary of the date of such stockholder approval.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issuance of the Inducement Warrants, the Shares and the PIPE Warrants, the Company entered into a Registration Rights Agreement (the “Registration Rights Agreement”) with the Holders, dated August 12, 2026. Pursuant to the Registration Rights Agreement, the Company will file a registration statement on Form S-1 (or on Form S-3, if the Company is then S-3 eligible) to register the resale of the Shares and the shares (the “Warrant Shares”) underlying the Inducement Warrants and the PIPE Warrants (the “Resale Registration Statement”) as soon as reasonably practicable (and in any event by August 22, 2026), and to use commercially reasonable efforts to cause such Resale Registration Statement to become effective by September 26, 2026 (or by October 26, 2026 in case of “full review” of such registration statement by the Securities and Exchange Commission (the “SEC”)) and to keep the Resale Registration Statement effective at all times until no holder owns any Warrants or Warrant Shares. In the event that the Company fails to timely deliver to the Holders the Warrant Shares without restrictive legends, the Company has agreed to pay certain liquidated damages to the Holders.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gross proceeds from the transactions described herein totaled approximately $4.5 million, before deducting placement agent fees and expenses. The Company expects to use the net proceeds from these transactions for working capital and general corporate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exercise price and the number of shares of Common Stock issuable upon exercise of each Inducement Warrant and Common Warrant are subject to appropriate adjustments in the event of certain stock dividends and distributions, stock splits, stock combinations, reclassifications or similar events affecting the Common Stock. In addition, in certain circumstances, upon a fundamental transaction, a holder of the Warrants will be entitled to receive, upon exercise of such warrants, the kind and amount of securities, cash or other property that such holder would have received had they exercised the warrants immediately prior to the fundamental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not affect the exercise of the Warrants, and the applicable holder will not be entitled to exercise any portion of any such warrants, which, upon giving effect to such exercise, would cause the aggregate number of shares of Common Stock beneficially owned by the holder (together with its affiliates) to exceed 4.99% or 9.99%, as applicable, of the number of shares of Common Stock outstanding immediately after giving effect to the exercise, as such percentage ownership is determined in accordance with the terms of the Warrants, as applicable.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engaged Roth Capital Partners (“Roth”) to act as the exclusive placement agent in connection with the transactions described above and, pursuant to a Placement Agency Agreement (the “Placement Agency Agreement”), dated August 12, 2026, between the Company and Roth, has agreed to pay Roth a placement agent fee equal to 7% of the aggregate gross proceeds received from the transactions described herein. In addition, the Company has also agreed to reimburse Roth for its accountable legal expenses in connection with the transactions of up to $100,000.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transactions closed on August 13, 2026.</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foregoing descriptions of the Inducement Letters, the Inducement Warrants, the Securities Purchase Agreement, the Pre-Funded Warrants, the Common Warrants, the Registration Rights Agreement and the Placement Agency Agreement do not purport to be complete and are qualified in their entirety by reference to the full text of the Inducement Letters, the Inducement Warrants, the Securities Purchase Agreement, the Pre-Funded Warrants, the Common Warrants, the Registration Rights Agreement and the Placement Agency Agreement, which are filed as Exhibits 10.1, 4.1, 10.2, 4.2, 4.3, 10.3, and 10.4, respectively, to this Current Report on Form 8-K and incorporated herein by reference.</w:t>
      </w:r>
    </w:p>
    <w:p>
      <w:pPr>
        <w:pStyle w:val="TextBody"/>
        <w:bidi w:val="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disclosure required by this Item and included in Item 1.01 of this Current Report is incorporated herein by reference. The Inducement Warrants, the Shares, the Pre-Funded Warrants and the Common Warrants described above were offered in private placement transactions pursuant to Section 4(a)(2) of the Securities Act of 1933, as amended (the “Securities Act”), and Rule 506 promulgated thereunder, as applicable, and, along with the Warrants Shares, have not been registered under the Securities Act and may not be offered or sold in the United States absent registration with the SEC or an applicable exemption from such registration requirements.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issued a press release announcing the pricing of the transactions described above on August 12, 2026 and the closing of the transactions described above on August 13, 2026. A copy of the press release is attached hereto as Exhibit 99.1 and Exhibit 99.2, respectively, and is incorporated by reference into this Item 8.01 of this Current Report on Form 8-K.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2"/>
        <w:gridCol w:w="146"/>
        <w:gridCol w:w="9007"/>
      </w:tblGrid>
      <w:tr>
        <w:trPr/>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7" w:type="dxa"/>
            <w:tcBorders/>
            <w:vAlign w:val="center"/>
          </w:tcPr>
          <w:p>
            <w:pPr>
              <w:pStyle w:val="TableContents"/>
              <w:bidi w:val="0"/>
              <w:spacing w:before="0" w:after="283"/>
              <w:jc w:val="left"/>
              <w:rPr>
                <w:sz w:val="4"/>
                <w:szCs w:val="4"/>
              </w:rPr>
            </w:pPr>
            <w:r>
              <w:rPr>
                <w:sz w:val="4"/>
                <w:szCs w:val="4"/>
              </w:rPr>
            </w:r>
          </w:p>
        </w:tc>
      </w:tr>
      <w:tr>
        <w:trPr/>
        <w:tc>
          <w:tcPr>
            <w:tcW w:w="10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4_1.htm">
              <w:r>
                <w:rPr>
                  <w:rStyle w:val="InternetLink"/>
                  <w:rFonts w:ascii="Times New Roman" w:hAnsi="Times New Roman"/>
                  <w:color w:val="0000FF"/>
                  <w:sz w:val="20"/>
                  <w:u w:val="single"/>
                </w:rPr>
                <w:t>Form of Inducement Warrant</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4_2.htm">
              <w:r>
                <w:rPr>
                  <w:rStyle w:val="InternetLink"/>
                  <w:rFonts w:ascii="Times New Roman" w:hAnsi="Times New Roman"/>
                  <w:color w:val="0000FF"/>
                  <w:sz w:val="20"/>
                  <w:u w:val="single"/>
                </w:rPr>
                <w:t>Form of Pre-Funded Warrants</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4_3.htm">
              <w:r>
                <w:rPr>
                  <w:rStyle w:val="InternetLink"/>
                  <w:rFonts w:ascii="Times New Roman" w:hAnsi="Times New Roman"/>
                  <w:color w:val="0000FF"/>
                  <w:sz w:val="20"/>
                  <w:u w:val="single"/>
                </w:rPr>
                <w:t>Form of Common Warrants</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10_1.htm">
              <w:r>
                <w:rPr>
                  <w:rStyle w:val="InternetLink"/>
                  <w:rFonts w:ascii="Times New Roman" w:hAnsi="Times New Roman"/>
                  <w:color w:val="0000FF"/>
                  <w:sz w:val="20"/>
                  <w:u w:val="single"/>
                </w:rPr>
                <w:t>Form of Inducement Letter, by and between the Company and each Holder</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10_2.htm">
              <w:r>
                <w:rPr>
                  <w:rStyle w:val="InternetLink"/>
                  <w:rFonts w:ascii="Times New Roman" w:hAnsi="Times New Roman"/>
                  <w:color w:val="0000FF"/>
                  <w:sz w:val="20"/>
                  <w:u w:val="single"/>
                </w:rPr>
                <w:t>Securities Purchase Agreement, dated as of August 12, 2026, by and among the Company and purchaser parties thereto</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10_3.htm">
              <w:r>
                <w:rPr>
                  <w:rStyle w:val="InternetLink"/>
                  <w:rFonts w:ascii="Times New Roman" w:hAnsi="Times New Roman"/>
                  <w:color w:val="0000FF"/>
                  <w:sz w:val="20"/>
                  <w:u w:val="single"/>
                </w:rPr>
                <w:t>Registration Rights Agreement, dated as of August 12, 2026, by and among the Company and other parties thereto</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10_4.htm">
              <w:r>
                <w:rPr>
                  <w:rStyle w:val="InternetLink"/>
                  <w:rFonts w:ascii="Times New Roman" w:hAnsi="Times New Roman"/>
                  <w:color w:val="0000FF"/>
                  <w:sz w:val="20"/>
                  <w:u w:val="single"/>
                </w:rPr>
                <w:t>Placement Agency Agreement, dated as of August 12, 2026, by and between the Company and Roth</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dated August 12, 2026</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pPr>
            <w:hyperlink w:anchor="apvo-ex99_2.htm">
              <w:r>
                <w:rPr>
                  <w:rStyle w:val="InternetLink"/>
                  <w:rFonts w:ascii="Times New Roman" w:hAnsi="Times New Roman"/>
                  <w:color w:val="0000FF"/>
                  <w:sz w:val="20"/>
                  <w:u w:val="single"/>
                </w:rPr>
                <w:t>Press release, dated August 13, 2026</w:t>
              </w:r>
            </w:hyperlink>
          </w:p>
        </w:tc>
      </w:tr>
      <w:tr>
        <w:trPr/>
        <w:tc>
          <w:tcPr>
            <w:tcW w:w="10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45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Senior Vice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apvo-ex4_1.htm"/>
      <w:bookmarkStart w:id="3" w:name="ksapvoex4_1"/>
      <w:bookmarkEnd w:id="2"/>
      <w:bookmarkEnd w:id="3"/>
      <w:r>
        <w:rPr/>
        <w:t> </w:t>
      </w:r>
      <w:r>
        <w:br w:type="page"/>
      </w:r>
    </w:p>
    <w:p>
      <w:pPr>
        <w:pStyle w:val="TextBody"/>
        <w:bidi w:val="0"/>
        <w:jc w:val="center"/>
        <w:rPr/>
      </w:pPr>
      <w:r>
        <w:rPr/>
        <w:t> </w:t>
      </w:r>
    </w:p>
    <w:p>
      <w:pPr>
        <w:pStyle w:val="TextBody"/>
        <w:bidi w:val="0"/>
        <w:jc w:val="right"/>
        <w:rPr>
          <w:rFonts w:ascii="Times New Roman" w:hAnsi="Times New Roman"/>
          <w:color w:val="000000"/>
          <w:sz w:val="22"/>
        </w:rPr>
      </w:pPr>
      <w:r>
        <w:rPr>
          <w:rFonts w:ascii="Times New Roman" w:hAnsi="Times New Roman"/>
          <w:color w:val="000000"/>
          <w:sz w:val="22"/>
        </w:rPr>
        <w:t>Exhibit 4.1</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WARRANT AND THE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aptevo therapeutics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Issue Date: August 13 2026</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Stockholder Approval Date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the five year anniversary of the Initial Exercise Date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In addition to the terms defined elsewhere in this Warrant, the following terms have the meanings indicated in this Section 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240"/>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common stock of the Company, par value $0.001 per share, and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An Exempt Issuance is not deemed to be a Common Stock Equivalent.</w:t>
      </w:r>
    </w:p>
    <w:p>
      <w:pPr>
        <w:pStyle w:val="TextBody"/>
        <w:bidi w:val="0"/>
        <w:spacing w:before="0" w:after="240"/>
        <w:jc w:val="both"/>
        <w:rPr/>
      </w:pPr>
      <w:r>
        <w:rPr>
          <w:color w:val="000000"/>
        </w:rPr>
        <w:t>“</w:t>
      </w:r>
      <w:r>
        <w:rPr>
          <w:rFonts w:ascii="Times New Roman" w:hAnsi="Times New Roman"/>
          <w:color w:val="000000"/>
          <w:sz w:val="24"/>
          <w:u w:val="single"/>
        </w:rPr>
        <w:t>Exempt Issuance</w:t>
      </w:r>
      <w:r>
        <w:rPr>
          <w:rFonts w:ascii="Times New Roman" w:hAnsi="Times New Roman"/>
          <w:color w:val="000000"/>
          <w:sz w:val="20"/>
        </w:rPr>
        <w:t xml:space="preserve">” </w:t>
      </w:r>
      <w:r>
        <w:rPr>
          <w:rFonts w:ascii="Times New Roman" w:hAnsi="Times New Roman"/>
          <w:color w:val="000000"/>
          <w:sz w:val="24"/>
        </w:rPr>
        <w:t>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(which may include an option exchange program or any other compensatory equity program provided to those who render services to the Company, provided that such securities are issued as “restricted securities” (as defined in Rule 144) and carry no registration rights that require or permit the filing of any registration statement in connection therewith during the prohibition period in Section (h) of Annex A to the Inducement Letter),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(h) of Annex A of the Inducement Letter,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securities issued pursuant to the Inducement Letter and (e) securities issued pursuant to the purchase agreements between the Company and Niowave, Inc..</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Inducement Letter</w:t>
      </w:r>
      <w:r>
        <w:rPr>
          <w:rFonts w:ascii="Times New Roman" w:hAnsi="Times New Roman"/>
          <w:color w:val="000000"/>
          <w:sz w:val="20"/>
        </w:rPr>
        <w:t xml:space="preserve">” </w:t>
      </w:r>
      <w:r>
        <w:rPr>
          <w:rFonts w:ascii="Times New Roman" w:hAnsi="Times New Roman"/>
          <w:color w:val="000000"/>
          <w:sz w:val="24"/>
        </w:rPr>
        <w:t>means the warrant inducement letter dated August 12, 2026, among the Company and the holder signatory thereto.</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2"/>
          <w:u w:val="single"/>
        </w:rPr>
        <w:t>Rule 144</w:t>
      </w:r>
      <w:r>
        <w:rPr>
          <w:rFonts w:ascii="Times New Roman" w:hAnsi="Times New Roman"/>
          <w:color w:val="000000"/>
          <w:sz w:val="20"/>
        </w:rPr>
        <w:t xml:space="preserve">” </w:t>
      </w:r>
      <w:r>
        <w:rPr>
          <w:rFonts w:ascii="Times New Roman" w:hAnsi="Times New Roman"/>
          <w:color w:val="000000"/>
          <w:sz w:val="22"/>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Stockholder Approval</w:t>
      </w:r>
      <w:r>
        <w:rPr>
          <w:rFonts w:ascii="Times New Roman" w:hAnsi="Times New Roman"/>
          <w:color w:val="000000"/>
          <w:sz w:val="20"/>
        </w:rPr>
        <w:t xml:space="preserve">” </w:t>
      </w:r>
      <w:r>
        <w:rPr>
          <w:rFonts w:ascii="Times New Roman" w:hAnsi="Times New Roman"/>
          <w:color w:val="000000"/>
          <w:sz w:val="24"/>
        </w:rPr>
        <w:t>means such approval as may be required by the applicable rules and regulations of the Nasdaq Stock Market LLC (or any successor entity) from the stockholders of the Company with respect to the issuance of all the Common Warrants and the Common Warrant Shares upon the exercise thereof.</w:t>
      </w:r>
    </w:p>
    <w:p>
      <w:pPr>
        <w:pStyle w:val="TextBody"/>
        <w:bidi w:val="0"/>
        <w:spacing w:before="0" w:after="240"/>
        <w:jc w:val="both"/>
        <w:rPr/>
      </w:pPr>
      <w:r>
        <w:rPr>
          <w:color w:val="000000"/>
        </w:rPr>
        <w:t>“</w:t>
      </w:r>
      <w:r>
        <w:rPr>
          <w:rFonts w:ascii="Times New Roman" w:hAnsi="Times New Roman"/>
          <w:color w:val="000000"/>
          <w:sz w:val="24"/>
          <w:u w:val="single"/>
        </w:rPr>
        <w:t>Stockholder Approval Date</w:t>
      </w:r>
      <w:r>
        <w:rPr>
          <w:rFonts w:ascii="Times New Roman" w:hAnsi="Times New Roman"/>
          <w:color w:val="000000"/>
          <w:sz w:val="20"/>
        </w:rPr>
        <w:t xml:space="preserve">” </w:t>
      </w:r>
      <w:r>
        <w:rPr>
          <w:rFonts w:ascii="Times New Roman" w:hAnsi="Times New Roman"/>
          <w:color w:val="000000"/>
          <w:sz w:val="24"/>
        </w:rPr>
        <w:t>means the date on which Stockholder Approval is received and deemed effective under Delaware law.</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subsidiary of the Company and shall, where applicable, also include any direct or indirect subsidiary of the Company formed or acquired after the date hereof.</w:t>
      </w:r>
    </w:p>
    <w:p>
      <w:pPr>
        <w:pStyle w:val="TextBody"/>
        <w:bidi w:val="0"/>
        <w:spacing w:before="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Common Stock is traded on a Trading Market.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and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4"/>
          <w:u w:val="single"/>
        </w:rPr>
        <w:t>Transfer Agent</w:t>
      </w:r>
      <w:r>
        <w:rPr>
          <w:rFonts w:ascii="Times New Roman" w:hAnsi="Times New Roman"/>
          <w:color w:val="000000"/>
          <w:sz w:val="20"/>
        </w:rPr>
        <w:t xml:space="preserve">” </w:t>
      </w:r>
      <w:r>
        <w:rPr>
          <w:rFonts w:ascii="Times New Roman" w:hAnsi="Times New Roman"/>
          <w:color w:val="000000"/>
          <w:sz w:val="24"/>
        </w:rPr>
        <w:t>means Broadridge the current transfer agent of the Company, with a mailing address of 51 Mercedes Way, Edgewood, NY 11717 and an email address of BCISERM@Broadridge.com, and any successor transfer agent of the Company.</w:t>
      </w:r>
    </w:p>
    <w:p>
      <w:pPr>
        <w:pStyle w:val="TextBody"/>
        <w:bidi w:val="0"/>
        <w:spacing w:before="0" w:after="24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240"/>
        <w:jc w:val="both"/>
        <w:rPr/>
      </w:pPr>
      <w:r>
        <w:rPr>
          <w:color w:val="000000"/>
        </w:rPr>
        <w:t>“</w:t>
      </w:r>
      <w:r>
        <w:rPr>
          <w:rFonts w:ascii="Times New Roman" w:hAnsi="Times New Roman"/>
          <w:color w:val="000000"/>
          <w:sz w:val="24"/>
          <w:u w:val="single"/>
        </w:rPr>
        <w:t>Warrants</w:t>
      </w:r>
      <w:r>
        <w:rPr>
          <w:rFonts w:ascii="Times New Roman" w:hAnsi="Times New Roman"/>
          <w:color w:val="000000"/>
          <w:sz w:val="20"/>
        </w:rPr>
        <w:t xml:space="preserve">” </w:t>
      </w:r>
      <w:r>
        <w:rPr>
          <w:rFonts w:ascii="Times New Roman" w:hAnsi="Times New Roman"/>
          <w:color w:val="000000"/>
          <w:sz w:val="24"/>
        </w:rPr>
        <w:t>means this Warrant and other Common Stock purchase warrants issued by the Company pursuant to the Inducement Letter.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share of Common Stock under this Warrant shall be </w:t>
      </w:r>
      <w:r>
        <w:rPr>
          <w:rFonts w:ascii="Times New Roman" w:hAnsi="Times New Roman"/>
          <w:b/>
          <w:color w:val="000000"/>
          <w:sz w:val="24"/>
        </w:rPr>
        <w:t>$</w:t>
      </w:r>
      <w:r>
        <w:rPr>
          <w:rFonts w:ascii="Times New Roman" w:hAnsi="Times New Roman"/>
          <w:color w:val="000000"/>
          <w:sz w:val="24"/>
        </w:rPr>
        <w:t>4.03,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holding period of the Warrant Shares being issued may be tacked on the holding period of the Warrant. The Company agrees not to take any position contrary to this Section 2(c).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provided, that the Holder shall be deemed to have waived any voting rights of any such Warrant Shares that may arise during the period commencing on such Exercise Date, through, and including, such applicable Warrant Share Delivery Date, as necessary, such that the aggregate voting rights of any Common Stock (including such Warrant Shares) beneficially owned by the Holder and/or any Attribution Parties, collectively, shall not exceed the Beneficial Ownership Limitation (as defined below) as a result of any such exercise of this Warrant. If the Company fails for any reason to deliver to the Holder the Warrant Shares subject to a Notice of Exercise by the Warrant Share Delivery Date, the Company shall pay to the Holder, in cash, as liquidated damages and not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(including no Trading Days if the settlement date is the trade date), on the Company’s primary Trading Market with respect to the Common Stock as in effect on the date of delivery of the Notice of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Adjustment Upon Issuance of Shares of Common Stock</w:t>
      </w:r>
      <w:r>
        <w:rPr>
          <w:rFonts w:ascii="Times New Roman" w:hAnsi="Times New Roman"/>
          <w:color w:val="000000"/>
          <w:sz w:val="24"/>
        </w:rPr>
        <w:t>. If and whenever on or after the date of issuance (the “Issuance Date”), the Company issues or sells (or enters into any agreement to grant, issue or sell), or in accordance with this Section 3(b) is deemed to have issued or sold, any shares of Common Stock and/or Common Stock Equivalents (including the issuance or sale of shares of Common Stock owned or held by or for the account of the Company, but excluding any Exempt Issuance issued or sold or deemed to have been issued or sold) for a consideration per share (the “New Issuance Price”) less than a price equal to the Exercise Price in effect immediately prior to such issuance or sale or deemed issuance or sale (such Exercise Price then in effect is referred to herein as the “Applicable Price”) (the foregoing a “Dilutive Issuance”), then simultaneously with the consummation (or, if earlier, the announcement) of each such Dilutive Issuance, the Exercise Price then in effect shall be reduced to an amount equal to the New Issuance Price. For all purposes of the foregoing (including, without limitation, determining the adjusted Exercise Price and the New Issuance Price under this Section 3(b)), the following shall be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Issuance of Options</w:t>
      </w:r>
      <w:r>
        <w:rPr>
          <w:rFonts w:ascii="Times New Roman" w:hAnsi="Times New Roman"/>
          <w:color w:val="000000"/>
          <w:sz w:val="24"/>
        </w:rPr>
        <w:t xml:space="preserve">. If the Company in any manner grants or sells any rights, warrants or options to subscribe for or purchase shares of preferred stock and/or Common Stock or Common Stock Equivalents which does not include any Exempt Issuances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(“Options”) and the lowest price per share for which one share of Common Stock is at any time issuable upon the exercise of any such Option or upon conversion, exercise or exchange of any Common Stock Equivalents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3(b)(i), the “lowest price per share for which one share of Common Stock is issuable upon the exercise of any such Options or upon conversion, exercise or exchange of any Common Stock Equivalents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minus (2) the sum of all amounts paid or payable to the holder of such Option (or any other Person) upon the granting, issuance or sale of such Option, upon exercise of such Option and upon conversion, exercise or exchange of any Common Stock Equivalents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Common Stock Equivalents upon the exercise of such Options or otherwise pursuant to the terms of or upon the actual issuance of such shares of Common Stock upon conversion, exercise or exchange of such Common Stock Equivalents. This Section 3(b)(i) shall not apply to any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Issuance of Common Stock Equivalents</w:t>
      </w:r>
      <w:r>
        <w:rPr>
          <w:rFonts w:ascii="Times New Roman" w:hAnsi="Times New Roman"/>
          <w:color w:val="000000"/>
          <w:sz w:val="24"/>
        </w:rPr>
        <w:t xml:space="preserve">. If the Company in any manner issues or sells any Common Stock Equivalents and the lowest price per share for which one share of Common Stock is at any time issuable upon the conversion, exercise or exchange thereof or otherwise pursuant to the terms thereof is less than the Exercise Price, then such share of Common Stock shall be deemed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outstanding and to have been issued and sold by the Company at the time of the issuance or sale of such Common Stock Equivalents for such price per share. For the purposes of this Section 3(b)(ii), the “lowest price per share for which one share of Common Stock is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Common Stock Equivalent and upon conversion, exercise or exchange of such Common Stock Equivalent or otherwise pursuant to the terms thereof and (y) the lowest conversion price set forth in such Common Stock Equivalent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below, no further adjustment of the Exercise Price shall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Warrant has been or is to be made pursuant to other provisions of this Section 3(b), except as contemplated below, no further adjustment of the Exercise Price shall be made by reason of such issuance or sale. This Section 3(b)(ii) shall not apply to any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Calculation of Consideration Received</w:t>
      </w:r>
      <w:r>
        <w:rPr>
          <w:rFonts w:ascii="Times New Roman" w:hAnsi="Times New Roman"/>
          <w:color w:val="000000"/>
          <w:sz w:val="24"/>
        </w:rPr>
        <w:t xml:space="preserve">. If any Option and/or Common Stock Equivalent and/or Adjustment Right is issued in connection with the issuance or sale or deemed issuance or sale of any other securities of the Company (as determined by the Holder, the “Primary Security”, and such Option and/or Common Stock Equivalent and/or Adjustment Right, the “Secondary Securities” and together with the Primary Security, each a “Unit”), together comprising one integrated transaction, the aggregate consideration per share of Common Stock with respect to such Primary Security shall be deemed to be the lowest of (x) the purchase price of such Unit, (y) if such Primary Security is an Option and/or Common Stock Equivalent, the lowest price per share for which one share of Common Stock is at any time issuable upon the exercise or conversion of the Primary Security in accordance with Section 3(b)(i) or 3(b)(ii) above and (z) the lowest VWAP on any Trading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Day during the five (5) Trading Day period (the “Adjustment Period”) immediately following the public announcement of such Dilutive Issuance (for the avoidance of doubt, if such public announcement is released prior to the opening of the applicable Trading Market on a Trading Day, such Trading Day shall be the first Trading Day in such five Trading Day period and if this Warrant is exercised, on any given Exercise Date during any such Adjustment Period, solely with respect to such portion of this Warrant converted on such applicable Exercise Date, such applicable Adjustment Period shall be deemed to have ended on, and included, the Trading Day immediately prior to such Exercise Date). If any shares of Common Stock, Options or Common Stock Equivalents are issued or sold or deemed to have been issued or sold for cash, the consideration received therefor will be deemed to be the net amount of consideration received by the Company therefor. If any shares of Common Stock, Options or Common Stock Equivalents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lowest VWAP on any Trading Day during the five (5) Trading Day period immediately preceding the date of receipt. If any shares of Common Stock, Options or Common Stock Equivalents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Common Stock Equivalents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 For purposes hereof, “Adjustment Right” means any right granted with respect to any securities issued in connection with, or with respect to, any issuance or sale (or deemed issuance or sale in accordance with this Section 3(b)) of shares of Common Stock (other than rights of the type described in Section 3(c) and Section</w:t>
      </w:r>
      <w:r>
        <w:rPr>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3(d)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Record Date</w:t>
      </w:r>
      <w:r>
        <w:rPr>
          <w:rFonts w:ascii="Times New Roman" w:hAnsi="Times New Roman"/>
          <w:color w:val="000000"/>
          <w:sz w:val="24"/>
        </w:rPr>
        <w:t xml:space="preserve">. If the Company takes a record of the holders of shares of Common Stock for the purpose of entitling them (A) to receive a dividend or other distribution payable in shares of Common Stock, Options or in Common Stock Equivalents or (B) to subscribe for or purchase shares of Common Stock, Options or Common Stock Equivalents,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as obtained from the HVT function on Bloomberg (determined utilizing a 365 day annualization factor) as of the Trading Day immediately following the public announcement of the applicable contemplated Fundamental Transaction, (C) the closing VWAP on the Trading Day immediately prior to the Trading Day of the Holder’s request (or the VWAP on the Trading Day of the Holder’s request if such request is made after 4:00 pm New York City time)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w:t>
      </w:r>
      <w:r>
        <w:rPr>
          <w:color w:val="000000"/>
        </w:rPr>
        <w:t xml:space="preserve"> </w:t>
      </w: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Inducement Letter in accordance with the provisions of this Section 3(e) pursuant to written agreements in form and substance reasonably satisfactory to the Holder and approved by the Holder (without unreasonable delay) prior</w:t>
      </w:r>
      <w:r>
        <w:rPr>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xml:space="preserve">. If (A) the Company shall declare a dividend (or any other distribution in whatever form) on the Common Stock, (B) the Company shall declare a special nonrecurring cash dividend on or a redemption of the Common Stock, (C) the Company shall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shall use its reasonable best efforts to hold a special meeting of stockholders on or prior to sixty (60) days after the Closing Date (as defined in the Inducement Agreement), for the purpose of obtaining the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proposal. The Company shall use its reasonable best efforts to obtain such Shareholder Approval. If the Company does not obtain Stockholder Approval with respect to the terms of the Warrants at the first special meeting of the stockholders, the Company shall call a meeting every sixty (60) days thereafter to seek such Stockholder Approval until the date on which Stockholder Approval is obtained or the Warrants are no longer outstanding.</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Subject to compliance with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 xml:space="preserve">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the Warrant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 If, at the time of the surrender of this Warrant in connection with any transfer of this Warrant, the transfer of this Warrant shall not be either (i) registered pursuant to an effective registration</w:t>
      </w:r>
      <w:r>
        <w:rPr>
          <w:color w:val="000000"/>
        </w:rPr>
        <w:t xml:space="preserve"> </w:t>
      </w:r>
      <w:r>
        <w:rPr>
          <w:rFonts w:ascii="Times New Roman" w:hAnsi="Times New Roman"/>
          <w:color w:val="000000"/>
          <w:sz w:val="24"/>
        </w:rPr>
        <w:t>statement under the Securities Act</w:t>
      </w:r>
      <w:r>
        <w:rPr>
          <w:color w:val="000000"/>
        </w:rPr>
        <w:t xml:space="preserve"> </w:t>
      </w:r>
      <w:r>
        <w:rPr>
          <w:rFonts w:ascii="Times New Roman" w:hAnsi="Times New Roman"/>
          <w:color w:val="000000"/>
          <w:sz w:val="24"/>
        </w:rPr>
        <w:t>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the form and substance of which opinion shall be reasonably satisfactory to the Company, to the effect that the transfer of this Warrant does not require registration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r>
        <w:rPr>
          <w:color w:val="00000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or the Inducement Letter,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2401 4</w:t>
      </w:r>
      <w:r>
        <w:rPr>
          <w:rFonts w:ascii="Times New Roman" w:hAnsi="Times New Roman"/>
          <w:color w:val="000000"/>
          <w:sz w:val="16"/>
        </w:rPr>
        <w:t>th</w:t>
      </w:r>
      <w:r>
        <w:rPr>
          <w:color w:val="000000"/>
        </w:rPr>
        <w:t xml:space="preserve"> </w:t>
      </w:r>
      <w:r>
        <w:rPr>
          <w:rFonts w:ascii="Times New Roman" w:hAnsi="Times New Roman"/>
          <w:color w:val="000000"/>
          <w:sz w:val="24"/>
        </w:rPr>
        <w:t>Avenue, Suite 1050, Seattle, Washington 98121, Attention:</w:t>
      </w:r>
      <w:r>
        <w:rPr>
          <w:color w:val="000000"/>
        </w:rPr>
        <w:t xml:space="preserve"> </w:t>
      </w:r>
      <w:r>
        <w:rPr>
          <w:rFonts w:ascii="Times New Roman" w:hAnsi="Times New Roman"/>
          <w:color w:val="000000"/>
          <w:sz w:val="24"/>
        </w:rPr>
        <w:t xml:space="preserve">Daphne Taylor email address: TaylorD2@apvo.com,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r>
        <w:rPr>
          <w:color w:val="00000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aptevo therapeutics inc.</w:t>
            </w:r>
          </w:p>
          <w:p>
            <w:pPr>
              <w:pStyle w:val="TableContents"/>
              <w:bidi w:val="0"/>
              <w:jc w:val="left"/>
              <w:rPr/>
            </w:pPr>
            <w:r>
              <w:rPr/>
              <w:t> </w:t>
            </w:r>
          </w:p>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aptevo therapeutics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Accredited Investor</w:t>
      </w:r>
      <w:r>
        <w:rPr>
          <w:rFonts w:ascii="Times New Roman" w:hAnsi="Times New Roman"/>
          <w:color w:val="000000"/>
          <w:sz w:val="24"/>
        </w:rPr>
        <w:t xml:space="preserve">. The undersigned is an “accredited investor” as defined in Regulation D promulgated under the Securities Act of 1933, as amended.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left"/>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w:t>
      </w:r>
    </w:p>
    <w:p>
      <w:pPr>
        <w:pStyle w:val="TextBody"/>
        <w:bidi w:val="0"/>
        <w:jc w:val="left"/>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apvo-ex4_2.htm"/>
      <w:bookmarkStart w:id="5" w:name="ksapvoex4_2"/>
      <w:bookmarkEnd w:id="4"/>
      <w:bookmarkEnd w:id="5"/>
      <w:r>
        <w:rPr/>
        <w:t> </w:t>
      </w:r>
      <w:r>
        <w:br w:type="page"/>
      </w:r>
    </w:p>
    <w:p>
      <w:pPr>
        <w:pStyle w:val="TextBody"/>
        <w:bidi w:val="0"/>
        <w:jc w:val="center"/>
        <w:rPr/>
      </w:pPr>
      <w:r>
        <w:rPr/>
        <w:t> </w:t>
      </w:r>
    </w:p>
    <w:p>
      <w:pPr>
        <w:pStyle w:val="TextBody"/>
        <w:bidi w:val="0"/>
        <w:jc w:val="right"/>
        <w:rPr>
          <w:rFonts w:ascii="Times New Roman" w:hAnsi="Times New Roman"/>
          <w:color w:val="000000"/>
          <w:sz w:val="22"/>
        </w:rPr>
      </w:pPr>
      <w:r>
        <w:rPr>
          <w:rFonts w:ascii="Times New Roman" w:hAnsi="Times New Roman"/>
          <w:color w:val="000000"/>
          <w:sz w:val="22"/>
        </w:rPr>
        <w:t>Exhibit 4.2</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WARRANT AND THE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PRE-FUNDED 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aptevo therapeutics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Initial Exercise Date: August 13, 2026</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PRE-FUNDED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hereof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until this Warrant is exercised in full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 set forth in that certain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dated August 12, 2026, among the Company and the purchasers signatory thereto.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w:t>
      </w:r>
    </w:p>
    <w:p>
      <w:pPr>
        <w:pStyle w:val="TextBody"/>
        <w:bidi w:val="0"/>
        <w:jc w:val="both"/>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holding period of the Warrant Shares being issued may be tacked on the holding period of the Warrant. The Company agrees not to take any position contrary to this Section 2(c).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provided, that the Holder shall be deemed to have waived any voting rights of any such Warrant Shares that may arise during the period commencing on such Exercise Date, through, and including, such applicable Warrant Share Delivery Date, as necessary, such that the aggregate voting rights of any Common Stock (including such Warrant Shares) beneficially owned by the Holder and/or any Attribution Parties, collectively, shall not exceed the Beneficial Ownership Limitation (as defined below) as a result of any such exercise of this Warrant.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(including no Trading Days if the settlement date is the trade date),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xml:space="preserve">. No fractional shares or scrip representing fractional shares shall be issued upon the exercise of this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shares of outstanding Common Stock or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w:t>
      </w:r>
      <w:bookmarkStart w:id="6" w:name="ole_link5"/>
      <w:bookmarkEnd w:id="6"/>
      <w:r>
        <w:rPr>
          <w:rFonts w:ascii="Times New Roman" w:hAnsi="Times New Roman"/>
          <w:color w:val="000000"/>
          <w:sz w:val="24"/>
        </w:rPr>
        <w:t>,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The Warrant, if properly assigned in accordance herewith, may be exercised by a new holder for the purchase of Warrant Shares without having a new Warrant issued.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Transfer Restrictions.</w:t>
      </w:r>
      <w:r>
        <w:rPr>
          <w:color w:val="000000"/>
        </w:rPr>
        <w:t xml:space="preserve"> </w:t>
      </w:r>
      <w:r>
        <w:rPr>
          <w:rFonts w:ascii="Times New Roman" w:hAnsi="Times New Roman"/>
          <w:color w:val="000000"/>
          <w:sz w:val="24"/>
        </w:rPr>
        <w:t>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the form and substance of which opinion shall be reasonably satisfactory to the Company, to the effect that the transfer of this Warrant does not require registration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xml:space="preserve">. The Company covenants that upon receipt by the Company of evidence reasonably satisfactory to it of the loss, theft, destruction or mutilation of this Warrant or any stock certificate relating to the Warrant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2401 4</w:t>
      </w:r>
      <w:r>
        <w:rPr>
          <w:rFonts w:ascii="Times New Roman" w:hAnsi="Times New Roman"/>
          <w:color w:val="000000"/>
          <w:sz w:val="16"/>
        </w:rPr>
        <w:t>th</w:t>
      </w:r>
      <w:r>
        <w:rPr>
          <w:color w:val="000000"/>
        </w:rPr>
        <w:t xml:space="preserve"> </w:t>
      </w:r>
      <w:r>
        <w:rPr>
          <w:rFonts w:ascii="Times New Roman" w:hAnsi="Times New Roman"/>
          <w:color w:val="000000"/>
          <w:sz w:val="24"/>
        </w:rPr>
        <w:t>Avenue, Suite 1050, Seattle Washington 98121, Attention:</w:t>
      </w:r>
      <w:r>
        <w:rPr>
          <w:color w:val="000000"/>
        </w:rPr>
        <w:t xml:space="preserve"> </w:t>
      </w:r>
      <w:r>
        <w:rPr>
          <w:rFonts w:ascii="Times New Roman" w:hAnsi="Times New Roman"/>
          <w:color w:val="000000"/>
          <w:sz w:val="24"/>
        </w:rPr>
        <w:t>Daphne Taylor email address: TaylorD2@apvo.com,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jc w:val="both"/>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both"/>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aptevo therapeutics inc.</w:t>
            </w:r>
          </w:p>
          <w:p>
            <w:pPr>
              <w:pStyle w:val="TableContents"/>
              <w:bidi w:val="0"/>
              <w:jc w:val="left"/>
              <w:rPr/>
            </w:pPr>
            <w:r>
              <w:rPr/>
              <w:t> </w:t>
            </w:r>
          </w:p>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aptevo therapeutics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Accredited Investor.</w:t>
      </w:r>
      <w:r>
        <w:rPr>
          <w:rFonts w:ascii="Times New Roman" w:hAnsi="Times New Roman"/>
          <w:color w:val="000000"/>
          <w:sz w:val="20"/>
        </w:rPr>
        <w:t xml:space="preserve"> </w:t>
      </w:r>
      <w:r>
        <w:rPr>
          <w:rFonts w:ascii="Times New Roman" w:hAnsi="Times New Roman"/>
          <w:color w:val="000000"/>
          <w:sz w:val="24"/>
        </w:rPr>
        <w:t xml:space="preserve">The undersigned is an “accredited investor” as defined in Regulation D promulgated under the Securities Act of 1933, as amended.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both"/>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________________________________________________________________________________________</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apvo-ex4_3.htm"/>
      <w:bookmarkStart w:id="8" w:name="ksapvoex4_3"/>
      <w:bookmarkEnd w:id="7"/>
      <w:bookmarkEnd w:id="8"/>
      <w:r>
        <w:rPr/>
        <w:t> </w:t>
      </w:r>
      <w:r>
        <w:br w:type="page"/>
      </w:r>
    </w:p>
    <w:p>
      <w:pPr>
        <w:pStyle w:val="TextBody"/>
        <w:bidi w:val="0"/>
        <w:jc w:val="center"/>
        <w:rPr/>
      </w:pPr>
      <w:r>
        <w:rPr/>
        <w:t> </w:t>
      </w:r>
    </w:p>
    <w:p>
      <w:pPr>
        <w:pStyle w:val="TextBody"/>
        <w:bidi w:val="0"/>
        <w:jc w:val="right"/>
        <w:rPr>
          <w:rFonts w:ascii="Times New Roman" w:hAnsi="Times New Roman"/>
          <w:color w:val="000000"/>
          <w:sz w:val="22"/>
        </w:rPr>
      </w:pPr>
      <w:r>
        <w:rPr>
          <w:rFonts w:ascii="Times New Roman" w:hAnsi="Times New Roman"/>
          <w:color w:val="000000"/>
          <w:sz w:val="22"/>
        </w:rPr>
        <w:t>Exhibit 4.3</w:t>
      </w:r>
    </w:p>
    <w:p>
      <w:pPr>
        <w:pStyle w:val="TextBody"/>
        <w:bidi w:val="0"/>
        <w:jc w:val="both"/>
        <w:rPr>
          <w:rFonts w:ascii="Times New Roman" w:hAnsi="Times New Roman"/>
          <w:color w:val="000000"/>
          <w:sz w:val="22"/>
        </w:rPr>
      </w:pPr>
      <w:r>
        <w:rPr>
          <w:rFonts w:ascii="Times New Roman" w:hAnsi="Times New Roman"/>
          <w:color w:val="000000"/>
          <w:sz w:val="22"/>
        </w:rPr>
        <w:t>THIS WARRANT AND THE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aptevo therapeutics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Issue Date: August 13, 2026</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that the Stockholder Approval is obtained and deemed effective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the five year anniversary of the Initial Exercise Date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meanings set forth in that certain Securities Purchase Agreement (the “Purchase Agreement”), dated August 12, 2026, among the Company and the purchasers signatory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share of Common Stock under this Warrant shall be </w:t>
      </w:r>
      <w:r>
        <w:rPr>
          <w:rFonts w:ascii="Times New Roman" w:hAnsi="Times New Roman"/>
          <w:b/>
          <w:color w:val="000000"/>
          <w:sz w:val="24"/>
        </w:rPr>
        <w:t>$</w:t>
      </w:r>
      <w:r>
        <w:rPr>
          <w:rFonts w:ascii="Times New Roman" w:hAnsi="Times New Roman"/>
          <w:color w:val="000000"/>
          <w:sz w:val="24"/>
        </w:rPr>
        <w:t>4.03,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holding period of the Warrant Shares being issued may be tacked on the holding period of the Warrant. The Company agrees not to take any position contrary to this Section 2(c).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provided, that the Holder shall be deemed to have waived any voting rights of any such Warrant Shares that may arise during the period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commencing on such Exercise Date, through, and including, such applicable Warrant Share Delivery Date, as necessary, such that the aggregate voting rights of any Common Stock (including such Warrant Shares) beneficially owned by the Holder and/or any Attribution Parties, collectively, shall not exceed the Beneficial Ownership Limitation (as defined below) as a result of any such exercise of this Warrant.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(including no Trading Days if the settlement date is the trade date), on the Company’s primary Trading Market with respect to the Common Stock as in effect on the date of delivery of the Notice of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Adjustment Upon Issuance of Shares of Common Stock</w:t>
      </w:r>
      <w:r>
        <w:rPr>
          <w:rFonts w:ascii="Times New Roman" w:hAnsi="Times New Roman"/>
          <w:color w:val="000000"/>
          <w:sz w:val="24"/>
        </w:rPr>
        <w:t xml:space="preserve">. If and whenever on or after the date of issuance (the “Issuance Date”), the Company issues or sells (or enters into any agreement to grant, issue or sell), or in accordance with this Section 3(b) is deemed to have issued or sold, any shares of Common Stock and/or Common Stock Equivalents (including the issuance or sale of shares of Common Stock owned or held by or for the account of the Company, but excluding any Exempt Issuance issued or sold or deemed to have been issued or sold) for a consideration per share (the “New Issuance Price”) less than a price equal to the Exercise Price in effect immediately prior to such issuance or sale or deemed issuance or sale (such Exercise Price then in effect is referred to herein as the “Applicable Price”) (the foregoing a “Dilutive Issuance”), then simultaneously with the consummation (or, if earlier, the announcement) of each such Dilutive Issuance, the Exercise Price then in effect shall be reduced to an amount equal to the New Issuance Price. For all purposes of the foregoing (including, without limitation, determining the adjusted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 Price and the New Issuance Price under this Section 3(b)), the following shall be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Issuance of Options</w:t>
      </w:r>
      <w:r>
        <w:rPr>
          <w:rFonts w:ascii="Times New Roman" w:hAnsi="Times New Roman"/>
          <w:color w:val="000000"/>
          <w:sz w:val="24"/>
        </w:rPr>
        <w:t>. If the Company in any manner grants or sells any rights, warrants or options to subscribe for or purchase shares of preferred stock and/or Common Stock or Common Stock Equivalents which does not include any Exempt Issuances (“Options”) and the lowest price per share for which one share of Common Stock is at any time issuable upon the exercise of any such Option or upon conversion, exercise or exchange of any Common Stock Equivalents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3(b)(i), the “lowest price per share for which one share of Common Stock is issuable upon the exercise of any such Options or upon conversion, exercise or exchange of any Common Stock Equivalents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minus (2) the sum of all amounts paid or payable to the holder of such Option (or any other Person) upon the granting, issuance or sale of such Option, upon exercise of such Option and upon conversion, exercise or exchange of any Common Stock Equivalents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Common Stock Equivalents upon the exercise of such Options or otherwise pursuant to the terms of or upon the actual issuance of such shares of Common Stock upon conversion, exercise or exchange of such Common Stock Equivalents. This Section 3(b)(i) shall not apply to any Exempt Issuance.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Issuance of Common Stock Equivalents</w:t>
      </w:r>
      <w:r>
        <w:rPr>
          <w:rFonts w:ascii="Times New Roman" w:hAnsi="Times New Roman"/>
          <w:color w:val="000000"/>
          <w:sz w:val="24"/>
        </w:rPr>
        <w:t>. If the Company in any manner issues or sells any Common Stock Equivalents and the lowest price per share for which one share of Common Stock is at any time issuable upon the conversion, exercise or exchange thereof or otherwise pursuant to the terms thereof is less than the Exercise Price, then such share of Common Stock shall be deemed to be outstanding and to have been issued and sold by the Company at the time of the issuance or sale of such Common Stock Equivalents for such price per share. For the purposes of this Section 3(b)(ii), the “lowest price per share for which one share of Common Stock is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Common Stock Equivalent and upon conversion, exercise or exchange of such Common Stock Equivalent or otherwise pursuant to the terms thereof and (y) the lowest conversion price set forth in such Common Stock Equivalent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below, no further adjustment of the Exercise Price shall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Warrant has been or is to be made pursuant to other provisions of this Section 3(b), except as contemplated below, no further adjustment of the Exercise Price shall be made by reason of such issuance or sale. This Section 3(b)(ii) shall not apply to any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Calculation of Consideration Received</w:t>
      </w:r>
      <w:r>
        <w:rPr>
          <w:rFonts w:ascii="Times New Roman" w:hAnsi="Times New Roman"/>
          <w:color w:val="000000"/>
          <w:sz w:val="24"/>
        </w:rPr>
        <w:t xml:space="preserve">. If any Option and/or Common Stock Equivalent and/or Adjustment Right is issued in connection with the issuance or sale or deemed issuance or sale of any other securities of the Company (as determined by the Holder, the “Primary Security”, and such Option and/or Common Stock Equivalent and/or Adjustment Right, the “Secondary Securities” and together with the Primary Security, each a “Unit”), together comprising one integrated transaction, the aggregate consideration per share of Common Stock with respect to such Primary Security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shall be deemed to be the lowest of (x) the purchase price of such Unit, (y) if such Primary Security is an Option and/or Common Stock Equivalent, the lowest price per share for which one share of Common Stock is at any time issuable upon the exercise or conversion of the Primary Security in accordance with Section 3(b)(i) or 3(b)(ii) above and (z) the lowest VWAP on any Trading Day during the five (5) Trading Day period (the “Adjustment Period”) immediately following the public announcement of such Dilutive Issuance (for the avoidance of doubt, if such public announcement is released prior to the opening of the applicable Trading Market on a Trading Day, such Trading Day shall be the first Trading Day in such five Trading Day period and if this Warrant is exercised, on any given Exercise Date during any such Adjustment Period, solely with respect to such portion of this Warrant converted on such applicable Exercise Date, such applicable Adjustment Period shall be deemed to have ended on, and included, the Trading Day immediately prior to such Exercise Date). If any shares of Common Stock, Options or Common Stock Equivalents are issued or sold or deemed to have been issued or sold for cash, the consideration received therefor will be deemed to be the net amount of consideration received by the Company therefor. If any shares of Common Stock, Options or Common Stock Equivalents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lowest VWAP on any Trading Day during the five (5) Trading Day period immediately preceding the date of receipt. If any shares of Common Stock, Options or Common Stock Equivalents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Common Stock Equivalents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w:t>
      </w:r>
      <w:r>
        <w:rPr>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expenses of such appraiser shall be borne by the Company. For purposes hereof, “Adjustment Right” means any right granted with respect to any securities issued in connection with, or with respect to, any issuance or sale (or deemed issuance or sale in accordance with this Section 3(b)) of shares of Common Stock (other than rights of the type described in Section 3(c) and Section 3(d)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Record Date</w:t>
      </w:r>
      <w:r>
        <w:rPr>
          <w:rFonts w:ascii="Times New Roman" w:hAnsi="Times New Roman"/>
          <w:color w:val="000000"/>
          <w:sz w:val="24"/>
        </w:rPr>
        <w:t>. If the Company takes a record of the holders of shares of Common Stock for the purpose of entitling them (A) to receive a dividend or other distribution payable in shares of Common Stock, Options or in Common Stock Equivalents or (B) to subscribe for or purchase shares of Common Stock, Options or Common Stock Equivalents,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as obtained from the HVT function on Bloomberg (determined utilizing a 365 day annualization factor) as of the Trading Day immediately following the public announcement of the applicable contemplated Fundamental Transaction, (C)</w:t>
      </w:r>
      <w:r>
        <w:rPr>
          <w:color w:val="000000"/>
        </w:rPr>
        <w:t xml:space="preserve"> </w:t>
      </w:r>
      <w:r>
        <w:rPr>
          <w:rFonts w:ascii="Times New Roman" w:hAnsi="Times New Roman"/>
          <w:color w:val="000000"/>
          <w:sz w:val="20"/>
        </w:rPr>
        <w:t>t</w:t>
      </w:r>
      <w:r>
        <w:rPr>
          <w:rFonts w:ascii="Times New Roman" w:hAnsi="Times New Roman"/>
          <w:color w:val="000000"/>
          <w:sz w:val="24"/>
        </w:rPr>
        <w:t>he closing VWAP on the Trading Day immediately prior to the Trading Day of the Holder’s request (or the VWAP on the Trading Day of the Holder’s request if such request is made after 4:00 pm New York City time)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w:t>
      </w:r>
      <w:r>
        <w:rPr>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(ii) the date of consummation of the Fundamental Transaction.</w:t>
      </w:r>
      <w:r>
        <w:rPr>
          <w:color w:val="000000"/>
        </w:rPr>
        <w:t xml:space="preserve"> </w:t>
      </w: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Purchase Agreement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Warrant Shares and setting forth a brief statement of the facts requiring such adjustment.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shall use its reasonable best efforts to hold a special meeting of stockholders on or prior to sixty (60) days after the Closing Date (as defined in the Purchase Agreement), for the purpose of obtaining the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Shareholder Approval. If the Company does not obtain Stockholder Approval with respect to the terms of the Warrants at the first special meeting of the stockholders, the Company shall call a meeting every sixty (60) days thereafter to seek such Stockholder Approval until the date on which Stockholder Approval is obtained or the Warrants are no longer outstanding.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Subject to compliance with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 xml:space="preserve">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the Warrant and shall be identical with this Warrant except as to the number of Warrant Shares issuable pursuant thereto.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 If, at the time of the surrender of this Warrant in connection with any transfer of this Warrant, the transfer of this Warrant shall not be either (i) registered pursuant to an effective registration</w:t>
      </w:r>
      <w:r>
        <w:rPr>
          <w:color w:val="000000"/>
        </w:rPr>
        <w:t xml:space="preserve"> </w:t>
      </w:r>
      <w:r>
        <w:rPr>
          <w:rFonts w:ascii="Times New Roman" w:hAnsi="Times New Roman"/>
          <w:color w:val="000000"/>
          <w:sz w:val="24"/>
        </w:rPr>
        <w:t>statement under the Securities Act</w:t>
      </w:r>
      <w:r>
        <w:rPr>
          <w:color w:val="000000"/>
        </w:rPr>
        <w:t xml:space="preserve"> </w:t>
      </w:r>
      <w:r>
        <w:rPr>
          <w:rFonts w:ascii="Times New Roman" w:hAnsi="Times New Roman"/>
          <w:color w:val="000000"/>
          <w:sz w:val="24"/>
        </w:rPr>
        <w:t>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the form and substance of which opinion shall be reasonably satisfactory to the Company, to the effect that the transfer of this Warrant does not require registration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xml:space="preserve">. If the last or appointed day for the taking of any action or the expiration of any right required or granted herein shall not be a Business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 then such action may be taken or such right may be exercised on the next succeeding Business Day.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2401 4</w:t>
      </w:r>
      <w:r>
        <w:rPr>
          <w:rFonts w:ascii="Times New Roman" w:hAnsi="Times New Roman"/>
          <w:color w:val="000000"/>
          <w:sz w:val="16"/>
        </w:rPr>
        <w:t>th</w:t>
      </w:r>
      <w:r>
        <w:rPr>
          <w:color w:val="000000"/>
        </w:rPr>
        <w:t xml:space="preserve"> </w:t>
      </w:r>
      <w:r>
        <w:rPr>
          <w:rFonts w:ascii="Times New Roman" w:hAnsi="Times New Roman"/>
          <w:color w:val="000000"/>
          <w:sz w:val="24"/>
        </w:rPr>
        <w:t>Avenue, Suite 1050, Seattle, Washington 98121, Attention:</w:t>
      </w:r>
      <w:r>
        <w:rPr>
          <w:color w:val="000000"/>
        </w:rPr>
        <w:t xml:space="preserve"> </w:t>
      </w:r>
      <w:r>
        <w:rPr>
          <w:rFonts w:ascii="Times New Roman" w:hAnsi="Times New Roman"/>
          <w:color w:val="000000"/>
          <w:sz w:val="24"/>
        </w:rPr>
        <w:t xml:space="preserve">Daphne Taylor email address: TaylorD2@apvo.com, or such other email address or address as the Company may specify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r>
        <w:rPr>
          <w:color w:val="00000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Wherever possible, each provision of this Warrant shall be interpreted in such manner as to be effective and valid under applicable law, but if any provision of this Warrant shall be prohibited by or invalid under applicable law, such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aptevo therapeutics inc.</w:t>
            </w:r>
          </w:p>
          <w:p>
            <w:pPr>
              <w:pStyle w:val="TableContents"/>
              <w:bidi w:val="0"/>
              <w:jc w:val="left"/>
              <w:rPr/>
            </w:pPr>
            <w:r>
              <w:rPr/>
              <w:t> </w:t>
            </w:r>
          </w:p>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aptevo therapeutics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Accredited Investor</w:t>
      </w:r>
      <w:r>
        <w:rPr>
          <w:rFonts w:ascii="Times New Roman" w:hAnsi="Times New Roman"/>
          <w:color w:val="000000"/>
          <w:sz w:val="24"/>
        </w:rPr>
        <w:t xml:space="preserve">. The undersigned is an “accredited investor” as defined in Regulation D promulgated under the Securities Act of 1933, as amended.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left"/>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w:t>
      </w:r>
    </w:p>
    <w:p>
      <w:pPr>
        <w:pStyle w:val="TextBody"/>
        <w:bidi w:val="0"/>
        <w:jc w:val="left"/>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9" w:name="apvo-ex10_1.htm"/>
      <w:bookmarkStart w:id="10" w:name="ksapvoex10_1"/>
      <w:bookmarkEnd w:id="9"/>
      <w:bookmarkEnd w:id="10"/>
      <w:r>
        <w:rPr/>
        <w:t> </w:t>
      </w:r>
      <w:r>
        <w:br w:type="page"/>
      </w:r>
    </w:p>
    <w:p>
      <w:pPr>
        <w:pStyle w:val="TextBody"/>
        <w:bidi w:val="0"/>
        <w:jc w:val="right"/>
        <w:rPr>
          <w:rFonts w:ascii="Times New Roman" w:hAnsi="Times New Roman"/>
          <w:b/>
          <w:caps/>
          <w:color w:val="000000"/>
          <w:sz w:val="24"/>
        </w:rPr>
      </w:pPr>
      <w:r>
        <w:rPr>
          <w:rFonts w:ascii="Times New Roman" w:hAnsi="Times New Roman"/>
          <w:b/>
          <w:caps/>
          <w:color w:val="000000"/>
          <w:sz w:val="24"/>
        </w:rPr>
        <w:t>eXHIBIT 10.1</w:t>
      </w:r>
    </w:p>
    <w:p>
      <w:pPr>
        <w:pStyle w:val="TextBody"/>
        <w:bidi w:val="0"/>
        <w:jc w:val="center"/>
        <w:rPr>
          <w:rFonts w:ascii="Times New Roman" w:hAnsi="Times New Roman"/>
          <w:b/>
          <w:caps/>
          <w:color w:val="000000"/>
          <w:sz w:val="24"/>
        </w:rPr>
      </w:pPr>
      <w:r>
        <w:rPr>
          <w:rFonts w:ascii="Times New Roman" w:hAnsi="Times New Roman"/>
          <w:b/>
          <w:caps/>
          <w:color w:val="000000"/>
          <w:sz w:val="24"/>
        </w:rPr>
        <w:t>Aptevo Therapeutics inc.</w:t>
      </w:r>
    </w:p>
    <w:p>
      <w:pPr>
        <w:pStyle w:val="TextBody"/>
        <w:bidi w:val="0"/>
        <w:jc w:val="right"/>
        <w:rPr>
          <w:rFonts w:ascii="Times New Roman" w:hAnsi="Times New Roman"/>
          <w:sz w:val="20"/>
        </w:rPr>
      </w:pPr>
      <w:r>
        <w:rPr>
          <w:rFonts w:ascii="Times New Roman" w:hAnsi="Times New Roman"/>
          <w:color w:val="000000"/>
          <w:sz w:val="24"/>
        </w:rPr>
        <w:t>August 12, 2026</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Holder of the June 2025 Common Stock Purchase Warrants, April 2025 Common Stock Purchase Warrants and December 2024 Common Stock Purchase Warrants</w:t>
      </w:r>
    </w:p>
    <w:tbl>
      <w:tblPr>
        <w:tblW w:w="6767" w:type="dxa"/>
        <w:jc w:val="left"/>
        <w:tblInd w:w="0" w:type="dxa"/>
        <w:tblLayout w:type="fixed"/>
        <w:tblCellMar>
          <w:top w:w="28" w:type="dxa"/>
          <w:left w:w="28" w:type="dxa"/>
          <w:bottom w:w="28" w:type="dxa"/>
          <w:right w:w="28" w:type="dxa"/>
        </w:tblCellMar>
      </w:tblPr>
      <w:tblGrid>
        <w:gridCol w:w="451"/>
        <w:gridCol w:w="6316"/>
      </w:tblGrid>
      <w:tr>
        <w:trPr/>
        <w:tc>
          <w:tcPr>
            <w:tcW w:w="451"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63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u w:val="single"/>
              </w:rPr>
            </w:pPr>
            <w:r>
              <w:rPr>
                <w:rFonts w:ascii="Times New Roman" w:hAnsi="Times New Roman"/>
                <w:color w:val="000000"/>
                <w:sz w:val="24"/>
                <w:u w:val="single"/>
              </w:rPr>
              <w:t>Inducement Offer to Exercise Common Stock Purchase Warrants</w:t>
            </w:r>
          </w:p>
        </w:tc>
      </w:tr>
    </w:tbl>
    <w:p>
      <w:pPr>
        <w:pStyle w:val="TextBody"/>
        <w:bidi w:val="0"/>
        <w:jc w:val="both"/>
        <w:rPr>
          <w:rFonts w:ascii="Times New Roman" w:hAnsi="Times New Roman"/>
          <w:color w:val="000000"/>
          <w:sz w:val="24"/>
        </w:rPr>
      </w:pPr>
      <w:r>
        <w:rPr>
          <w:rFonts w:ascii="Times New Roman" w:hAnsi="Times New Roman"/>
          <w:color w:val="000000"/>
          <w:sz w:val="24"/>
        </w:rPr>
        <w:t>Dear Holder:</w:t>
      </w:r>
    </w:p>
    <w:p>
      <w:pPr>
        <w:pStyle w:val="TextBody"/>
        <w:bidi w:val="0"/>
        <w:jc w:val="both"/>
        <w:rPr>
          <w:rFonts w:ascii="Times New Roman" w:hAnsi="Times New Roman"/>
          <w:sz w:val="20"/>
        </w:rPr>
      </w:pPr>
      <w:r>
        <w:rPr>
          <w:rFonts w:ascii="Times New Roman" w:hAnsi="Times New Roman"/>
          <w:color w:val="000000"/>
          <w:sz w:val="24"/>
        </w:rPr>
        <w:t>Aptevo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is pleased to offer to you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you</w:t>
      </w:r>
      <w:r>
        <w:rPr>
          <w:rFonts w:ascii="Times New Roman" w:hAnsi="Times New Roman"/>
          <w:color w:val="000000"/>
          <w:sz w:val="20"/>
        </w:rPr>
        <w:t xml:space="preserve">” </w:t>
      </w:r>
      <w:r>
        <w:rPr>
          <w:rFonts w:ascii="Times New Roman" w:hAnsi="Times New Roman"/>
          <w:color w:val="000000"/>
          <w:sz w:val="24"/>
        </w:rPr>
        <w:t>or similar terminology) (i) the opportunity to receive new warrants to purchase shares of the Company’s common stock, par value $0.001 per share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and (ii) a reduction in the Exercise Price (as defined in the respective Existing Warrants) in consideration for exercising by you for cash at a Reduced Exercise Price (as defined below), as set forth on the signature page hereto, the June 2025 Common Stock Purchase Warrants (the “</w:t>
      </w:r>
      <w:r>
        <w:rPr>
          <w:rFonts w:ascii="Times New Roman" w:hAnsi="Times New Roman"/>
          <w:color w:val="000000"/>
          <w:sz w:val="24"/>
          <w:u w:val="single"/>
        </w:rPr>
        <w:t>June 2025 Warrants</w:t>
      </w:r>
      <w:r>
        <w:rPr>
          <w:rFonts w:ascii="Times New Roman" w:hAnsi="Times New Roman"/>
          <w:color w:val="000000"/>
          <w:sz w:val="20"/>
        </w:rPr>
        <w:t>”</w:t>
      </w:r>
      <w:r>
        <w:rPr>
          <w:rFonts w:ascii="Times New Roman" w:hAnsi="Times New Roman"/>
          <w:color w:val="000000"/>
          <w:sz w:val="24"/>
        </w:rPr>
        <w:t xml:space="preserve">) currently held by you and issued on June 20, 2025 attached hereto as </w:t>
      </w:r>
      <w:r>
        <w:rPr>
          <w:rFonts w:ascii="Times New Roman" w:hAnsi="Times New Roman"/>
          <w:color w:val="000000"/>
          <w:sz w:val="24"/>
          <w:u w:val="single"/>
        </w:rPr>
        <w:t>Exhibit A-1</w:t>
      </w:r>
      <w:r>
        <w:rPr>
          <w:rFonts w:ascii="Times New Roman" w:hAnsi="Times New Roman"/>
          <w:color w:val="000000"/>
          <w:sz w:val="24"/>
        </w:rPr>
        <w:t>, the April 2025 Common Stock Purchase Warrants (the “</w:t>
      </w:r>
      <w:r>
        <w:rPr>
          <w:rFonts w:ascii="Times New Roman" w:hAnsi="Times New Roman"/>
          <w:color w:val="000000"/>
          <w:sz w:val="24"/>
          <w:u w:val="single"/>
        </w:rPr>
        <w:t>April 2025 Warrants</w:t>
      </w:r>
      <w:r>
        <w:rPr>
          <w:rFonts w:ascii="Times New Roman" w:hAnsi="Times New Roman"/>
          <w:color w:val="000000"/>
          <w:sz w:val="20"/>
        </w:rPr>
        <w:t>”</w:t>
      </w:r>
      <w:r>
        <w:rPr>
          <w:rFonts w:ascii="Times New Roman" w:hAnsi="Times New Roman"/>
          <w:color w:val="000000"/>
          <w:sz w:val="24"/>
        </w:rPr>
        <w:t xml:space="preserve">) currently held by you and issued on April 3, 2025 attached hereto as </w:t>
      </w:r>
      <w:r>
        <w:rPr>
          <w:rFonts w:ascii="Times New Roman" w:hAnsi="Times New Roman"/>
          <w:color w:val="000000"/>
          <w:sz w:val="24"/>
          <w:u w:val="single"/>
        </w:rPr>
        <w:t>Exhibit A-2,</w:t>
      </w:r>
      <w:r>
        <w:rPr>
          <w:rFonts w:ascii="Times New Roman" w:hAnsi="Times New Roman"/>
          <w:color w:val="000000"/>
          <w:sz w:val="20"/>
        </w:rPr>
        <w:t xml:space="preserve"> </w:t>
      </w:r>
      <w:r>
        <w:rPr>
          <w:rFonts w:ascii="Times New Roman" w:hAnsi="Times New Roman"/>
          <w:color w:val="000000"/>
          <w:sz w:val="24"/>
        </w:rPr>
        <w:t>and the December 2024 Common Stock Purchase Warrants (the “</w:t>
      </w:r>
      <w:r>
        <w:rPr>
          <w:rFonts w:ascii="Times New Roman" w:hAnsi="Times New Roman"/>
          <w:color w:val="000000"/>
          <w:sz w:val="24"/>
          <w:u w:val="single"/>
        </w:rPr>
        <w:t>December 2024 Warrants</w:t>
      </w:r>
      <w:r>
        <w:rPr>
          <w:rFonts w:ascii="Times New Roman" w:hAnsi="Times New Roman"/>
          <w:color w:val="000000"/>
          <w:sz w:val="20"/>
        </w:rPr>
        <w:t>”</w:t>
      </w:r>
      <w:r>
        <w:rPr>
          <w:rFonts w:ascii="Times New Roman" w:hAnsi="Times New Roman"/>
          <w:color w:val="000000"/>
          <w:sz w:val="24"/>
        </w:rPr>
        <w:t xml:space="preserve">) currently held by you and issued on December 12, 2024 attached hereto as </w:t>
      </w:r>
      <w:r>
        <w:rPr>
          <w:rFonts w:ascii="Times New Roman" w:hAnsi="Times New Roman"/>
          <w:color w:val="000000"/>
          <w:sz w:val="24"/>
          <w:u w:val="single"/>
        </w:rPr>
        <w:t>Exhibit A-3</w:t>
      </w:r>
      <w:r>
        <w:rPr>
          <w:rFonts w:ascii="Times New Roman" w:hAnsi="Times New Roman"/>
          <w:color w:val="000000"/>
          <w:sz w:val="24"/>
        </w:rPr>
        <w:t>. The December 2024 Warrants, together with the June 2025 Warrants and April 2025 Warrants the “</w:t>
      </w:r>
      <w:r>
        <w:rPr>
          <w:rFonts w:ascii="Times New Roman" w:hAnsi="Times New Roman"/>
          <w:color w:val="000000"/>
          <w:sz w:val="24"/>
          <w:u w:val="single"/>
        </w:rPr>
        <w:t>Existing Warrants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shares of Common Stock underlying the June 2025 Warrants (the “</w:t>
      </w:r>
      <w:r>
        <w:rPr>
          <w:rFonts w:ascii="Times New Roman" w:hAnsi="Times New Roman"/>
          <w:color w:val="000000"/>
          <w:sz w:val="24"/>
          <w:u w:val="single"/>
        </w:rPr>
        <w:t>June 2025 Warrant Shares</w:t>
      </w:r>
      <w:r>
        <w:rPr>
          <w:rFonts w:ascii="Times New Roman" w:hAnsi="Times New Roman"/>
          <w:color w:val="000000"/>
          <w:sz w:val="20"/>
        </w:rPr>
        <w:t>”</w:t>
      </w:r>
      <w:r>
        <w:rPr>
          <w:rFonts w:ascii="Times New Roman" w:hAnsi="Times New Roman"/>
          <w:color w:val="000000"/>
          <w:sz w:val="24"/>
        </w:rPr>
        <w:t>) have been registered pursuant to registration statements on Form S-1 (File No. 333-288061) and Form S-1MEF (File No. 333-288134),(collectively, the “J</w:t>
      </w:r>
      <w:r>
        <w:rPr>
          <w:rFonts w:ascii="Times New Roman" w:hAnsi="Times New Roman"/>
          <w:color w:val="000000"/>
          <w:sz w:val="24"/>
          <w:u w:val="single"/>
        </w:rPr>
        <w:t>une Registration Statement</w:t>
      </w:r>
      <w:r>
        <w:rPr>
          <w:rFonts w:ascii="Times New Roman" w:hAnsi="Times New Roman"/>
          <w:color w:val="000000"/>
          <w:sz w:val="20"/>
        </w:rPr>
        <w:t>”</w:t>
      </w:r>
      <w:r>
        <w:rPr>
          <w:rFonts w:ascii="Times New Roman" w:hAnsi="Times New Roman"/>
          <w:color w:val="000000"/>
          <w:sz w:val="24"/>
        </w:rPr>
        <w:t>), the shares of Common Stock underlying the April 2025 Warrants (the “</w:t>
      </w:r>
      <w:r>
        <w:rPr>
          <w:rFonts w:ascii="Times New Roman" w:hAnsi="Times New Roman"/>
          <w:color w:val="000000"/>
          <w:sz w:val="24"/>
          <w:u w:val="single"/>
        </w:rPr>
        <w:t>April 2025 Warrant Shares</w:t>
      </w:r>
      <w:r>
        <w:rPr>
          <w:rFonts w:ascii="Times New Roman" w:hAnsi="Times New Roman"/>
          <w:color w:val="000000"/>
          <w:sz w:val="20"/>
        </w:rPr>
        <w:t>”</w:t>
      </w:r>
      <w:r>
        <w:rPr>
          <w:rFonts w:ascii="Times New Roman" w:hAnsi="Times New Roman"/>
          <w:color w:val="000000"/>
          <w:sz w:val="24"/>
        </w:rPr>
        <w:t>) have been registered pursuant to registration statements on Form S-3 (File No. 333-284969), (the “A</w:t>
      </w:r>
      <w:r>
        <w:rPr>
          <w:rFonts w:ascii="Times New Roman" w:hAnsi="Times New Roman"/>
          <w:color w:val="000000"/>
          <w:sz w:val="24"/>
          <w:u w:val="single"/>
        </w:rPr>
        <w:t>pril Registration Statement</w:t>
      </w:r>
      <w:r>
        <w:rPr>
          <w:rFonts w:ascii="Times New Roman" w:hAnsi="Times New Roman"/>
          <w:color w:val="000000"/>
          <w:sz w:val="20"/>
        </w:rPr>
        <w:t>”</w:t>
      </w:r>
      <w:r>
        <w:rPr>
          <w:rFonts w:ascii="Times New Roman" w:hAnsi="Times New Roman"/>
          <w:color w:val="000000"/>
          <w:sz w:val="24"/>
        </w:rPr>
        <w:t>) and the shares of Common Stock underlying the December 2024 Warrants (the “</w:t>
      </w:r>
      <w:r>
        <w:rPr>
          <w:rFonts w:ascii="Times New Roman" w:hAnsi="Times New Roman"/>
          <w:color w:val="000000"/>
          <w:sz w:val="24"/>
          <w:u w:val="single"/>
        </w:rPr>
        <w:t>December 2024 Warrant Shares</w:t>
      </w:r>
      <w:r>
        <w:rPr>
          <w:rFonts w:ascii="Times New Roman" w:hAnsi="Times New Roman"/>
          <w:color w:val="000000"/>
          <w:sz w:val="20"/>
        </w:rPr>
        <w:t>”</w:t>
      </w:r>
      <w:r>
        <w:rPr>
          <w:rFonts w:ascii="Times New Roman" w:hAnsi="Times New Roman"/>
          <w:color w:val="000000"/>
          <w:sz w:val="24"/>
        </w:rPr>
        <w:t>) have been registered pursuant to registration statements on Form S-3 (File No. 333-283983), (the “</w:t>
      </w:r>
      <w:r>
        <w:rPr>
          <w:rFonts w:ascii="Times New Roman" w:hAnsi="Times New Roman"/>
          <w:color w:val="000000"/>
          <w:sz w:val="24"/>
          <w:u w:val="single"/>
        </w:rPr>
        <w:t>December Registration Statement</w:t>
      </w:r>
      <w:r>
        <w:rPr>
          <w:rFonts w:ascii="Times New Roman" w:hAnsi="Times New Roman"/>
          <w:color w:val="000000"/>
          <w:sz w:val="20"/>
        </w:rPr>
        <w:t>”</w:t>
      </w:r>
      <w:r>
        <w:rPr>
          <w:rFonts w:ascii="Times New Roman" w:hAnsi="Times New Roman"/>
          <w:color w:val="000000"/>
          <w:sz w:val="24"/>
        </w:rPr>
        <w:t>) (collectively with the June Registration Statement and the April Registration Statement, the “</w:t>
      </w:r>
      <w:r>
        <w:rPr>
          <w:rFonts w:ascii="Times New Roman" w:hAnsi="Times New Roman"/>
          <w:color w:val="000000"/>
          <w:sz w:val="24"/>
          <w:u w:val="single"/>
        </w:rPr>
        <w:t>Registration Statements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Registration Statements are currently effective and, upon exercise of the Existing Warrants pursuant to this letter agreement, will be effective for the issuance or resale of the Existing Warrant Shares. Capitalized terms not otherwise defined herein shall have the meanings set forth in the New Warrants (as defined herein).</w:t>
      </w:r>
    </w:p>
    <w:p>
      <w:pPr>
        <w:pStyle w:val="TextBody"/>
        <w:bidi w:val="0"/>
        <w:jc w:val="both"/>
        <w:rPr>
          <w:rFonts w:ascii="Times New Roman" w:hAnsi="Times New Roman"/>
          <w:sz w:val="20"/>
        </w:rPr>
      </w:pPr>
      <w:r>
        <w:rPr>
          <w:rFonts w:ascii="Times New Roman" w:hAnsi="Times New Roman"/>
          <w:color w:val="000000"/>
          <w:sz w:val="24"/>
        </w:rPr>
        <w:t>Pursuant to Section 3(h) of the Existing Warrants, the Company desires to reduce the Exercise Price (as defined in the respective Existing Warrants) of the Existing Warrants to $4.03 per share (the “</w:t>
      </w:r>
      <w:r>
        <w:rPr>
          <w:rFonts w:ascii="Times New Roman" w:hAnsi="Times New Roman"/>
          <w:color w:val="000000"/>
          <w:sz w:val="24"/>
          <w:u w:val="single"/>
        </w:rPr>
        <w:t>Reduced Exercise Price</w:t>
      </w:r>
      <w:r>
        <w:rPr>
          <w:rFonts w:ascii="Times New Roman" w:hAnsi="Times New Roman"/>
          <w:color w:val="000000"/>
          <w:sz w:val="20"/>
        </w:rPr>
        <w:t>”</w:t>
      </w:r>
      <w:r>
        <w:rPr>
          <w:rFonts w:ascii="Times New Roman" w:hAnsi="Times New Roman"/>
          <w:color w:val="000000"/>
          <w:sz w:val="24"/>
        </w:rPr>
        <w:t>). In consideration for the exercise in full for cash of all of the Existing Warrants held by the Holder at the Reduced Exercise Price as set forth on the Holder’s signature page hereto (the “</w:t>
      </w:r>
      <w:r>
        <w:rPr>
          <w:rFonts w:ascii="Times New Roman" w:hAnsi="Times New Roman"/>
          <w:color w:val="000000"/>
          <w:sz w:val="24"/>
          <w:u w:val="single"/>
        </w:rPr>
        <w:t>Warrant Exercise</w:t>
      </w:r>
      <w:r>
        <w:rPr>
          <w:rFonts w:ascii="Times New Roman" w:hAnsi="Times New Roman"/>
          <w:color w:val="000000"/>
          <w:sz w:val="20"/>
        </w:rPr>
        <w:t>”</w:t>
      </w:r>
      <w:r>
        <w:rPr>
          <w:rFonts w:ascii="Times New Roman" w:hAnsi="Times New Roman"/>
          <w:color w:val="000000"/>
          <w:sz w:val="24"/>
        </w:rPr>
        <w:t>) on or before the Execution Time (as defined below), the Company hereby offers to sell and issue you new unregistered Common Stock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purchase warrants (the “</w:t>
      </w:r>
      <w:r>
        <w:rPr>
          <w:rFonts w:ascii="Times New Roman" w:hAnsi="Times New Roman"/>
          <w:color w:val="000000"/>
          <w:sz w:val="24"/>
          <w:u w:val="single"/>
        </w:rPr>
        <w:t>New Warrants</w:t>
      </w:r>
      <w:r>
        <w:rPr>
          <w:rFonts w:ascii="Times New Roman" w:hAnsi="Times New Roman"/>
          <w:color w:val="000000"/>
          <w:sz w:val="20"/>
        </w:rPr>
        <w:t>”</w:t>
      </w:r>
      <w:r>
        <w:rPr>
          <w:rFonts w:ascii="Times New Roman" w:hAnsi="Times New Roman"/>
          <w:color w:val="000000"/>
          <w:sz w:val="24"/>
        </w:rPr>
        <w:t>) pursuant to Section 4(a)(2) of the Securities Act of 1933, as amended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to purchase up to a number of shares (the “</w:t>
      </w:r>
      <w:r>
        <w:rPr>
          <w:rFonts w:ascii="Times New Roman" w:hAnsi="Times New Roman"/>
          <w:color w:val="000000"/>
          <w:sz w:val="24"/>
          <w:u w:val="single"/>
        </w:rPr>
        <w:t>New Warrant Shares</w:t>
      </w:r>
      <w:r>
        <w:rPr>
          <w:rFonts w:ascii="Times New Roman" w:hAnsi="Times New Roman"/>
          <w:color w:val="000000"/>
          <w:sz w:val="20"/>
        </w:rPr>
        <w:t>”</w:t>
      </w:r>
      <w:r>
        <w:rPr>
          <w:rFonts w:ascii="Times New Roman" w:hAnsi="Times New Roman"/>
          <w:color w:val="000000"/>
          <w:sz w:val="24"/>
        </w:rPr>
        <w:t xml:space="preserve">) of Common Stock equal to 500% of the number of Existing Warrant Shares issued pursuant to the Warrant Exercise hereunder, which New Warrants shall have an exercise price per share equal to $4.03, subject to adjustment as provided in the New Warrants, will be exercisable upon the Stockholder Approval Date (as defined in the New Warrant) and have a term of exercise of five years, which New Warrants shall be substantially in the form as set forth in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New Warrant certificate(s) will be delivered at Closing (as defined below), and such New Warrants, together with any underlying shares of Common Stock issued upon exercise of the New Warrants, will, unless and until their sales are registered under the Securities Act,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 w:hAnsi="Times New Roman"/>
          <w:color w:val="000000"/>
          <w:sz w:val="24"/>
          <w:u w:val="single"/>
        </w:rPr>
        <w:t>Beneficial Ownership Limitation</w:t>
      </w:r>
      <w:r>
        <w:rPr>
          <w:rFonts w:ascii="Times New Roman" w:hAnsi="Times New Roman"/>
          <w:color w:val="000000"/>
          <w:sz w:val="20"/>
        </w:rPr>
        <w:t>”</w:t>
      </w:r>
      <w:r>
        <w:rPr>
          <w:rFonts w:ascii="Times New Roman" w:hAnsi="Times New Roman"/>
          <w:color w:val="000000"/>
          <w:sz w:val="24"/>
        </w:rPr>
        <w:t>) set forth in Section 2(e) of the Existing Warrants (or, if applicable and at the Holder’s election, 9.99%), the Company shall only issue such number of Existing Warrant Shares to the Holder that would not cause the Holder to exceed the maximum number of Existing Warrant Shares permitted thereunder, as directed by the Holder, with the balance to be held in abeyance until notice from the Holder that the balance (or portion thereof) may be issued in compliance with such Beneficial Ownership Limitation, which abeyance shall be evidenced through the Existing Warrants which shall be deemed prepaid thereafter (including the cash payment in full of the exercise price), and exercised pursuant to a Notice of Exercise in the Existing Warrants (provided that no additional exercise price shall be due and payable). The parties hereby agree that the Beneficial Ownership Limitation for purposes of the Existing Warrants is as set forth on the Holder’s signature page 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Upon any Warrant Exercise, the Holder shall be deemed to have waived any voting rights of any Existing Warrant Shares during the period commencing as of the time of execution of this letter agreement by the Holder, through, and including, such applicable Warrant Share Delivery Date (as defined in the Existing Warrant), as necessary, such that the aggregate voting rights of any Common Stock (including such Existing Warrant Shares) beneficially owned by the Holder and/or any Attribution Parties, collectively, on any such date of determination shall not exceed the applicable Beneficial Ownership Limitation as a result of any such exercise of any Existing Warrants.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Expressly subject to the paragraph immediately following this paragraph and the Beneficial Ownership Limitation set forth above, Holder may accept this offer by signing this letter agreement below, with such acceptance constituting Holder’s exercise in full of the Existing Warrants for an aggregate exercise price set forth on the Holder’s signature page hereto (the “</w:t>
      </w:r>
      <w:r>
        <w:rPr>
          <w:rFonts w:ascii="Times New Roman" w:hAnsi="Times New Roman"/>
          <w:color w:val="000000"/>
          <w:sz w:val="24"/>
          <w:u w:val="single"/>
        </w:rPr>
        <w:t>Warrant Exercise Price</w:t>
      </w:r>
      <w:r>
        <w:rPr>
          <w:rFonts w:ascii="Times New Roman" w:hAnsi="Times New Roman"/>
          <w:color w:val="000000"/>
          <w:sz w:val="20"/>
        </w:rPr>
        <w:t>”</w:t>
      </w:r>
      <w:r>
        <w:rPr>
          <w:rFonts w:ascii="Times New Roman" w:hAnsi="Times New Roman"/>
          <w:color w:val="000000"/>
          <w:sz w:val="24"/>
        </w:rPr>
        <w:t>) on or before 9:30 a.m, Eastern Time, on August 12, 2026 (the “</w:t>
      </w:r>
      <w:r>
        <w:rPr>
          <w:rFonts w:ascii="Times New Roman" w:hAnsi="Times New Roman"/>
          <w:color w:val="000000"/>
          <w:sz w:val="24"/>
          <w:u w:val="single"/>
        </w:rPr>
        <w:t>Execution Time</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 xml:space="preserve">Additionally, the Company agrees to the representations, warranties and covenants set forth on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attached hereto. 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shares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 xml:space="preserve">of Common Stock issuable upon exercise of the New Warrants will be registered under the Securities Act, except as provided in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attached hereto.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w:t>
      </w:r>
    </w:p>
    <w:p>
      <w:pPr>
        <w:pStyle w:val="TextBody"/>
        <w:bidi w:val="0"/>
        <w:jc w:val="both"/>
        <w:rPr>
          <w:rFonts w:ascii="Times New Roman" w:hAnsi="Times New Roman"/>
          <w:color w:val="000000"/>
          <w:sz w:val="24"/>
        </w:rPr>
      </w:pPr>
      <w:r>
        <w:rPr>
          <w:rFonts w:ascii="Times New Roman" w:hAnsi="Times New Roman"/>
          <w:color w:val="000000"/>
          <w:sz w:val="24"/>
        </w:rPr>
        <w:t>The Holder understands that issuance of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pStyle w:val="TextBody"/>
        <w:bidi w:val="0"/>
        <w:jc w:val="both"/>
        <w:rPr/>
      </w:pPr>
      <w:r>
        <w:rPr>
          <w:color w:val="000000"/>
        </w:rPr>
        <w:t>“</w:t>
      </w:r>
      <w:r>
        <w:rPr>
          <w:rFonts w:ascii="Times New Roman" w:hAnsi="Times New Roman"/>
          <w:color w:val="000000"/>
          <w:sz w:val="24"/>
        </w:rPr>
        <w:t>THIS WARRANT AND THE COMMON STOCK ISSUABLE UPON THE EXERCISE OF THIS WARRANT (THE “SECURITIES”) HAVE NOT BEEN REGISTERED UNDER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Warrants), without the requirement for the Company to be in compliance with the current public information required under Rule 144 as to such New Warrant Shares and without volume or manner-of-sale restrictions, (iv) if such New Warrant Shares may be sold under Rule 144 and the Holder is not an affiliate of the Company (assuming cashless exercise of the New Warrants) and the Company is then in compliance with the current public information required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 w:hAnsi="Times New Roman"/>
          <w:color w:val="000000"/>
          <w:sz w:val="24"/>
          <w:u w:val="single"/>
        </w:rPr>
        <w:t>Commission</w:t>
      </w:r>
      <w:r>
        <w:rPr>
          <w:rFonts w:ascii="Times New Roman" w:hAnsi="Times New Roman"/>
          <w:color w:val="000000"/>
          <w:sz w:val="20"/>
        </w:rPr>
        <w:t>”</w:t>
      </w:r>
      <w:r>
        <w:rPr>
          <w:rFonts w:ascii="Times New Roman" w:hAnsi="Times New Roman"/>
          <w:color w:val="000000"/>
          <w:sz w:val="24"/>
        </w:rPr>
        <w:t>) and the earliest of clauses (i) through (v), the “</w:t>
      </w:r>
      <w:r>
        <w:rPr>
          <w:rFonts w:ascii="Times New Roman" w:hAnsi="Times New Roman"/>
          <w:color w:val="000000"/>
          <w:sz w:val="24"/>
          <w:u w:val="single"/>
        </w:rPr>
        <w:t>Delegend Date</w:t>
      </w:r>
      <w:r>
        <w:rPr>
          <w:rFonts w:ascii="Times New Roman" w:hAnsi="Times New Roman"/>
          <w:color w:val="000000"/>
          <w:sz w:val="20"/>
        </w:rPr>
        <w:t>”</w:t>
      </w:r>
      <w:r>
        <w:rPr>
          <w:rFonts w:ascii="Times New Roman" w:hAnsi="Times New Roman"/>
          <w:color w:val="000000"/>
          <w:sz w:val="24"/>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Warrant Shares shall be issued free of all legends. The Company agrees that following the Delegend Date or at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such time as such legend is no longer required under this Section, it will, no later than two (2) Trading Days or the standard settlement period, whichever is earlier, following the delivery by the Holder to the Company or the Transfer Agent of a certificate representing the New Warrant Shares issued with a restrictive legend (such date, the “</w:t>
      </w:r>
      <w:r>
        <w:rPr>
          <w:rFonts w:ascii="Times New Roman" w:hAnsi="Times New Roman"/>
          <w:color w:val="000000"/>
          <w:sz w:val="24"/>
          <w:u w:val="single"/>
        </w:rPr>
        <w:t>Legend Removal Date</w:t>
      </w:r>
      <w:r>
        <w:rPr>
          <w:rFonts w:ascii="Times New Roman" w:hAnsi="Times New Roman"/>
          <w:color w:val="000000"/>
          <w:sz w:val="20"/>
        </w:rPr>
        <w:t>”</w:t>
      </w:r>
      <w:r>
        <w:rPr>
          <w:rFonts w:ascii="Times New Roman" w:hAnsi="Times New Roman"/>
          <w:color w:val="000000"/>
          <w:sz w:val="24"/>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Warrant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If this offer is accepted and the transaction documents are executed by the Execution Time, then as promptly as possible following the Execution Time, but in any event no later than 10 a.m., Eastern Time, on the date hereof, the Company shall issue a press release disclosing the material terms of the transactions contemplated hereby and by the Purchase Agreement (as defined below) and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Warrant Shares shall be issued at Closing free of any legends or restrictions on resale by Holder.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 later than the first (1st) Trading Day following the date of the public disclosure of the transactions hereunder, the closing (“</w:t>
      </w:r>
      <w:r>
        <w:rPr>
          <w:rFonts w:ascii="Times New Roman" w:hAnsi="Times New Roman"/>
          <w:color w:val="000000"/>
          <w:sz w:val="24"/>
          <w:u w:val="single"/>
        </w:rPr>
        <w:t>Closing</w:t>
      </w:r>
      <w:r>
        <w:rPr>
          <w:rFonts w:ascii="Times New Roman" w:hAnsi="Times New Roman"/>
          <w:color w:val="000000"/>
          <w:sz w:val="20"/>
        </w:rPr>
        <w:t>”</w:t>
      </w:r>
      <w:r>
        <w:rPr>
          <w:rFonts w:ascii="Times New Roman" w:hAnsi="Times New Roman"/>
          <w:color w:val="000000"/>
          <w:sz w:val="24"/>
        </w:rPr>
        <w:t>) shall occur at such location as the parties shall mutually agree. Unless otherwise directed by Roth Capital Partners, LLC (the “</w:t>
      </w:r>
      <w:r>
        <w:rPr>
          <w:rFonts w:ascii="Times New Roman" w:hAnsi="Times New Roman"/>
          <w:color w:val="000000"/>
          <w:sz w:val="24"/>
          <w:u w:val="single"/>
        </w:rPr>
        <w:t>Placement Agent</w:t>
      </w:r>
      <w:r>
        <w:rPr>
          <w:rFonts w:ascii="Times New Roman" w:hAnsi="Times New Roman"/>
          <w:color w:val="000000"/>
          <w:sz w:val="20"/>
        </w:rPr>
        <w:t>”</w:t>
      </w:r>
      <w:r>
        <w:rPr>
          <w:rFonts w:ascii="Times New Roman" w:hAnsi="Times New Roman"/>
          <w:color w:val="000000"/>
          <w:sz w:val="24"/>
        </w:rPr>
        <w:t>), settlement of the Existing Warrant Shares shall occur via “Delivery Versus Payment” (“</w:t>
      </w:r>
      <w:r>
        <w:rPr>
          <w:rFonts w:ascii="Times New Roman" w:hAnsi="Times New Roman"/>
          <w:color w:val="000000"/>
          <w:sz w:val="24"/>
          <w:u w:val="single"/>
        </w:rPr>
        <w:t>DVP</w:t>
      </w:r>
      <w:r>
        <w:rPr>
          <w:rFonts w:ascii="Times New Roman" w:hAnsi="Times New Roman"/>
          <w:color w:val="000000"/>
          <w:sz w:val="20"/>
        </w:rPr>
        <w:t>”</w:t>
      </w:r>
      <w:r>
        <w:rPr>
          <w:rFonts w:ascii="Times New Roman" w:hAnsi="Times New Roman"/>
          <w:color w:val="000000"/>
          <w:sz w:val="24"/>
        </w:rPr>
        <w:t>) (i.e., on the Closing Date (as defined below), the Company shall issue the Existing Warrant Shares registered in the Holder’s name and address provided to the Company in writing and released by the Transfer Agent directly to the account(s) at the Placement Agent identified by the Holder; upon receipt of such Warrant Shares, the Placement Agent shall promptly electronically deliver such Warrant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hAnsi="Times New Roman"/>
          <w:color w:val="000000"/>
          <w:sz w:val="24"/>
          <w:u w:val="single"/>
        </w:rPr>
        <w:t>Closing Date</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Company acknowledges and agrees that the obligations of the Holders under this letter agreement are several and not joint with the obligations of any other holder or holders of Existing Warrants or other warrants of the Company (each, an “</w:t>
      </w:r>
      <w:r>
        <w:rPr>
          <w:rFonts w:ascii="Times New Roman" w:hAnsi="Times New Roman"/>
          <w:color w:val="000000"/>
          <w:sz w:val="24"/>
          <w:u w:val="single"/>
        </w:rPr>
        <w:t>Other Holder</w:t>
      </w:r>
      <w:r>
        <w:rPr>
          <w:rFonts w:ascii="Times New Roman" w:hAnsi="Times New Roman"/>
          <w:color w:val="000000"/>
          <w:sz w:val="20"/>
        </w:rPr>
        <w:t>”</w:t>
      </w:r>
      <w:r>
        <w:rPr>
          <w:rFonts w:ascii="Times New Roman" w:hAnsi="Times New Roman"/>
          <w:color w:val="000000"/>
          <w:sz w:val="24"/>
        </w:rPr>
        <w:t>) under any other agreement related to the exercise of such warrants (“</w:t>
      </w:r>
      <w:r>
        <w:rPr>
          <w:rFonts w:ascii="Times New Roman" w:hAnsi="Times New Roman"/>
          <w:color w:val="000000"/>
          <w:sz w:val="24"/>
          <w:u w:val="single"/>
        </w:rPr>
        <w:t>Other Warrant Exercise Agreement</w:t>
      </w:r>
      <w:r>
        <w:rPr>
          <w:rFonts w:ascii="Times New Roman" w:hAnsi="Times New Roman"/>
          <w:color w:val="000000"/>
          <w:sz w:val="20"/>
        </w:rPr>
        <w:t>”</w:t>
      </w:r>
      <w:r>
        <w:rPr>
          <w:rFonts w:ascii="Times New Roman" w:hAnsi="Times New Roman"/>
          <w:color w:val="000000"/>
          <w:sz w:val="24"/>
        </w:rPr>
        <w:t>), and the Holder shall not be responsible in any way for the performance of the obligations of any Other Holder or under any such Other Warrant Exercise Agreement. Nothing contained in this letter agreement, and no action taken by the Holders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letter agreement and the Company acknowledges that the Holder and the Other Holders are not acting in concert or as a group with respect to such obligations or the transactions contemplated by this letter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letter agreement, and it shall not be necessary for any Other Holder to be joined as an additional party in any proceeding for such purpose.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Company shall pay all transfer agent fees, stamp taxes and other taxes and duties levied in connection with the delivery of any Existing Warrant Shares. This letter agreement shall be construed and enforced in accordance with the laws of the State of New York, without regards to conflicts of laws principles. Each party hereby irrevocably submits to the exclusive jurisdiction of the state and federal courts sitting in the City of New York, Borough of Manhattan for the adjudication of any dispute hereunder or in connection herewith or with any transaction contemplated hereby.</w:t>
      </w:r>
      <w:r>
        <w:rPr>
          <w:rFonts w:ascii="Times New Roman" w:hAnsi="Times New Roman"/>
          <w:color w:val="000000"/>
          <w:sz w:val="20"/>
        </w:rPr>
        <w:t xml:space="preserve"> </w:t>
      </w:r>
    </w:p>
    <w:tbl>
      <w:tblPr>
        <w:tblW w:w="3859" w:type="dxa"/>
        <w:jc w:val="left"/>
        <w:tblInd w:w="0" w:type="dxa"/>
        <w:tblLayout w:type="fixed"/>
        <w:tblCellMar>
          <w:top w:w="28" w:type="dxa"/>
          <w:left w:w="28" w:type="dxa"/>
          <w:bottom w:w="28" w:type="dxa"/>
          <w:right w:w="28" w:type="dxa"/>
        </w:tblCellMar>
      </w:tblPr>
      <w:tblGrid>
        <w:gridCol w:w="124"/>
        <w:gridCol w:w="2679"/>
        <w:gridCol w:w="1056"/>
      </w:tblGrid>
      <w:tr>
        <w:trPr/>
        <w:tc>
          <w:tcPr>
            <w:tcW w:w="124"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Sincerely yours,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4"/>
              </w:rPr>
            </w:pPr>
            <w:r>
              <w:rPr>
                <w:rFonts w:ascii="Times New Roman" w:hAnsi="Times New Roman"/>
                <w:b/>
                <w:caps/>
                <w:color w:val="000000"/>
                <w:sz w:val="24"/>
              </w:rPr>
              <w:t>APTEVO THERAPEUTICS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0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51" w:type="dxa"/>
        <w:jc w:val="left"/>
        <w:tblInd w:w="0" w:type="dxa"/>
        <w:tblLayout w:type="fixed"/>
        <w:tblCellMar>
          <w:top w:w="28" w:type="dxa"/>
          <w:left w:w="28" w:type="dxa"/>
          <w:bottom w:w="28" w:type="dxa"/>
          <w:right w:w="28" w:type="dxa"/>
        </w:tblCellMar>
      </w:tblPr>
      <w:tblGrid>
        <w:gridCol w:w="124"/>
        <w:gridCol w:w="736"/>
        <w:gridCol w:w="191"/>
      </w:tblGrid>
      <w:tr>
        <w:trPr/>
        <w:tc>
          <w:tcPr>
            <w:tcW w:w="1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Annex A</w:t>
      </w:r>
    </w:p>
    <w:p>
      <w:pPr>
        <w:pStyle w:val="TextBody"/>
        <w:bidi w:val="0"/>
        <w:jc w:val="both"/>
        <w:rPr>
          <w:rFonts w:ascii="Times New Roman" w:hAnsi="Times New Roman"/>
          <w:sz w:val="20"/>
        </w:rPr>
      </w:pPr>
      <w:r>
        <w:rPr>
          <w:rFonts w:ascii="Times New Roman" w:hAnsi="Times New Roman"/>
          <w:color w:val="000000"/>
          <w:sz w:val="24"/>
          <w:u w:val="single"/>
        </w:rPr>
        <w:t>Representations, Warranties and Covenants of the Company</w:t>
      </w:r>
      <w:r>
        <w:rPr>
          <w:rFonts w:ascii="Times New Roman" w:hAnsi="Times New Roman"/>
          <w:color w:val="000000"/>
          <w:sz w:val="24"/>
        </w:rPr>
        <w:t>. The Company hereby makes the following representations and warranties to the Holder:</w:t>
      </w:r>
    </w:p>
    <w:tbl>
      <w:tblPr>
        <w:tblW w:w="10205" w:type="dxa"/>
        <w:jc w:val="left"/>
        <w:tblInd w:w="0" w:type="dxa"/>
        <w:tblLayout w:type="fixed"/>
        <w:tblCellMar>
          <w:top w:w="28" w:type="dxa"/>
          <w:left w:w="28" w:type="dxa"/>
          <w:bottom w:w="28" w:type="dxa"/>
          <w:right w:w="28" w:type="dxa"/>
        </w:tblCellMar>
      </w:tblPr>
      <w:tblGrid>
        <w:gridCol w:w="161"/>
        <w:gridCol w:w="216"/>
        <w:gridCol w:w="9828"/>
      </w:tblGrid>
      <w:tr>
        <w:trPr/>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2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982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Capitalization; SEC Reports</w:t>
            </w:r>
            <w:r>
              <w:rPr>
                <w:rFonts w:ascii="Times New Roman" w:hAnsi="Times New Roman"/>
                <w:color w:val="000000"/>
                <w:sz w:val="24"/>
              </w:rPr>
              <w:t>. The Company hereby represents and warrants that as of the date of this Inducement Offer there are 1,555,293 shares of Common Stock issued and outstanding, without giving effect to the exercise of any Existing Warrants pursuant to the terms of this Inducement Offer or any Other Warrant Exercise Agreement.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hAnsi="Times New Roman"/>
                <w:color w:val="000000"/>
                <w:sz w:val="24"/>
                <w:u w:val="single"/>
              </w:rPr>
              <w:t>SEC Reports</w:t>
            </w:r>
            <w:r>
              <w:rPr>
                <w:rFonts w:ascii="Times New Roman" w:hAnsi="Times New Roman"/>
                <w:color w:val="000000"/>
                <w:sz w:val="24"/>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tc>
      </w:tr>
    </w:tbl>
    <w:tbl>
      <w:tblPr>
        <w:tblW w:w="10205" w:type="dxa"/>
        <w:jc w:val="left"/>
        <w:tblInd w:w="0" w:type="dxa"/>
        <w:tblLayout w:type="fixed"/>
        <w:tblCellMar>
          <w:top w:w="28" w:type="dxa"/>
          <w:left w:w="28" w:type="dxa"/>
          <w:bottom w:w="28" w:type="dxa"/>
          <w:right w:w="28" w:type="dxa"/>
        </w:tblCellMar>
      </w:tblPr>
      <w:tblGrid>
        <w:gridCol w:w="161"/>
        <w:gridCol w:w="231"/>
        <w:gridCol w:w="9813"/>
      </w:tblGrid>
      <w:tr>
        <w:trPr/>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1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98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Authorization; Enforcement</w:t>
            </w:r>
            <w:r>
              <w:rPr>
                <w:rFonts w:ascii="Times New Roman" w:hAnsi="Times New Roman"/>
                <w:color w:val="000000"/>
                <w:sz w:val="24"/>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tc>
      </w:tr>
    </w:tbl>
    <w:tbl>
      <w:tblPr>
        <w:tblW w:w="10205" w:type="dxa"/>
        <w:jc w:val="left"/>
        <w:tblInd w:w="0" w:type="dxa"/>
        <w:tblLayout w:type="fixed"/>
        <w:tblCellMar>
          <w:top w:w="28" w:type="dxa"/>
          <w:left w:w="28" w:type="dxa"/>
          <w:bottom w:w="28" w:type="dxa"/>
          <w:right w:w="28" w:type="dxa"/>
        </w:tblCellMar>
      </w:tblPr>
      <w:tblGrid>
        <w:gridCol w:w="161"/>
        <w:gridCol w:w="221"/>
        <w:gridCol w:w="9823"/>
      </w:tblGrid>
      <w:tr>
        <w:trPr/>
        <w:tc>
          <w:tcPr>
            <w:tcW w:w="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98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No Conflicts</w:t>
            </w:r>
            <w:r>
              <w:rPr>
                <w:rFonts w:ascii="Times New Roman" w:hAnsi="Times New Roman"/>
                <w:color w:val="000000"/>
                <w:sz w:val="24"/>
              </w:rPr>
              <w:t xml:space="preserve">.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tc>
      </w:tr>
    </w:tbl>
    <w:tbl>
      <w:tblPr>
        <w:tblW w:w="10205" w:type="dxa"/>
        <w:jc w:val="left"/>
        <w:tblInd w:w="0" w:type="dxa"/>
        <w:tblLayout w:type="fixed"/>
        <w:tblCellMar>
          <w:top w:w="28" w:type="dxa"/>
          <w:left w:w="28" w:type="dxa"/>
          <w:bottom w:w="28" w:type="dxa"/>
          <w:right w:w="28" w:type="dxa"/>
        </w:tblCellMar>
      </w:tblPr>
      <w:tblGrid>
        <w:gridCol w:w="161"/>
        <w:gridCol w:w="243"/>
        <w:gridCol w:w="9801"/>
      </w:tblGrid>
      <w:tr>
        <w:trPr/>
        <w:tc>
          <w:tcPr>
            <w:tcW w:w="1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w:t>
            </w:r>
          </w:p>
        </w:tc>
        <w:tc>
          <w:tcPr>
            <w:tcW w:w="9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Registration Obligations</w:t>
            </w:r>
            <w:r>
              <w:rPr>
                <w:rFonts w:ascii="Times New Roman" w:hAnsi="Times New Roman"/>
                <w:color w:val="000000"/>
                <w:sz w:val="24"/>
              </w:rPr>
              <w:t>. The Company and the Holder shall enter into a Registration Rights Agreement dated on or about the date hereof and the Company shall file a registration statement on Form S-1(or on Form S-3, if the Company is then S-3 eligible) providing for the resale of the New Warrant Shares by the holders of the New Warrants in accordance with such Registration Rights Agreement.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61"/>
        <w:gridCol w:w="9783"/>
      </w:tblGrid>
      <w:tr>
        <w:trPr/>
        <w:tc>
          <w:tcPr>
            <w:tcW w:w="1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8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w:t>
            </w:r>
          </w:p>
        </w:tc>
        <w:tc>
          <w:tcPr>
            <w:tcW w:w="9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Trading Market</w:t>
            </w:r>
            <w:r>
              <w:rPr>
                <w:rFonts w:ascii="Times New Roman" w:hAnsi="Times New Roman"/>
                <w:color w:val="000000"/>
                <w:sz w:val="24"/>
              </w:rPr>
              <w:t>. The transactions contemplated under this letter agreement comply with all the rules and regulations of the Nasdaq Capital Market.</w:t>
            </w:r>
          </w:p>
        </w:tc>
      </w:tr>
    </w:tbl>
    <w:tbl>
      <w:tblPr>
        <w:tblW w:w="10205" w:type="dxa"/>
        <w:jc w:val="left"/>
        <w:tblInd w:w="0" w:type="dxa"/>
        <w:tblLayout w:type="fixed"/>
        <w:tblCellMar>
          <w:top w:w="28" w:type="dxa"/>
          <w:left w:w="28" w:type="dxa"/>
          <w:bottom w:w="28" w:type="dxa"/>
          <w:right w:w="28" w:type="dxa"/>
        </w:tblCellMar>
      </w:tblPr>
      <w:tblGrid>
        <w:gridCol w:w="161"/>
        <w:gridCol w:w="187"/>
        <w:gridCol w:w="9857"/>
      </w:tblGrid>
      <w:tr>
        <w:trPr/>
        <w:tc>
          <w:tcPr>
            <w:tcW w:w="1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85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w:t>
            </w:r>
          </w:p>
        </w:tc>
        <w:tc>
          <w:tcPr>
            <w:tcW w:w="98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Filings, Consents and Approvals</w:t>
            </w:r>
            <w:r>
              <w:rPr>
                <w:rFonts w:ascii="Times New Roman" w:hAnsi="Times New Roman"/>
                <w:color w:val="000000"/>
                <w:sz w:val="24"/>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and pursuant to the Securities Purchase Agreement, dated August 12, 2026 by and between the Company and purchasers as signatories thereto (the “</w:t>
            </w:r>
            <w:r>
              <w:rPr>
                <w:rFonts w:ascii="Times New Roman" w:hAnsi="Times New Roman"/>
                <w:color w:val="000000"/>
                <w:sz w:val="24"/>
                <w:u w:val="single"/>
              </w:rPr>
              <w:t>Purchase Agreement</w:t>
            </w:r>
            <w:r>
              <w:rPr>
                <w:rFonts w:ascii="Times New Roman" w:hAnsi="Times New Roman"/>
                <w:color w:val="000000"/>
                <w:sz w:val="24"/>
              </w:rPr>
              <w:t>”), (ii) application(s) or notice to each applicable Trading Market for the listing of the New Warrants and New Warrant Shares for trading thereon in the time and manner required thereby, (iii) the filing of Form D with the Commission, (iv) such filings as are required to be made under applicable state securities laws and (v) the Stockholder Approval ( as defined in the New Warrant).</w:t>
            </w:r>
          </w:p>
        </w:tc>
      </w:tr>
    </w:tbl>
    <w:tbl>
      <w:tblPr>
        <w:tblW w:w="10205" w:type="dxa"/>
        <w:jc w:val="left"/>
        <w:tblInd w:w="0" w:type="dxa"/>
        <w:tblLayout w:type="fixed"/>
        <w:tblCellMar>
          <w:top w:w="28" w:type="dxa"/>
          <w:left w:w="28" w:type="dxa"/>
          <w:bottom w:w="28" w:type="dxa"/>
          <w:right w:w="28" w:type="dxa"/>
        </w:tblCellMar>
      </w:tblPr>
      <w:tblGrid>
        <w:gridCol w:w="161"/>
        <w:gridCol w:w="245"/>
        <w:gridCol w:w="9799"/>
      </w:tblGrid>
      <w:tr>
        <w:trPr/>
        <w:tc>
          <w:tcPr>
            <w:tcW w:w="1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w:t>
            </w:r>
          </w:p>
        </w:tc>
        <w:tc>
          <w:tcPr>
            <w:tcW w:w="97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Listing of Common Stock</w:t>
            </w:r>
            <w:r>
              <w:rPr>
                <w:rFonts w:ascii="Times New Roman" w:hAnsi="Times New Roman"/>
                <w:color w:val="000000"/>
                <w:sz w:val="24"/>
              </w:rPr>
              <w:t xml:space="preserve">. The Company hereby agrees to use best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8"/>
        <w:gridCol w:w="9816"/>
      </w:tblGrid>
      <w:tr>
        <w:trPr/>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w:t>
            </w:r>
          </w:p>
        </w:tc>
        <w:tc>
          <w:tcPr>
            <w:tcW w:w="9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Subsequent Equity Sales</w:t>
            </w:r>
            <w:r>
              <w:rPr>
                <w:rFonts w:ascii="Times New Roman" w:hAnsi="Times New Roman"/>
                <w:color w:val="000000"/>
                <w:sz w:val="24"/>
              </w:rPr>
              <w:t>. From the date hereof until thirty (30) days after the later of (i) the Stockholder Approval Date and (ii) the effectiveness of the Resale Registration Statement, neither the Company nor any Subsidiary shall (A) issue, enter into any agreement to issue or announce the issuance or proposed issuance of any Common Stock or Common Stock Equivalents or (B) file any registration statement or any amendment or supplement thereto, in each case other than as contemplated pursuant to the Registration Rights Agreement, or file a registration statement on Form S-8 in connection with any employee benefit plan. Notwithstanding the foregoing, this Section (h) shall not apply in respect of an Exempt Issuance. “</w:t>
            </w:r>
            <w:r>
              <w:rPr>
                <w:rFonts w:ascii="Times New Roman" w:hAnsi="Times New Roman"/>
                <w:color w:val="000000"/>
                <w:sz w:val="24"/>
                <w:u w:val="single"/>
              </w:rPr>
              <w:t>Exempt Issuance</w:t>
            </w:r>
            <w:r>
              <w:rPr>
                <w:rFonts w:ascii="Times New Roman" w:hAnsi="Times New Roman"/>
                <w:color w:val="000000"/>
                <w:sz w:val="24"/>
              </w:rPr>
              <w:t xml:space="preserve">”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(which may include an option exchange program or any other compensatory equity program provided to those who render services to the Company, subject to certain exceptions, (b) warrants to the Placement Agent in connection with the transactions pursuant to the Purchase Agreement and any securities upon exercise of warrants to the Placement Agent, securities upon the exercise or exchange of or conversion of any securities issued thereunder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subject to certain exceptions, (d) securities issued pursuant to the Securities Purchase Agreement dated August 12, 2026 by and between the Company and the purchasers as signatories thereto and (e) securities issued pursuant to the purchase agreements between the Company and Niowave, Inc.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i) From the date hereof until one (1) year after the Stockholder Approval Date, the Company shall be prohibited from effecting or entering into an agreement to effect any issuance by the Company or any of its Subsidiaries of Common Stock or Common Stock Equivalents (or a combination of units thereof) involving a Variable Rate Transaction.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4"/>
              </w:rPr>
              <w:t>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tc>
      </w:tr>
    </w:tbl>
    <w:tbl>
      <w:tblPr>
        <w:tblW w:w="10205" w:type="dxa"/>
        <w:jc w:val="left"/>
        <w:tblInd w:w="0" w:type="dxa"/>
        <w:tblLayout w:type="fixed"/>
        <w:tblCellMar>
          <w:top w:w="28" w:type="dxa"/>
          <w:left w:w="28" w:type="dxa"/>
          <w:bottom w:w="28" w:type="dxa"/>
          <w:right w:w="28" w:type="dxa"/>
        </w:tblCellMar>
      </w:tblPr>
      <w:tblGrid>
        <w:gridCol w:w="248"/>
        <w:gridCol w:w="187"/>
        <w:gridCol w:w="9770"/>
      </w:tblGrid>
      <w:tr>
        <w:trPr/>
        <w:tc>
          <w:tcPr>
            <w:tcW w:w="2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w:t>
            </w:r>
          </w:p>
        </w:tc>
        <w:tc>
          <w:tcPr>
            <w:tcW w:w="9770"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u w:val="single"/>
              </w:rPr>
              <w:t>Form D; Blue Sky Filings</w:t>
            </w:r>
            <w:r>
              <w:rPr>
                <w:rFonts w:ascii="Times New Roman" w:hAnsi="Times New Roman"/>
                <w:color w:val="000000"/>
                <w:sz w:val="24"/>
              </w:rPr>
              <w:t>. If required, the Company agrees to timely file a Form D with respect to the New Warrants and New Warrant Shares as 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pStyle w:val="TableContents"/>
              <w:bidi w:val="0"/>
              <w:jc w:val="both"/>
              <w:rPr/>
            </w:pPr>
            <w:r>
              <w:rPr/>
              <w:t> </w:t>
            </w:r>
          </w:p>
          <w:p>
            <w:pPr>
              <w:pStyle w:val="TableContents"/>
              <w:bidi w:val="0"/>
              <w:spacing w:before="0" w:after="283"/>
              <w:jc w:val="both"/>
              <w:rPr/>
            </w:pPr>
            <w:r>
              <w:rPr/>
              <w:t> </w:t>
            </w:r>
          </w:p>
        </w:tc>
      </w:tr>
      <w:tr>
        <w:trPr/>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w:t>
            </w:r>
          </w:p>
        </w:tc>
        <w:tc>
          <w:tcPr>
            <w:tcW w:w="187" w:type="dxa"/>
            <w:tcBorders/>
            <w:tcMar>
              <w:top w:w="0" w:type="dxa"/>
              <w:left w:w="0" w:type="dxa"/>
              <w:bottom w:w="0" w:type="dxa"/>
              <w:right w:w="0" w:type="dxa"/>
            </w:tcMar>
            <w:vAlign w:val="center"/>
          </w:tcPr>
          <w:p>
            <w:pPr>
              <w:pStyle w:val="TableContents"/>
              <w:bidi w:val="0"/>
              <w:spacing w:before="0" w:after="283"/>
              <w:jc w:val="left"/>
              <w:rPr/>
            </w:pPr>
            <w:r>
              <w:rPr/>
              <w:t> </w:t>
            </w:r>
          </w:p>
        </w:tc>
        <w:tc>
          <w:tcPr>
            <w:tcW w:w="97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u w:val="single"/>
              </w:rPr>
              <w:t>Stockholder Approval</w:t>
            </w:r>
            <w:r>
              <w:rPr>
                <w:rFonts w:ascii="Times New Roman" w:hAnsi="Times New Roman"/>
                <w:color w:val="000000"/>
                <w:sz w:val="24"/>
              </w:rPr>
              <w:t>. In addition, the Company shall hold an annual or special meeting of stockholders on or prior to the date that is sixty (60) days following the Closing Date for the purpose of obtaining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 appointed proxyholders shall vote their proxies in favor of such proposals. If the Company does not obtain Stockholder Approval at the first meeting, the Company shall call a meeting every sixty (60) days thereafter to seek Stockholder Approval until the earlier of the date on which Stockholder Approval is obtained or the New Warrants are no longer outstanding.</w:t>
            </w:r>
          </w:p>
        </w:tc>
      </w:tr>
    </w:tbl>
    <w:p>
      <w:pPr>
        <w:pStyle w:val="Heading1"/>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sz w:val="20"/>
        </w:rPr>
      </w:pPr>
      <w:r>
        <w:rPr>
          <w:rFonts w:ascii="Times New Roman" w:hAnsi="Times New Roman"/>
          <w:b w:val="false"/>
          <w:color w:val="000000"/>
          <w:sz w:val="24"/>
          <w:u w:val="single"/>
        </w:rPr>
        <w:t>EXHIBIT A-1</w:t>
        <w:br/>
        <w:br/>
      </w:r>
      <w:r>
        <w:rPr>
          <w:rFonts w:ascii="Times New Roman" w:hAnsi="Times New Roman"/>
          <w:b w:val="false"/>
          <w:color w:val="000000"/>
          <w:sz w:val="24"/>
        </w:rPr>
        <w:t>June 2025 Warrants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EXHIBIT A-2</w:t>
      </w:r>
    </w:p>
    <w:p>
      <w:pPr>
        <w:pStyle w:val="Heading1"/>
        <w:bidi w:val="0"/>
        <w:spacing w:before="0" w:after="240"/>
        <w:jc w:val="center"/>
        <w:rPr>
          <w:rFonts w:ascii="Times New Roman" w:hAnsi="Times New Roman"/>
          <w:sz w:val="20"/>
        </w:rPr>
      </w:pPr>
      <w:r>
        <w:rPr>
          <w:rFonts w:ascii="Times New Roman" w:hAnsi="Times New Roman"/>
          <w:b w:val="false"/>
          <w:color w:val="000000"/>
          <w:sz w:val="24"/>
        </w:rPr>
        <w:t>April 2025 Warrants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EXHIBIT A-3</w:t>
      </w:r>
    </w:p>
    <w:p>
      <w:pPr>
        <w:pStyle w:val="Heading1"/>
        <w:bidi w:val="0"/>
        <w:spacing w:before="0" w:after="240"/>
        <w:jc w:val="center"/>
        <w:rPr>
          <w:rFonts w:ascii="Times New Roman" w:hAnsi="Times New Roman"/>
          <w:b w:val="false"/>
          <w:color w:val="000000"/>
          <w:sz w:val="24"/>
        </w:rPr>
      </w:pPr>
      <w:r>
        <w:rPr>
          <w:rFonts w:ascii="Times New Roman" w:hAnsi="Times New Roman"/>
          <w:b w:val="false"/>
          <w:color w:val="000000"/>
          <w:sz w:val="24"/>
        </w:rPr>
        <w:t>December 2024 Warrants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both"/>
        <w:rPr/>
      </w:pPr>
      <w:r>
        <w:rPr/>
        <w:t> </w:t>
      </w:r>
    </w:p>
    <w:p>
      <w:pPr>
        <w:pStyle w:val="Heading1"/>
        <w:bidi w:val="0"/>
        <w:spacing w:before="0" w:after="240"/>
        <w:jc w:val="center"/>
        <w:rPr>
          <w:rFonts w:ascii="Times New Roman" w:hAnsi="Times New Roman"/>
          <w:sz w:val="20"/>
        </w:rPr>
      </w:pPr>
      <w:r>
        <w:rPr>
          <w:rFonts w:ascii="Times New Roman" w:hAnsi="Times New Roman"/>
          <w:b w:val="false"/>
          <w:color w:val="000000"/>
          <w:sz w:val="24"/>
          <w:u w:val="single"/>
        </w:rPr>
        <w:t>EXHIBIT B</w:t>
        <w:br/>
        <w:br/>
      </w:r>
      <w:r>
        <w:rPr>
          <w:rFonts w:ascii="Times New Roman" w:hAnsi="Times New Roman"/>
          <w:b w:val="false"/>
          <w:color w:val="000000"/>
          <w:sz w:val="24"/>
        </w:rPr>
        <w:t>NEW WARRANTS</w:t>
      </w:r>
    </w:p>
    <w:p>
      <w:pPr>
        <w:pStyle w:val="Heading1"/>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aps/>
          <w:color w:val="000000"/>
          <w:sz w:val="24"/>
        </w:rPr>
      </w:pPr>
      <w:bookmarkStart w:id="11" w:name="apvo-ex10_2.htm"/>
      <w:bookmarkStart w:id="12" w:name="ksapvoex10_2"/>
      <w:bookmarkEnd w:id="11"/>
      <w:bookmarkEnd w:id="12"/>
      <w:r>
        <w:rPr>
          <w:rFonts w:ascii="Times New Roman" w:hAnsi="Times New Roman"/>
          <w:b/>
          <w:caps/>
          <w:color w:val="000000"/>
          <w:sz w:val="24"/>
        </w:rPr>
        <w:t>eXHIBIT 10.2</w:t>
      </w:r>
      <w:r>
        <w:br w:type="page"/>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SECURITIES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Securities Purchase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dated as of August 12, 2026, between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purchaser identified on the signature pages hereto (each, including its successors and assigns, a “</w:t>
      </w:r>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In addition to the terms defined elsewhere in this Agreement, for all purposes of this Agreement, the following terms have the meanings set forth in this Section 1.1:</w:t>
      </w:r>
    </w:p>
    <w:p>
      <w:pPr>
        <w:pStyle w:val="Heading2"/>
        <w:bidi w:val="0"/>
        <w:spacing w:before="0" w:after="240"/>
        <w:jc w:val="both"/>
        <w:rPr/>
      </w:pPr>
      <w:r>
        <w:rPr>
          <w:color w:val="000000"/>
        </w:rPr>
        <w:t>“</w:t>
      </w:r>
      <w:r>
        <w:rPr>
          <w:rFonts w:ascii="Times New Roman" w:hAnsi="Times New Roman"/>
          <w:b w:val="false"/>
          <w:color w:val="000000"/>
          <w:sz w:val="24"/>
          <w:u w:val="single"/>
        </w:rPr>
        <w:t>Acquiring Person</w:t>
      </w:r>
      <w:r>
        <w:rPr>
          <w:rFonts w:ascii="Times New Roman" w:hAnsi="Times New Roman"/>
          <w:color w:val="000000"/>
          <w:sz w:val="20"/>
        </w:rPr>
        <w:t xml:space="preserve">” </w:t>
      </w:r>
      <w:r>
        <w:rPr>
          <w:rFonts w:ascii="Times New Roman" w:hAnsi="Times New Roman"/>
          <w:b w:val="false"/>
          <w:color w:val="000000"/>
          <w:sz w:val="24"/>
        </w:rPr>
        <w:t>shall have the meaning ascribed to such term in Section 4.5.</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3.1(j).</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any Person that, directly or indirectly through one or more intermediaries, controls or is controlled by or is under common control with a Person, as such terms are used in and construed under Rule 405 under the Securities Act.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means the closing of the purchase and sale of the Securities pursuant to Section 2.1.</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common stock of the Company, par value $0.001 per share, and any other class of securities into which such securities may hereafter be reclassified or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4"/>
          <w:u w:val="single"/>
        </w:rPr>
        <w:t>Common Warrant Shares</w:t>
      </w:r>
      <w:r>
        <w:rPr>
          <w:rFonts w:ascii="Times New Roman" w:hAnsi="Times New Roman"/>
          <w:color w:val="000000"/>
          <w:sz w:val="20"/>
        </w:rPr>
        <w:t xml:space="preserve">” </w:t>
      </w:r>
      <w:r>
        <w:rPr>
          <w:rFonts w:ascii="Times New Roman" w:hAnsi="Times New Roman"/>
          <w:color w:val="000000"/>
          <w:sz w:val="24"/>
        </w:rPr>
        <w:t>means the shares of Common Stock issuable upon exercise of the Common Warrants.</w:t>
      </w:r>
    </w:p>
    <w:p>
      <w:pPr>
        <w:pStyle w:val="TextBody"/>
        <w:bidi w:val="0"/>
        <w:spacing w:before="0" w:after="240"/>
        <w:jc w:val="both"/>
        <w:rPr/>
      </w:pPr>
      <w:r>
        <w:rPr>
          <w:color w:val="000000"/>
        </w:rPr>
        <w:t>“</w:t>
      </w:r>
      <w:r>
        <w:rPr>
          <w:rFonts w:ascii="Times New Roman" w:hAnsi="Times New Roman"/>
          <w:color w:val="000000"/>
          <w:sz w:val="24"/>
          <w:u w:val="single"/>
        </w:rPr>
        <w:t>Common Warrants</w:t>
      </w:r>
      <w:r>
        <w:rPr>
          <w:rFonts w:ascii="Times New Roman" w:hAnsi="Times New Roman"/>
          <w:color w:val="000000"/>
          <w:sz w:val="20"/>
        </w:rPr>
        <w:t xml:space="preserve">” </w:t>
      </w:r>
      <w:r>
        <w:rPr>
          <w:rFonts w:ascii="Times New Roman" w:hAnsi="Times New Roman"/>
          <w:color w:val="000000"/>
          <w:sz w:val="24"/>
        </w:rPr>
        <w:t xml:space="preserve">means the Common Stock purchase warrants delivered to the Purchasers at the Closing in accordance with Section 2.2(a) hereof,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 which Common Warrants shall be exercisable at any time on or after the date that the Stockholder Approval is obtained and deemed effective. The Common Warrants shall have a term of exercise equal to five (5) years from the initial exercise date.</w:t>
      </w:r>
    </w:p>
    <w:p>
      <w:pPr>
        <w:pStyle w:val="TextBody"/>
        <w:bidi w:val="0"/>
        <w:spacing w:before="0" w:after="240"/>
        <w:jc w:val="both"/>
        <w:rPr/>
      </w:pPr>
      <w:r>
        <w:rPr>
          <w:color w:val="000000"/>
        </w:rPr>
        <w:t>“</w:t>
      </w:r>
      <w:r>
        <w:rPr>
          <w:rFonts w:ascii="Times New Roman" w:hAnsi="Times New Roman"/>
          <w:color w:val="000000"/>
          <w:sz w:val="24"/>
          <w:u w:val="single"/>
        </w:rPr>
        <w:t>Company Counsel</w:t>
      </w:r>
      <w:r>
        <w:rPr>
          <w:rFonts w:ascii="Times New Roman" w:hAnsi="Times New Roman"/>
          <w:color w:val="000000"/>
          <w:sz w:val="20"/>
        </w:rPr>
        <w:t xml:space="preserve">” </w:t>
      </w:r>
      <w:r>
        <w:rPr>
          <w:rFonts w:ascii="Times New Roman" w:hAnsi="Times New Roman"/>
          <w:color w:val="000000"/>
          <w:sz w:val="24"/>
        </w:rPr>
        <w:t>means Paul Hastings LLP, with offices located at 2050 M Street NW, Washington DC 20036.</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Disclosure Schedules</w:t>
      </w:r>
      <w:r>
        <w:rPr>
          <w:rFonts w:ascii="Times New Roman" w:hAnsi="Times New Roman"/>
          <w:color w:val="000000"/>
          <w:sz w:val="20"/>
        </w:rPr>
        <w:t xml:space="preserve">” </w:t>
      </w:r>
      <w:r>
        <w:rPr>
          <w:rFonts w:ascii="Times New Roman" w:hAnsi="Times New Roman"/>
          <w:color w:val="000000"/>
          <w:sz w:val="24"/>
        </w:rPr>
        <w:t>means the Disclosure Schedules of the Company delivered concurrently herewith.</w:t>
      </w:r>
    </w:p>
    <w:p>
      <w:pPr>
        <w:pStyle w:val="HorizontalLine"/>
        <w:pBdr>
          <w:bottom w:val="double" w:sz="2" w:space="0" w:color="808080"/>
        </w:pBdr>
        <w:bidi w:val="0"/>
        <w:spacing w:before="0" w:after="283"/>
        <w:jc w:val="left"/>
        <w:rPr/>
      </w:pPr>
      <w:r>
        <w:rPr/>
      </w:r>
    </w:p>
    <w:p>
      <w:pPr>
        <w:pStyle w:val="TextBody"/>
        <w:bidi w:val="0"/>
        <w:spacing w:before="0" w:after="240"/>
        <w:jc w:val="both"/>
        <w:rPr/>
      </w:pPr>
      <w:r>
        <w:rPr>
          <w:color w:val="000000"/>
        </w:rPr>
        <w:t>“</w:t>
      </w:r>
      <w:r>
        <w:rPr>
          <w:rFonts w:ascii="Times New Roman" w:hAnsi="Times New Roman"/>
          <w:color w:val="000000"/>
          <w:sz w:val="24"/>
          <w:u w:val="single"/>
        </w:rPr>
        <w:t>Disclosure Time</w:t>
      </w:r>
      <w:r>
        <w:rPr>
          <w:rFonts w:ascii="Times New Roman" w:hAnsi="Times New Roman"/>
          <w:color w:val="000000"/>
          <w:sz w:val="20"/>
        </w:rPr>
        <w:t xml:space="preserve">” </w:t>
      </w:r>
      <w:r>
        <w:rPr>
          <w:rFonts w:ascii="Times New Roman" w:hAnsi="Times New Roman"/>
          <w:color w:val="000000"/>
          <w:sz w:val="24"/>
        </w:rPr>
        <w:t>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means the earliest of the date that (a) the initial Registration 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pStyle w:val="TextBody"/>
        <w:bidi w:val="0"/>
        <w:spacing w:before="0" w:after="240"/>
        <w:jc w:val="both"/>
        <w:rPr/>
      </w:pPr>
      <w:r>
        <w:rPr>
          <w:color w:val="000000"/>
        </w:rPr>
        <w:t>“</w:t>
      </w:r>
      <w:r>
        <w:rPr>
          <w:rFonts w:ascii="Times New Roman" w:hAnsi="Times New Roman"/>
          <w:color w:val="000000"/>
          <w:sz w:val="24"/>
          <w:u w:val="single"/>
        </w:rPr>
        <w:t>EGS</w:t>
      </w:r>
      <w:r>
        <w:rPr>
          <w:rFonts w:ascii="Times New Roman" w:hAnsi="Times New Roman"/>
          <w:color w:val="000000"/>
          <w:sz w:val="20"/>
        </w:rPr>
        <w:t xml:space="preserve">” </w:t>
      </w:r>
      <w:r>
        <w:rPr>
          <w:rFonts w:ascii="Times New Roman" w:hAnsi="Times New Roman"/>
          <w:color w:val="000000"/>
          <w:sz w:val="24"/>
        </w:rPr>
        <w:t>means Ellenoff Grossman &amp; Schole LLP, with offices located at 1345 Avenue of the Americas, New York, New York 10105-0302.</w:t>
      </w:r>
    </w:p>
    <w:p>
      <w:pPr>
        <w:pStyle w:val="TextBody"/>
        <w:bidi w:val="0"/>
        <w:spacing w:before="0" w:after="240"/>
        <w:jc w:val="both"/>
        <w:rPr/>
      </w:pPr>
      <w:r>
        <w:rPr>
          <w:color w:val="000000"/>
        </w:rPr>
        <w:t>“</w:t>
      </w:r>
      <w:r>
        <w:rPr>
          <w:rFonts w:ascii="Times New Roman" w:hAnsi="Times New Roman"/>
          <w:color w:val="000000"/>
          <w:sz w:val="24"/>
          <w:u w:val="single"/>
        </w:rPr>
        <w:t>Evaluation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3.1(s).</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Exempt Issuance</w:t>
      </w:r>
      <w:r>
        <w:rPr>
          <w:rFonts w:ascii="Times New Roman" w:hAnsi="Times New Roman"/>
          <w:color w:val="000000"/>
          <w:sz w:val="20"/>
        </w:rPr>
        <w:t xml:space="preserve">” </w:t>
      </w:r>
      <w:r>
        <w:rPr>
          <w:rFonts w:ascii="Times New Roman" w:hAnsi="Times New Roman"/>
          <w:color w:val="000000"/>
          <w:sz w:val="24"/>
        </w:rPr>
        <w:t>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(which may include an option exchange program or any other compensatory equity program provided to those who render services to the Company, provided that such securities are issued as “restricted securities” (as defined in Rule 144) and carry no registration rights that require or permit the filing of any registration statement in connection therewith during the prohibition period in Section 4.12(a) herein), (b) warrants to the Placement Agent in connection with the transactions pursuant to this Agreement and any securities upon exercise of warrants to the Placement Agent,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securities issued pursuant to the Warrant Inducement Agreement dated August 12, 2026 (the “</w:t>
      </w:r>
      <w:r>
        <w:rPr>
          <w:rFonts w:ascii="Times New Roman" w:hAnsi="Times New Roman"/>
          <w:color w:val="000000"/>
          <w:sz w:val="24"/>
          <w:u w:val="single"/>
        </w:rPr>
        <w:t>Inducement Letter</w:t>
      </w:r>
      <w:r>
        <w:rPr>
          <w:rFonts w:ascii="Times New Roman" w:hAnsi="Times New Roman"/>
          <w:color w:val="000000"/>
          <w:sz w:val="20"/>
        </w:rPr>
        <w:t>”</w:t>
      </w:r>
      <w:r>
        <w:rPr>
          <w:rFonts w:ascii="Times New Roman" w:hAnsi="Times New Roman"/>
          <w:color w:val="000000"/>
          <w:sz w:val="24"/>
        </w:rPr>
        <w:t>), by and between the Company and the holders as signatories thereto and (e) securities issued pursuant to the purchase agreements between the Company and Niowave, Inc.</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means the Foreign Corrupt Practices Act of 1977, as amended.</w:t>
      </w:r>
    </w:p>
    <w:p>
      <w:pPr>
        <w:pStyle w:val="TextBody"/>
        <w:bidi w:val="0"/>
        <w:spacing w:before="0" w:after="240"/>
        <w:jc w:val="both"/>
        <w:rPr/>
      </w:pPr>
      <w:r>
        <w:rPr>
          <w:color w:val="000000"/>
        </w:rPr>
        <w:t>“</w:t>
      </w:r>
      <w:r>
        <w:rPr>
          <w:rFonts w:ascii="Times New Roman" w:hAnsi="Times New Roman"/>
          <w:color w:val="000000"/>
          <w:sz w:val="24"/>
          <w:u w:val="single"/>
        </w:rPr>
        <w:t>FDA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3.1(ii).</w:t>
      </w:r>
    </w:p>
    <w:p>
      <w:pPr>
        <w:pStyle w:val="TextBody"/>
        <w:bidi w:val="0"/>
        <w:spacing w:before="0" w:after="240"/>
        <w:jc w:val="both"/>
        <w:rPr/>
      </w:pPr>
      <w:r>
        <w:rPr>
          <w:color w:val="000000"/>
        </w:rPr>
        <w:t>“</w:t>
      </w:r>
      <w:r>
        <w:rPr>
          <w:rFonts w:ascii="Times New Roman" w:hAnsi="Times New Roman"/>
          <w:color w:val="000000"/>
          <w:sz w:val="24"/>
          <w:u w:val="single"/>
        </w:rPr>
        <w:t>FDCA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3.1(ii).</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3.1(aa).</w:t>
      </w:r>
    </w:p>
    <w:p>
      <w:pPr>
        <w:pStyle w:val="TextBody"/>
        <w:bidi w:val="0"/>
        <w:spacing w:before="0" w:after="240"/>
        <w:jc w:val="both"/>
        <w:rPr/>
      </w:pPr>
      <w:r>
        <w:rPr>
          <w:color w:val="000000"/>
        </w:rPr>
        <w:t>“</w:t>
      </w:r>
      <w:r>
        <w:rPr>
          <w:rFonts w:ascii="Times New Roman" w:hAnsi="Times New Roman"/>
          <w:color w:val="000000"/>
          <w:sz w:val="24"/>
          <w:u w:val="single"/>
        </w:rPr>
        <w:t>Intellectual Property Rights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3.1(p).</w:t>
      </w:r>
    </w:p>
    <w:p>
      <w:pPr>
        <w:pStyle w:val="TextBody"/>
        <w:bidi w:val="0"/>
        <w:spacing w:before="0" w:after="240"/>
        <w:jc w:val="both"/>
        <w:rPr/>
      </w:pPr>
      <w:r>
        <w:rPr>
          <w:color w:val="000000"/>
        </w:rPr>
        <w:t>“</w:t>
      </w:r>
      <w:r>
        <w:rPr>
          <w:rFonts w:ascii="Times New Roman" w:hAnsi="Times New Roman"/>
          <w:color w:val="000000"/>
          <w:sz w:val="24"/>
          <w:u w:val="single"/>
        </w:rPr>
        <w:t>Legend Removal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4.1(c).</w:t>
      </w:r>
    </w:p>
    <w:p>
      <w:pPr>
        <w:pStyle w:val="TextBody"/>
        <w:bidi w:val="0"/>
        <w:spacing w:before="0" w:after="240"/>
        <w:jc w:val="both"/>
        <w:rPr/>
      </w:pPr>
      <w:r>
        <w:rPr>
          <w:color w:val="000000"/>
        </w:rPr>
        <w:t>“</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color w:val="000000"/>
          <w:sz w:val="24"/>
        </w:rPr>
        <w:t>means a lien, charge pledge, security interest, encumbrance, right of first refusal, preemptive right or other restriction.</w:t>
      </w:r>
    </w:p>
    <w:p>
      <w:pPr>
        <w:pStyle w:val="TextBody"/>
        <w:bidi w:val="0"/>
        <w:spacing w:before="0" w:after="240"/>
        <w:jc w:val="both"/>
        <w:rPr/>
      </w:pPr>
      <w:r>
        <w:rPr>
          <w:color w:val="000000"/>
        </w:rPr>
        <w:t>“</w:t>
      </w:r>
      <w:r>
        <w:rPr>
          <w:rFonts w:ascii="Times New Roman" w:hAnsi="Times New Roman"/>
          <w:color w:val="000000"/>
          <w:sz w:val="24"/>
          <w:u w:val="single"/>
        </w:rPr>
        <w:t>Lock-Up Agreement</w:t>
      </w:r>
      <w:r>
        <w:rPr>
          <w:rFonts w:ascii="Times New Roman" w:hAnsi="Times New Roman"/>
          <w:color w:val="000000"/>
          <w:sz w:val="20"/>
        </w:rPr>
        <w:t xml:space="preserve">” </w:t>
      </w:r>
      <w:r>
        <w:rPr>
          <w:rFonts w:ascii="Times New Roman" w:hAnsi="Times New Roman"/>
          <w:color w:val="000000"/>
          <w:sz w:val="24"/>
        </w:rPr>
        <w:t xml:space="preserve">means the Lock-Up Agreement, dated as of the date hereof, by and among the Company and the directors and officers of the Company,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shall have the meaning assigned to such term in Section 3.1(b).</w:t>
      </w:r>
    </w:p>
    <w:p>
      <w:pPr>
        <w:pStyle w:val="TextBody"/>
        <w:bidi w:val="0"/>
        <w:spacing w:before="0" w:after="240"/>
        <w:jc w:val="both"/>
        <w:rPr/>
      </w:pPr>
      <w:r>
        <w:rPr>
          <w:color w:val="000000"/>
        </w:rPr>
        <w:t>“</w:t>
      </w:r>
      <w:r>
        <w:rPr>
          <w:rFonts w:ascii="Times New Roman" w:hAnsi="Times New Roman"/>
          <w:color w:val="000000"/>
          <w:sz w:val="24"/>
          <w:u w:val="single"/>
        </w:rPr>
        <w:t>Material Permits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3.1(n).</w:t>
      </w:r>
    </w:p>
    <w:p>
      <w:pPr>
        <w:pStyle w:val="TextBody"/>
        <w:bidi w:val="0"/>
        <w:spacing w:before="0" w:after="240"/>
        <w:jc w:val="both"/>
        <w:rPr/>
      </w:pPr>
      <w:r>
        <w:rPr>
          <w:color w:val="000000"/>
        </w:rPr>
        <w:t>“</w:t>
      </w:r>
      <w:r>
        <w:rPr>
          <w:rFonts w:ascii="Times New Roman" w:hAnsi="Times New Roman"/>
          <w:color w:val="000000"/>
          <w:sz w:val="24"/>
          <w:u w:val="single"/>
        </w:rPr>
        <w:t>Per Share Purchase Price</w:t>
      </w:r>
      <w:r>
        <w:rPr>
          <w:rFonts w:ascii="Times New Roman" w:hAnsi="Times New Roman"/>
          <w:color w:val="000000"/>
          <w:sz w:val="20"/>
        </w:rPr>
        <w:t xml:space="preserve">” </w:t>
      </w:r>
      <w:r>
        <w:rPr>
          <w:rFonts w:ascii="Times New Roman" w:hAnsi="Times New Roman"/>
          <w:color w:val="000000"/>
          <w:sz w:val="24"/>
        </w:rPr>
        <w:t>equals $4.03, subject to adjustment for reverse and forward stock splits, stock dividends, stock combinations and other similar transactions of the Common Stock that occur after the date of this Agreement as described in the Common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Warrants, provided that the purchase price per Pre-Funded Warrant shall be the Per Share Purchase Price minus $0.0001.</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4"/>
          <w:u w:val="single"/>
        </w:rPr>
        <w:t>Pharmaceutical Product</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3.1(hh).</w:t>
      </w:r>
    </w:p>
    <w:p>
      <w:pPr>
        <w:pStyle w:val="TextBody"/>
        <w:bidi w:val="0"/>
        <w:spacing w:before="0" w:after="240"/>
        <w:jc w:val="both"/>
        <w:rPr/>
      </w:pPr>
      <w:r>
        <w:rPr>
          <w:color w:val="000000"/>
        </w:rPr>
        <w:t>“</w:t>
      </w:r>
      <w:r>
        <w:rPr>
          <w:rFonts w:ascii="Times New Roman" w:hAnsi="Times New Roman"/>
          <w:color w:val="000000"/>
          <w:sz w:val="24"/>
          <w:u w:val="single"/>
        </w:rPr>
        <w:t>Placement Agent</w:t>
      </w:r>
      <w:r>
        <w:rPr>
          <w:rFonts w:ascii="Times New Roman" w:hAnsi="Times New Roman"/>
          <w:color w:val="000000"/>
          <w:sz w:val="20"/>
        </w:rPr>
        <w:t xml:space="preserve">” </w:t>
      </w:r>
      <w:r>
        <w:rPr>
          <w:rFonts w:ascii="Times New Roman" w:hAnsi="Times New Roman"/>
          <w:color w:val="000000"/>
          <w:sz w:val="24"/>
        </w:rPr>
        <w:t>means Roth Capital Partners, LLC.</w:t>
      </w:r>
    </w:p>
    <w:p>
      <w:pPr>
        <w:pStyle w:val="TextBody"/>
        <w:bidi w:val="0"/>
        <w:spacing w:before="0" w:after="240"/>
        <w:jc w:val="both"/>
        <w:rPr/>
      </w:pPr>
      <w:r>
        <w:rPr>
          <w:color w:val="000000"/>
        </w:rPr>
        <w:t>“</w:t>
      </w:r>
      <w:r>
        <w:rPr>
          <w:rFonts w:ascii="Times New Roman" w:hAnsi="Times New Roman"/>
          <w:color w:val="000000"/>
          <w:sz w:val="24"/>
          <w:u w:val="single"/>
        </w:rPr>
        <w:t>Pre-Funded Warrant Shares</w:t>
      </w:r>
      <w:r>
        <w:rPr>
          <w:rFonts w:ascii="Times New Roman" w:hAnsi="Times New Roman"/>
          <w:color w:val="000000"/>
          <w:sz w:val="20"/>
        </w:rPr>
        <w:t xml:space="preserve">” </w:t>
      </w:r>
      <w:r>
        <w:rPr>
          <w:rFonts w:ascii="Times New Roman" w:hAnsi="Times New Roman"/>
          <w:color w:val="000000"/>
          <w:sz w:val="24"/>
        </w:rPr>
        <w:t>means the shares of Common Stock issuable upon exercise of the Pre-Funded Warrants.</w:t>
      </w:r>
    </w:p>
    <w:p>
      <w:pPr>
        <w:pStyle w:val="TextBody"/>
        <w:bidi w:val="0"/>
        <w:spacing w:before="0" w:after="240"/>
        <w:jc w:val="both"/>
        <w:rPr/>
      </w:pPr>
      <w:r>
        <w:rPr>
          <w:color w:val="000000"/>
        </w:rPr>
        <w:t>“</w:t>
      </w:r>
      <w:r>
        <w:rPr>
          <w:rFonts w:ascii="Times New Roman" w:hAnsi="Times New Roman"/>
          <w:color w:val="000000"/>
          <w:sz w:val="24"/>
          <w:u w:val="single"/>
        </w:rPr>
        <w:t>Pre-Funded Warrants</w:t>
      </w:r>
      <w:r>
        <w:rPr>
          <w:rFonts w:ascii="Times New Roman" w:hAnsi="Times New Roman"/>
          <w:color w:val="000000"/>
          <w:sz w:val="20"/>
        </w:rPr>
        <w:t xml:space="preserve">” </w:t>
      </w:r>
      <w:r>
        <w:rPr>
          <w:rFonts w:ascii="Times New Roman" w:hAnsi="Times New Roman"/>
          <w:color w:val="000000"/>
          <w:sz w:val="24"/>
        </w:rPr>
        <w:t xml:space="preserve">means, collectively, the Pre-Funded Common Stock purchase warrants delivered to one or more of the Purchasers at the Closing in accordance with Section 2.2(a)(iv) hereof, in the form of </w:t>
      </w:r>
      <w:r>
        <w:rPr>
          <w:rFonts w:ascii="Times New Roman" w:hAnsi="Times New Roman"/>
          <w:color w:val="000000"/>
          <w:sz w:val="24"/>
          <w:u w:val="single"/>
        </w:rPr>
        <w:t>Exhibit B-2</w:t>
      </w:r>
      <w:r>
        <w:rPr>
          <w:rFonts w:ascii="Times New Roman" w:hAnsi="Times New Roman"/>
          <w:color w:val="000000"/>
          <w:sz w:val="20"/>
        </w:rPr>
        <w:t xml:space="preserve"> </w:t>
      </w:r>
      <w:r>
        <w:rPr>
          <w:rFonts w:ascii="Times New Roman" w:hAnsi="Times New Roman"/>
          <w:color w:val="000000"/>
          <w:sz w:val="24"/>
        </w:rPr>
        <w:t>attached hereto, which Pre-Funded Warrants shall be exercisable immediately and will expire when exercised in full.</w:t>
      </w:r>
    </w:p>
    <w:p>
      <w:pPr>
        <w:pStyle w:val="TextBody"/>
        <w:bidi w:val="0"/>
        <w:spacing w:before="0" w:after="240"/>
        <w:jc w:val="both"/>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 action, claim, suit, investigation or proceeding (including, without limitation, an informal investigation or partial proceeding, such as a deposition), whether commenced or threatened.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Public Information Failure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4.2(b).</w:t>
      </w:r>
    </w:p>
    <w:p>
      <w:pPr>
        <w:pStyle w:val="TextBody"/>
        <w:bidi w:val="0"/>
        <w:spacing w:before="0" w:after="240"/>
        <w:jc w:val="both"/>
        <w:rPr/>
      </w:pPr>
      <w:r>
        <w:rPr>
          <w:color w:val="000000"/>
        </w:rPr>
        <w:t>“</w:t>
      </w:r>
      <w:r>
        <w:rPr>
          <w:rFonts w:ascii="Times New Roman" w:hAnsi="Times New Roman"/>
          <w:color w:val="000000"/>
          <w:sz w:val="24"/>
          <w:u w:val="single"/>
        </w:rPr>
        <w:t>Public Information Failure Payments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4.2(b).</w:t>
      </w:r>
    </w:p>
    <w:p>
      <w:pPr>
        <w:pStyle w:val="TextBody"/>
        <w:bidi w:val="0"/>
        <w:spacing w:before="0" w:after="240"/>
        <w:jc w:val="both"/>
        <w:rPr/>
      </w:pPr>
      <w:r>
        <w:rPr>
          <w:color w:val="000000"/>
        </w:rPr>
        <w:t>“</w:t>
      </w:r>
      <w:r>
        <w:rPr>
          <w:rFonts w:ascii="Times New Roman" w:hAnsi="Times New Roman"/>
          <w:color w:val="000000"/>
          <w:sz w:val="24"/>
          <w:u w:val="single"/>
        </w:rPr>
        <w:t>Purchaser Party</w:t>
      </w:r>
      <w:r>
        <w:rPr>
          <w:rFonts w:ascii="Times New Roman" w:hAnsi="Times New Roman"/>
          <w:color w:val="000000"/>
          <w:sz w:val="20"/>
        </w:rPr>
        <w:t xml:space="preserve">” </w:t>
      </w:r>
      <w:r>
        <w:rPr>
          <w:rFonts w:ascii="Times New Roman" w:hAnsi="Times New Roman"/>
          <w:color w:val="000000"/>
          <w:sz w:val="24"/>
        </w:rPr>
        <w:t>shall have the meaning ascribed to such term in Section 4.8.</w:t>
      </w:r>
    </w:p>
    <w:p>
      <w:pPr>
        <w:pStyle w:val="TextBody"/>
        <w:bidi w:val="0"/>
        <w:spacing w:before="0" w:after="240"/>
        <w:jc w:val="both"/>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dated on or about the date hereof, among the Company and the Purchasers, in the form of Exhibit A attached hereto.</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a registration statement meeting the requirements set forth in the Registration Rights Agreement and covering the resale by the Purchasers of the Shares, the Warrants and the Warrant Shares to the Purchaser.</w:t>
      </w:r>
    </w:p>
    <w:p>
      <w:pPr>
        <w:pStyle w:val="TextBody"/>
        <w:bidi w:val="0"/>
        <w:spacing w:before="0" w:after="240"/>
        <w:jc w:val="both"/>
        <w:rPr/>
      </w:pPr>
      <w:r>
        <w:rPr>
          <w:color w:val="000000"/>
        </w:rPr>
        <w:t>“</w:t>
      </w:r>
      <w:r>
        <w:rPr>
          <w:rFonts w:ascii="Times New Roman" w:hAnsi="Times New Roman"/>
          <w:color w:val="000000"/>
          <w:sz w:val="24"/>
          <w:u w:val="single"/>
        </w:rPr>
        <w:t>Required Approvals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w:t>
      </w:r>
    </w:p>
    <w:p>
      <w:pPr>
        <w:pStyle w:val="TextBody"/>
        <w:bidi w:val="0"/>
        <w:spacing w:before="0" w:after="240"/>
        <w:jc w:val="both"/>
        <w:rPr/>
      </w:pPr>
      <w:r>
        <w:rPr>
          <w:color w:val="000000"/>
        </w:rPr>
        <w:t>“</w:t>
      </w:r>
      <w:r>
        <w:rPr>
          <w:rFonts w:ascii="Times New Roman" w:hAnsi="Times New Roman"/>
          <w:color w:val="000000"/>
          <w:sz w:val="24"/>
          <w:u w:val="single"/>
        </w:rPr>
        <w:t>Rule 144</w:t>
      </w:r>
      <w:r>
        <w:rPr>
          <w:rFonts w:ascii="Times New Roman" w:hAnsi="Times New Roman"/>
          <w:color w:val="000000"/>
          <w:sz w:val="20"/>
        </w:rPr>
        <w:t xml:space="preserve">” </w:t>
      </w:r>
      <w:r>
        <w:rPr>
          <w:rFonts w:ascii="Times New Roman" w:hAnsi="Times New Roman"/>
          <w:color w:val="000000"/>
          <w:sz w:val="24"/>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SEC Reports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the Shares, the Warrants and the Warrant Shares.</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Stockholder Approval</w:t>
      </w:r>
      <w:r>
        <w:rPr>
          <w:rFonts w:ascii="Times New Roman" w:hAnsi="Times New Roman"/>
          <w:color w:val="000000"/>
          <w:sz w:val="20"/>
        </w:rPr>
        <w:t xml:space="preserve">” </w:t>
      </w:r>
      <w:r>
        <w:rPr>
          <w:rFonts w:ascii="Times New Roman" w:hAnsi="Times New Roman"/>
          <w:color w:val="000000"/>
          <w:sz w:val="24"/>
        </w:rPr>
        <w:t>means such approval as may be required by the applicable rules and regulations of the Nasdaq Capital Market (or any successor entity) from the stockholders of the Company to permit the exercise of the Common Warrants.</w:t>
      </w:r>
    </w:p>
    <w:p>
      <w:pPr>
        <w:pStyle w:val="TextBody"/>
        <w:bidi w:val="0"/>
        <w:spacing w:before="0" w:after="240"/>
        <w:jc w:val="both"/>
        <w:rPr/>
      </w:pPr>
      <w:r>
        <w:rPr>
          <w:color w:val="000000"/>
        </w:rPr>
        <w:t>“</w:t>
      </w:r>
      <w:r>
        <w:rPr>
          <w:rFonts w:ascii="Times New Roman" w:hAnsi="Times New Roman"/>
          <w:color w:val="000000"/>
          <w:sz w:val="24"/>
          <w:u w:val="single"/>
        </w:rPr>
        <w:t>Stockholder Approval Date</w:t>
      </w:r>
      <w:r>
        <w:rPr>
          <w:rFonts w:ascii="Times New Roman" w:hAnsi="Times New Roman"/>
          <w:color w:val="000000"/>
          <w:sz w:val="20"/>
        </w:rPr>
        <w:t xml:space="preserve">” </w:t>
      </w:r>
      <w:r>
        <w:rPr>
          <w:rFonts w:ascii="Times New Roman" w:hAnsi="Times New Roman"/>
          <w:color w:val="000000"/>
          <w:sz w:val="24"/>
        </w:rPr>
        <w:t>means the date on which Stockholder Approval is received and deemed effective under Delaware law.</w:t>
      </w:r>
    </w:p>
    <w:p>
      <w:pPr>
        <w:pStyle w:val="TextBody"/>
        <w:bidi w:val="0"/>
        <w:spacing w:before="0" w:after="240"/>
        <w:jc w:val="both"/>
        <w:rPr/>
      </w:pPr>
      <w:r>
        <w:rPr>
          <w:color w:val="000000"/>
        </w:rPr>
        <w:t>“</w:t>
      </w:r>
      <w:r>
        <w:rPr>
          <w:rFonts w:ascii="Times New Roman" w:hAnsi="Times New Roman"/>
          <w:color w:val="000000"/>
          <w:sz w:val="24"/>
          <w:u w:val="single"/>
        </w:rPr>
        <w:t>Shares</w:t>
      </w:r>
      <w:r>
        <w:rPr>
          <w:rFonts w:ascii="Times New Roman" w:hAnsi="Times New Roman"/>
          <w:color w:val="000000"/>
          <w:sz w:val="20"/>
        </w:rPr>
        <w:t xml:space="preserve">” </w:t>
      </w:r>
      <w:r>
        <w:rPr>
          <w:rFonts w:ascii="Times New Roman" w:hAnsi="Times New Roman"/>
          <w:color w:val="000000"/>
          <w:sz w:val="24"/>
        </w:rPr>
        <w:t>means the shares of Common Stock issued or issuable to each Purchaser pursuant to this Agreement.</w:t>
      </w:r>
    </w:p>
    <w:p>
      <w:pPr>
        <w:pStyle w:val="TextBody"/>
        <w:bidi w:val="0"/>
        <w:spacing w:before="0" w:after="240"/>
        <w:jc w:val="both"/>
        <w:rPr/>
      </w:pPr>
      <w:r>
        <w:rPr>
          <w:color w:val="000000"/>
        </w:rPr>
        <w:t>“</w:t>
      </w:r>
      <w:r>
        <w:rPr>
          <w:rFonts w:ascii="Times New Roman" w:hAnsi="Times New Roman"/>
          <w:color w:val="000000"/>
          <w:sz w:val="24"/>
          <w:u w:val="single"/>
        </w:rPr>
        <w:t>Short Sales</w:t>
      </w:r>
      <w:r>
        <w:rPr>
          <w:rFonts w:ascii="Times New Roman" w:hAnsi="Times New Roman"/>
          <w:color w:val="000000"/>
          <w:sz w:val="20"/>
        </w:rPr>
        <w:t xml:space="preserve">” </w:t>
      </w:r>
      <w:r>
        <w:rPr>
          <w:rFonts w:ascii="Times New Roman" w:hAnsi="Times New Roman"/>
          <w:color w:val="000000"/>
          <w:sz w:val="24"/>
        </w:rPr>
        <w:t>means all “short sales” as defined in Rule 200 of Regulation SHO under the Exchange Act (but shall not be deemed to include locating and/or borrowing shares of Common Stock).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Subscription Amount</w:t>
      </w:r>
      <w:r>
        <w:rPr>
          <w:rFonts w:ascii="Times New Roman" w:hAnsi="Times New Roman"/>
          <w:color w:val="000000"/>
          <w:sz w:val="20"/>
        </w:rPr>
        <w:t xml:space="preserve">” </w:t>
      </w:r>
      <w:r>
        <w:rPr>
          <w:rFonts w:ascii="Times New Roman" w:hAnsi="Times New Roman"/>
          <w:color w:val="000000"/>
          <w:sz w:val="24"/>
        </w:rPr>
        <w:t>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purchased by such Purchaser, which amounts shall be paid as and when such Pre-Funded Warrants are exercised for cash).</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subsidiary of the Company as set forth in the SEC Reports and shall, where applicable, also include any direct or indirect subsidiary of the Company formed or acquired after the date hereof.</w:t>
      </w:r>
    </w:p>
    <w:p>
      <w:pPr>
        <w:pStyle w:val="TextBody"/>
        <w:bidi w:val="0"/>
        <w:spacing w:before="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means this Agreement, the Registration Rights Agreement, the Warrants, the Lock-Up Agreement, all exhibits and schedules thereto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hereto and any other documents or agreements executed in connection with the transactions contemplated hereunder.</w:t>
      </w:r>
    </w:p>
    <w:p>
      <w:pPr>
        <w:pStyle w:val="TextBody"/>
        <w:bidi w:val="0"/>
        <w:spacing w:before="0" w:after="240"/>
        <w:jc w:val="both"/>
        <w:rPr/>
      </w:pPr>
      <w:r>
        <w:rPr>
          <w:color w:val="000000"/>
        </w:rPr>
        <w:t>“</w:t>
      </w:r>
      <w:r>
        <w:rPr>
          <w:rFonts w:ascii="Times New Roman" w:hAnsi="Times New Roman"/>
          <w:color w:val="000000"/>
          <w:sz w:val="24"/>
          <w:u w:val="single"/>
        </w:rPr>
        <w:t>Transfer Agent</w:t>
      </w:r>
      <w:r>
        <w:rPr>
          <w:rFonts w:ascii="Times New Roman" w:hAnsi="Times New Roman"/>
          <w:color w:val="000000"/>
          <w:sz w:val="20"/>
        </w:rPr>
        <w:t xml:space="preserve">” </w:t>
      </w:r>
      <w:r>
        <w:rPr>
          <w:rFonts w:ascii="Times New Roman" w:hAnsi="Times New Roman"/>
          <w:color w:val="000000"/>
          <w:sz w:val="24"/>
        </w:rPr>
        <w:t>means Broadridge, the current transfer agent of the Company, with a mailing address of 51 Mercedes Way, Edgewood, NY 11717, and any successor transfer agent of the Company.</w:t>
      </w:r>
    </w:p>
    <w:p>
      <w:pPr>
        <w:pStyle w:val="TextBody"/>
        <w:bidi w:val="0"/>
        <w:spacing w:before="0" w:after="240"/>
        <w:jc w:val="both"/>
        <w:rPr/>
      </w:pPr>
      <w:r>
        <w:rPr>
          <w:color w:val="000000"/>
        </w:rPr>
        <w:t>“</w:t>
      </w:r>
      <w:r>
        <w:rPr>
          <w:rFonts w:ascii="Times New Roman" w:hAnsi="Times New Roman"/>
          <w:color w:val="000000"/>
          <w:sz w:val="24"/>
          <w:u w:val="single"/>
        </w:rPr>
        <w:t>Variable Rate Transaction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4.12(b).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Venture Market (“OTCQB”) or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Warrants</w:t>
      </w:r>
      <w:r>
        <w:rPr>
          <w:rFonts w:ascii="Times New Roman" w:hAnsi="Times New Roman"/>
          <w:color w:val="000000"/>
          <w:sz w:val="20"/>
        </w:rPr>
        <w:t xml:space="preserve">” </w:t>
      </w:r>
      <w:r>
        <w:rPr>
          <w:rFonts w:ascii="Times New Roman" w:hAnsi="Times New Roman"/>
          <w:color w:val="000000"/>
          <w:sz w:val="24"/>
        </w:rPr>
        <w:t>means, collectively, the Common Warrants and the Pre-Funded Warrants.</w:t>
      </w:r>
    </w:p>
    <w:p>
      <w:pPr>
        <w:pStyle w:val="TextBody"/>
        <w:bidi w:val="0"/>
        <w:spacing w:before="0" w:after="240"/>
        <w:jc w:val="both"/>
        <w:rPr/>
      </w:pPr>
      <w:r>
        <w:rPr>
          <w:color w:val="000000"/>
        </w:rPr>
        <w:t>“</w:t>
      </w:r>
      <w:r>
        <w:rPr>
          <w:rFonts w:ascii="Times New Roman" w:hAnsi="Times New Roman"/>
          <w:color w:val="000000"/>
          <w:sz w:val="24"/>
          <w:u w:val="single"/>
        </w:rPr>
        <w:t>Warrant Shares</w:t>
      </w:r>
      <w:r>
        <w:rPr>
          <w:rFonts w:ascii="Times New Roman" w:hAnsi="Times New Roman"/>
          <w:color w:val="000000"/>
          <w:sz w:val="20"/>
        </w:rPr>
        <w:t xml:space="preserve">” </w:t>
      </w:r>
      <w:r>
        <w:rPr>
          <w:rFonts w:ascii="Times New Roman" w:hAnsi="Times New Roman"/>
          <w:color w:val="000000"/>
          <w:sz w:val="24"/>
        </w:rPr>
        <w:t>means, collectively, the Common Warrant Shares and the Pre-Funded Warrant Shares.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pPr>
      <w:r>
        <w:rPr>
          <w:rFonts w:ascii="Times New Roman" w:hAnsi="Times New Roman"/>
          <w:color w:val="000000"/>
          <w:sz w:val="24"/>
        </w:rPr>
        <w:br/>
      </w:r>
      <w:r>
        <w:rPr>
          <w:rFonts w:ascii="Times New Roman" w:hAnsi="Times New Roman"/>
          <w:b/>
          <w:color w:val="000000"/>
          <w:sz w:val="24"/>
        </w:rPr>
        <w:t>PURCHASE AND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 On the Closing Date, upon the terms and subject to the conditions set forth herein, the Company agrees to sell, and the Purchasers, severally and not jointly, agree to purchase, up to an aggregate of $3,472,683.24 of Shares and Common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such Purchaser may elect to purchase Pre-Funded Warrants in lieu of the Shares as determined pursuant to Section 2.2(a).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 xml:space="preserve">shall be 4.99% (or, at the election of the Purchaser at Closing, 9.99%) of the number of shares of the Common Stock outstanding immediately after giving effect to the issuance of the Securities on the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Closing Date. In each case, the election to receive Pre-Funded Warrants is solely at the option of the Purchaser. Each Purchaser shall deliver to the Company, via wire transfer, immediately available funds equal to such Purchaser’s Subscription Amount as set forth on the signature page hereto executed by such Purchaser, and the Company shall deliver to each Purchaser its respective Shares, any Pre-Funded Warrants and a Common Warrant, as determined pursuant to Section 2.2(a), and the Company and each Purchaser shall deliver the other items set forth in Section 2.2 deliverable at the Closing. Upon satisfaction (or waiver) of the covenants and conditions set forth in Sections 2.2 and 2.3, the Closing shall occur at the offices of EGS or such other location (including remotely by electronic transmission) as the parties shall mutually agree. Unless otherwise directed by the Placement Agent, settlement of the Shares shall occur via “Delivery Versus Payment” (“</w:t>
      </w:r>
      <w:r>
        <w:rPr>
          <w:rFonts w:ascii="Times New Roman" w:hAnsi="Times New Roman"/>
          <w:color w:val="000000"/>
          <w:sz w:val="24"/>
          <w:u w:val="single"/>
        </w:rPr>
        <w:t>DVP</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hAnsi="Times New Roman"/>
          <w:color w:val="000000"/>
          <w:sz w:val="24"/>
          <w:u w:val="single"/>
        </w:rPr>
        <w:t>Pre-Settlement Period</w:t>
      </w:r>
      <w:r>
        <w:rPr>
          <w:color w:val="000000"/>
        </w:rPr>
        <w:t>”</w:t>
      </w:r>
      <w:r>
        <w:rPr>
          <w:rFonts w:ascii="Times New Roman" w:hAnsi="Times New Roman"/>
          <w:color w:val="000000"/>
          <w:sz w:val="24"/>
        </w:rPr>
        <w:t>), such Purchaser sells to any Person all, or any portion, of the Shares to be issued hereunder to such Purchaser at the Closing (collectively, the “</w:t>
      </w:r>
      <w:r>
        <w:rPr>
          <w:rFonts w:ascii="Times New Roman" w:hAnsi="Times New Roman"/>
          <w:color w:val="000000"/>
          <w:sz w:val="24"/>
          <w:u w:val="single"/>
        </w:rPr>
        <w:t>Pre-Settlement Shares</w:t>
      </w:r>
      <w:r>
        <w:rPr>
          <w:color w:val="000000"/>
        </w:rPr>
        <w:t>”</w:t>
      </w:r>
      <w:r>
        <w:rPr>
          <w:rFonts w:ascii="Times New Roman" w:hAnsi="Times New Roman"/>
          <w:color w:val="000000"/>
          <w:sz w:val="24"/>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foregoing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4.99/9.99% of the then issued and outstanding Common Stock outstanding at the Closing (the “Beneficial Ownership Maximum”),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Pre-Funded Warrants) for purposes hereunder.</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Deliveries.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the Company shall deliver or cause to be delivered to each Purchaser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duly executed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legal opinion of Company Counsel, directed to the Placement Agent and the Purchasers, in form and substance reasonably acceptable to the Placement Agent and Purchasers;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the irrevocable instructions to the Transfer Agent instructing the Transfer Agent to deliver, on an expedited basis, evidence of the issuance of a number of Shares equal to such Purchaser’s Subscription Amount divided by the Per Share Purchase Price as held in DRS book-entry form by the Transfer Agent and registered in the name of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minus $0.0001, with an exercise price equal to $0.0001;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Common Warrant registered in the name of such Purchaser to purchase up to a number of shares of Common Stock equal to 500% of the sum of such Purchaser’s Shares and Pre-Funded Warrant Shares initially issuable upon exercise of such Purchaser’s Pre-Funded Warrants, with an exercise price equal to $4.03, subject to adjustment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provided each Purchaser with the Company’s wire instructions, on Company letterhead and executed by the Chief Executive Officer or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Lock-Up Agreements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Registration Rights Agreement duly executed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each Purchaser shall deliver or cause to be delivered to the Company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duly executed by such Purchaser;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Purchaser’s Subscription Amount, which shall be made available for “Delivery Versus Payment” settlement with the Company or its designee.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Closing Conditions</w:t>
      </w:r>
      <w:r>
        <w:rPr>
          <w:rFonts w:ascii="Times New Roman" w:hAnsi="Times New Roman"/>
          <w:color w:val="000000"/>
          <w:sz w:val="24"/>
        </w:rPr>
        <w:t>.</w:t>
      </w:r>
      <w:r>
        <w:rPr>
          <w:color w:val="000000"/>
          <w:u w:val="single"/>
        </w:rPr>
        <w:t xml:space="preserve"> </w:t>
      </w:r>
    </w:p>
    <w:p>
      <w:pPr>
        <w:pStyle w:val="HorizontalLine"/>
        <w:pBdr>
          <w:bottom w:val="double" w:sz="2" w:space="0" w:color="808080"/>
        </w:pBdr>
        <w:bidi w:val="0"/>
        <w:spacing w:before="0" w:after="283"/>
        <w:jc w:val="left"/>
        <w:rPr/>
      </w:pPr>
      <w:r>
        <w:rPr/>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 The obligations of the Company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obligations, covenants and agreements of each Purchaser required to be performed at or prior to the Closing Date shall have been performed;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delivery by each Purchaser of the items set forth in Section 2.2(b)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respective obligations of the Purchasers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accuracy in all material respects (or, to the extent representations or warranties are qualified by materiality or Material Adverse Effect, in all respects)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obligations, covenants and agreements of the Company required to be performed at or prior to the Closing Date shall have been performed;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delivery by the Company of the items set forth in Section 2.2(a)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shall have been no Material Adverse Effect with respect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Organization and Qualification</w:t>
      </w:r>
      <w:r>
        <w:rPr>
          <w:rFonts w:ascii="Times New Roman" w:hAnsi="Times New Roman"/>
          <w:color w:val="000000"/>
          <w:sz w:val="24"/>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its obligations under any Transaction Document (any of (i), (ii) or (iii), a “</w:t>
      </w:r>
      <w:r>
        <w:rPr>
          <w:rFonts w:ascii="Times New Roman" w:hAnsi="Times New Roman"/>
          <w:color w:val="000000"/>
          <w:sz w:val="24"/>
          <w:u w:val="single"/>
        </w:rPr>
        <w:t>Material Adverse Effect</w:t>
      </w:r>
      <w:r>
        <w:rPr>
          <w:color w:val="000000"/>
        </w:rPr>
        <w:t>”</w:t>
      </w:r>
      <w:r>
        <w:rPr>
          <w:rFonts w:ascii="Times New Roman" w:hAnsi="Times New Roman"/>
          <w:color w:val="000000"/>
          <w:sz w:val="24"/>
        </w:rPr>
        <w:t>) and no Proceeding has been instituted in any such jurisdiction revoking, limiting or curtailing or seeking to revoke, limit or curtail such power and authority or qualification.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Authorization; Enforcement</w:t>
      </w:r>
      <w:r>
        <w:rPr>
          <w:rFonts w:ascii="Times New Roman" w:hAnsi="Times New Roman"/>
          <w:color w:val="000000"/>
          <w:sz w:val="24"/>
        </w:rPr>
        <w:t xml:space="preserve">.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Filings, Consents and Approvals</w:t>
      </w:r>
      <w:r>
        <w:rPr>
          <w:rFonts w:ascii="Times New Roman" w:hAnsi="Times New Roman"/>
          <w:color w:val="000000"/>
          <w:sz w:val="24"/>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the listing of the Shares and Warrant Shares for trading thereon in the time and manner required thereby, (iv) the filing of Form D with the Commission (v) Stockholder Approval and (vi) such filings as are required to be made under applicable state securities laws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Issuance of the Securities</w:t>
      </w:r>
      <w:r>
        <w:rPr>
          <w:rFonts w:ascii="Times New Roman" w:hAnsi="Times New Roman"/>
          <w:color w:val="000000"/>
          <w:sz w:val="24"/>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xml:space="preserve">. The capitalization of the Company as of the date hereof is as set forth on Schedule 3.1(g), which Schedule 3.1(g) shall also include the number of shares of Common Stock owned beneficially, and of record, by Affiliates of the Company as of the date thereof.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on </w:t>
      </w:r>
      <w:r>
        <w:rPr>
          <w:rFonts w:ascii="Times New Roman" w:hAnsi="Times New Roman"/>
          <w:color w:val="000000"/>
          <w:sz w:val="24"/>
          <w:u w:val="single"/>
        </w:rPr>
        <w:t>Schedule 3.1(g)</w:t>
      </w:r>
      <w:r>
        <w:rPr>
          <w:rFonts w:ascii="Times New Roman" w:hAnsi="Times New Roman"/>
          <w:color w:val="000000"/>
          <w:sz w:val="24"/>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Stockholder Approval,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SEC Reports; Financial Statements</w:t>
      </w:r>
      <w:r>
        <w:rPr>
          <w:rFonts w:ascii="Times New Roman" w:hAnsi="Times New Roman"/>
          <w:color w:val="000000"/>
          <w:sz w:val="24"/>
        </w:rPr>
        <w:t xml:space="preserve">. The Company has filed all reports, schedules, forms, statements and other documents required to be filed by the Company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w:t>
      </w:r>
      <w:r>
        <w:rPr>
          <w:color w:val="000000"/>
        </w:rPr>
        <w:t xml:space="preserve"> </w:t>
      </w:r>
      <w:r>
        <w:rPr>
          <w:rFonts w:ascii="Times New Roman" w:hAnsi="Times New Roman"/>
          <w:color w:val="000000"/>
          <w:sz w:val="24"/>
        </w:rPr>
        <w:t>being collectively referred to herein as the “</w:t>
      </w:r>
      <w:r>
        <w:rPr>
          <w:rFonts w:ascii="Times New Roman" w:hAnsi="Times New Roman"/>
          <w:color w:val="000000"/>
          <w:sz w:val="24"/>
          <w:u w:val="single"/>
        </w:rPr>
        <w:t>SEC Reports</w:t>
      </w:r>
      <w:r>
        <w:rPr>
          <w:color w:val="000000"/>
        </w:rPr>
        <w:t>”</w:t>
      </w:r>
      <w:r>
        <w:rPr>
          <w:rFonts w:ascii="Times New Roman" w:hAnsi="Times New Roman"/>
          <w:color w:val="000000"/>
          <w:sz w:val="24"/>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4"/>
          <w:u w:val="single"/>
        </w:rPr>
        <w:t>GAAP</w:t>
      </w:r>
      <w:r>
        <w:rPr>
          <w:color w:val="000000"/>
        </w:rPr>
        <w:t>”</w:t>
      </w:r>
      <w:r>
        <w:rPr>
          <w:rFonts w:ascii="Times New Roman" w:hAnsi="Times New Roman"/>
          <w:color w:val="000000"/>
          <w:sz w:val="24"/>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xml:space="preserve">. Since the date of the latest audited financial statements included within the SEC Reports, except as set forth on </w:t>
      </w:r>
      <w:r>
        <w:rPr>
          <w:rFonts w:ascii="Times New Roman" w:hAnsi="Times New Roman"/>
          <w:color w:val="000000"/>
          <w:sz w:val="24"/>
          <w:u w:val="single"/>
        </w:rPr>
        <w:t>Schedule 3.1(i)</w:t>
      </w:r>
      <w:r>
        <w:rPr>
          <w:rFonts w:ascii="Times New Roman" w:hAnsi="Times New Roman"/>
          <w:color w:val="000000"/>
          <w:sz w:val="24"/>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hAnsi="Times New Roman"/>
          <w:color w:val="000000"/>
          <w:sz w:val="24"/>
          <w:u w:val="single"/>
        </w:rPr>
        <w:t>Schedule 3.1(i)</w:t>
      </w:r>
      <w:r>
        <w:rPr>
          <w:rFonts w:ascii="Times New Roman" w:hAnsi="Times New Roman"/>
          <w:color w:val="000000"/>
          <w:sz w:val="24"/>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xml:space="preserve">. Except as set forth on </w:t>
      </w:r>
      <w:r>
        <w:rPr>
          <w:rFonts w:ascii="Times New Roman" w:hAnsi="Times New Roman"/>
          <w:color w:val="000000"/>
          <w:sz w:val="24"/>
          <w:u w:val="single"/>
        </w:rPr>
        <w:t>Schedule 3.1(j)</w:t>
      </w:r>
      <w:r>
        <w:rPr>
          <w:rFonts w:ascii="Times New Roman" w:hAnsi="Times New Roman"/>
          <w:color w:val="000000"/>
          <w:sz w:val="24"/>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4"/>
          <w:u w:val="single"/>
        </w:rPr>
        <w:t>Action</w:t>
      </w:r>
      <w:r>
        <w:rPr>
          <w:color w:val="000000"/>
        </w:rPr>
        <w:t>”</w:t>
      </w:r>
      <w:r>
        <w:rPr>
          <w:rFonts w:ascii="Times New Roman" w:hAnsi="Times New Roman"/>
          <w:color w:val="000000"/>
          <w:sz w:val="24"/>
        </w:rPr>
        <w:t xml:space="preserve">). None of the Actions set forth on </w:t>
      </w:r>
      <w:r>
        <w:rPr>
          <w:rFonts w:ascii="Times New Roman" w:hAnsi="Times New Roman"/>
          <w:color w:val="000000"/>
          <w:sz w:val="24"/>
          <w:u w:val="single"/>
        </w:rPr>
        <w:t>Schedule 3.1(j)</w:t>
      </w:r>
      <w:r>
        <w:rPr>
          <w:rFonts w:ascii="Times New Roman" w:hAnsi="Times New Roman"/>
          <w:color w:val="000000"/>
          <w:sz w:val="24"/>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Labor Relations</w:t>
      </w:r>
      <w:r>
        <w:rPr>
          <w:rFonts w:ascii="Times New Roman" w:hAnsi="Times New Roman"/>
          <w:color w:val="000000"/>
          <w:sz w:val="24"/>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Compliance</w:t>
      </w:r>
      <w:r>
        <w:rPr>
          <w:rFonts w:ascii="Times New Roman" w:hAnsi="Times New Roman"/>
          <w:color w:val="000000"/>
          <w:sz w:val="24"/>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employment and labor matters, except in each case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4"/>
          <w:u w:val="single"/>
        </w:rPr>
        <w:t>Hazardous Materials</w:t>
      </w:r>
      <w:r>
        <w:rPr>
          <w:color w:val="000000"/>
        </w:rPr>
        <w:t>”</w:t>
      </w:r>
      <w:r>
        <w:rPr>
          <w:rFonts w:ascii="Times New Roman" w:hAnsi="Times New Roman"/>
          <w:color w:val="000000"/>
          <w:sz w:val="24"/>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4"/>
          <w:u w:val="single"/>
        </w:rPr>
        <w:t>Environmental Laws</w:t>
      </w:r>
      <w:r>
        <w:rPr>
          <w:color w:val="000000"/>
        </w:rPr>
        <w:t>”</w:t>
      </w:r>
      <w:r>
        <w:rPr>
          <w:rFonts w:ascii="Times New Roman" w:hAnsi="Times New Roman"/>
          <w:color w:val="000000"/>
          <w:sz w:val="24"/>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Regulatory Permits</w:t>
      </w:r>
      <w:r>
        <w:rPr>
          <w:rFonts w:ascii="Times New Roman" w:hAnsi="Times New Roman"/>
          <w:color w:val="000000"/>
          <w:sz w:val="24"/>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4"/>
          <w:u w:val="single"/>
        </w:rPr>
        <w:t>Material Permits</w:t>
      </w:r>
      <w:r>
        <w:rPr>
          <w:color w:val="000000"/>
        </w:rPr>
        <w:t>”</w:t>
      </w:r>
      <w:r>
        <w:rPr>
          <w:rFonts w:ascii="Times New Roman" w:hAnsi="Times New Roman"/>
          <w:color w:val="000000"/>
          <w:sz w:val="24"/>
        </w:rPr>
        <w:t>), and neither the Company nor any Subsidiary has received any notice of proceedings relating to the revocation or modification of any Material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Title to Assets</w:t>
      </w:r>
      <w:r>
        <w:rPr>
          <w:rFonts w:ascii="Times New Roman" w:hAnsi="Times New Roman"/>
          <w:color w:val="000000"/>
          <w:sz w:val="24"/>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4"/>
          <w:u w:val="single"/>
        </w:rPr>
        <w:t>Intellectual Property Rights</w:t>
      </w:r>
      <w:r>
        <w:rPr>
          <w:color w:val="000000"/>
        </w:rPr>
        <w:t>”</w:t>
      </w:r>
      <w:r>
        <w:rPr>
          <w:rFonts w:ascii="Times New Roman" w:hAnsi="Times New Roman"/>
          <w:color w:val="000000"/>
          <w:sz w:val="24"/>
        </w:rPr>
        <w:t xml:space="preserve">). None of, and neither the Company nor any Subsidiary has received a notice (written or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Transactions with Affiliates and Employees</w:t>
      </w:r>
      <w:r>
        <w:rPr>
          <w:rFonts w:ascii="Times New Roman" w:hAnsi="Times New Roman"/>
          <w:color w:val="000000"/>
          <w:sz w:val="24"/>
        </w:rPr>
        <w:t xml:space="preserve">. Except as set forth on </w:t>
      </w:r>
      <w:r>
        <w:rPr>
          <w:rFonts w:ascii="Times New Roman" w:hAnsi="Times New Roman"/>
          <w:color w:val="000000"/>
          <w:sz w:val="24"/>
          <w:u w:val="single"/>
        </w:rPr>
        <w:t>Schedule 3.1(r)</w:t>
      </w:r>
      <w:r>
        <w:rPr>
          <w:rFonts w:ascii="Times New Roman" w:hAnsi="Times New Roman"/>
          <w:color w:val="000000"/>
          <w:sz w:val="24"/>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Sarbanes-Oxley; Internal Accounting Controls</w:t>
      </w:r>
      <w:r>
        <w:rPr>
          <w:rFonts w:ascii="Times New Roman" w:hAnsi="Times New Roman"/>
          <w:color w:val="000000"/>
          <w:sz w:val="24"/>
        </w:rPr>
        <w:t xml:space="preserve">.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4"/>
          <w:u w:val="single"/>
        </w:rPr>
        <w:t>Evaluation Date</w:t>
      </w:r>
      <w:r>
        <w:rPr>
          <w:color w:val="000000"/>
        </w:rPr>
        <w:t>”</w:t>
      </w:r>
      <w:r>
        <w:rPr>
          <w:rFonts w:ascii="Times New Roman" w:hAnsi="Times New Roman"/>
          <w:color w:val="000000"/>
          <w:sz w:val="24"/>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Certain Fees</w:t>
      </w:r>
      <w:r>
        <w:rPr>
          <w:rFonts w:ascii="Times New Roman" w:hAnsi="Times New Roman"/>
          <w:color w:val="000000"/>
          <w:sz w:val="24"/>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Private Placement</w:t>
      </w:r>
      <w:r>
        <w:rPr>
          <w:rFonts w:ascii="Times New Roman" w:hAnsi="Times New Roman"/>
          <w:color w:val="000000"/>
          <w:sz w:val="24"/>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Investment Company</w:t>
      </w:r>
      <w:r>
        <w:rPr>
          <w:rFonts w:ascii="Times New Roman" w:hAnsi="Times New Roman"/>
          <w:color w:val="000000"/>
          <w:sz w:val="24"/>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Registration Rights</w:t>
      </w:r>
      <w:r>
        <w:rPr>
          <w:rFonts w:ascii="Times New Roman" w:hAnsi="Times New Roman"/>
          <w:color w:val="000000"/>
          <w:sz w:val="24"/>
        </w:rPr>
        <w:t>. Except as set forth on Schedule 3.1(v), no Person has any right to cause the Company or any Subsidiary to effect the registration under the Securities Act of any securities of the Company or any Subsidiary.</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Listing and Maintenance Requirements</w:t>
      </w:r>
      <w:r>
        <w:rPr>
          <w:rFonts w:ascii="Times New Roman" w:hAnsi="Times New Roman"/>
          <w:color w:val="000000"/>
          <w:sz w:val="24"/>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hAnsi="Times New Roman"/>
          <w:color w:val="000000"/>
          <w:sz w:val="24"/>
          <w:u w:val="single"/>
        </w:rPr>
        <w:t>Schedule 3.1(w)</w:t>
      </w:r>
      <w:r>
        <w:rPr>
          <w:rFonts w:ascii="Times New Roman" w:hAnsi="Times New Roman"/>
          <w:color w:val="000000"/>
          <w:sz w:val="24"/>
        </w:rPr>
        <w: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To the Company’s knowledge it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Application of Takeover Protections</w:t>
      </w:r>
      <w:r>
        <w:rPr>
          <w:rFonts w:ascii="Times New Roman" w:hAnsi="Times New Roman"/>
          <w:color w:val="000000"/>
          <w:sz w:val="24"/>
        </w:rPr>
        <w:t>. The Company and the Board of Directors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Disclosure</w:t>
      </w:r>
      <w:r>
        <w:rPr>
          <w:rFonts w:ascii="Times New Roman" w:hAnsi="Times New Roman"/>
          <w:color w:val="000000"/>
          <w:sz w:val="24"/>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No Integrated Offering</w:t>
      </w:r>
      <w:r>
        <w:rPr>
          <w:rFonts w:ascii="Times New Roman" w:hAnsi="Times New Roman"/>
          <w:color w:val="000000"/>
          <w:sz w:val="24"/>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(i) the Securities Act which would require the registration of any such securities under the Securities Act, or (ii) of any applicable shareholder approval provisions of any Trading Market on which any of the securities of the Company are listed or designated.</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hAnsi="Times New Roman"/>
          <w:color w:val="000000"/>
          <w:sz w:val="24"/>
          <w:u w:val="single"/>
        </w:rPr>
        <w:t>Schedule 3.1(bb)</w:t>
      </w:r>
      <w:r>
        <w:rPr>
          <w:color w:val="000000"/>
        </w:rPr>
        <w:t xml:space="preserve"> </w:t>
      </w:r>
      <w:r>
        <w:rPr>
          <w:rFonts w:ascii="Times New Roman" w:hAnsi="Times New Roman"/>
          <w:color w:val="000000"/>
          <w:sz w:val="24"/>
        </w:rPr>
        <w:t>sets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4"/>
          <w:u w:val="single"/>
        </w:rPr>
        <w:t>Indebtedness</w:t>
      </w:r>
      <w:r>
        <w:rPr>
          <w:color w:val="000000"/>
        </w:rPr>
        <w:t xml:space="preserve">” </w:t>
      </w:r>
      <w:r>
        <w:rPr>
          <w:rFonts w:ascii="Times New Roman" w:hAnsi="Times New Roman"/>
          <w:color w:val="000000"/>
          <w:sz w:val="24"/>
        </w:rPr>
        <w:t>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u w:val="single"/>
        </w:rPr>
        <w:t>Tax Status</w:t>
      </w:r>
      <w:r>
        <w:rPr>
          <w:rFonts w:ascii="Times New Roman" w:hAnsi="Times New Roman"/>
          <w:color w:val="000000"/>
          <w:sz w:val="24"/>
        </w:rPr>
        <w:t xml:space="preserve">.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rFonts w:ascii="Times New Roman" w:hAnsi="Times New Roman"/>
          <w:color w:val="000000"/>
          <w:sz w:val="24"/>
          <w:u w:val="single"/>
        </w:rPr>
        <w:t>No General Solicitation</w:t>
      </w:r>
      <w:r>
        <w:rPr>
          <w:rFonts w:ascii="Times New Roman" w:hAnsi="Times New Roman"/>
          <w:color w:val="000000"/>
          <w:sz w:val="24"/>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u w:val="single"/>
        </w:rPr>
        <w:t>Foreign Corrupt Practices.</w:t>
      </w:r>
      <w:r>
        <w:rPr>
          <w:color w:val="000000"/>
        </w:rPr>
        <w:t xml:space="preserve"> </w:t>
      </w:r>
      <w:r>
        <w:rPr>
          <w:rFonts w:ascii="Times New Roman" w:hAnsi="Times New Roman"/>
          <w:color w:val="000000"/>
          <w:sz w:val="24"/>
        </w:rPr>
        <w:t>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rFonts w:ascii="Times New Roman" w:hAnsi="Times New Roman"/>
          <w:color w:val="000000"/>
          <w:sz w:val="24"/>
          <w:u w:val="single"/>
        </w:rPr>
        <w:t>Accountants</w:t>
      </w:r>
      <w:r>
        <w:rPr>
          <w:rFonts w:ascii="Times New Roman" w:hAnsi="Times New Roman"/>
          <w:color w:val="000000"/>
          <w:sz w:val="24"/>
        </w:rPr>
        <w:t>. The Company’s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u w:val="single"/>
        </w:rPr>
        <w:t>No Disagreements with Accountants and Lawyers.</w:t>
      </w:r>
      <w:r>
        <w:rPr>
          <w:color w:val="000000"/>
        </w:rPr>
        <w:t xml:space="preserve"> </w:t>
      </w:r>
      <w:r>
        <w:rPr>
          <w:rFonts w:ascii="Times New Roman" w:hAnsi="Times New Roman"/>
          <w:color w:val="000000"/>
          <w:sz w:val="24"/>
        </w:rPr>
        <w:t xml:space="preserve">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rFonts w:ascii="Times New Roman" w:hAnsi="Times New Roman"/>
          <w:color w:val="000000"/>
          <w:sz w:val="24"/>
          <w:u w:val="single"/>
        </w:rPr>
        <w:t>Acknowledgment Regarding Purchasers’ Purchase of Securities</w:t>
      </w:r>
      <w:r>
        <w:rPr>
          <w:rFonts w:ascii="Times New Roman" w:hAnsi="Times New Roman"/>
          <w:color w:val="000000"/>
          <w:sz w:val="24"/>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Acknowledgment Regarding Purchaser’s Trading Activity.</w:t>
      </w:r>
      <w:r>
        <w:rPr>
          <w:color w:val="000000"/>
        </w:rPr>
        <w:t xml:space="preserve"> </w:t>
      </w:r>
      <w:r>
        <w:rPr>
          <w:rFonts w:ascii="Times New Roman" w:hAnsi="Times New Roman"/>
          <w:color w:val="000000"/>
          <w:sz w:val="24"/>
        </w:rPr>
        <w:t>Anything in this Agreement or elsewhere herein to the contrary notwithstanding (except for Sections 3.2(f) and 4.1f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rFonts w:ascii="Times New Roman" w:hAnsi="Times New Roman"/>
          <w:color w:val="000000"/>
          <w:sz w:val="24"/>
          <w:u w:val="single"/>
        </w:rPr>
        <w:t>Regulation M Compliance.</w:t>
      </w:r>
      <w:r>
        <w:rPr>
          <w:color w:val="000000"/>
        </w:rPr>
        <w:t xml:space="preserve"> </w:t>
      </w:r>
      <w:r>
        <w:rPr>
          <w:rFonts w:ascii="Times New Roman" w:hAnsi="Times New Roman"/>
          <w:color w:val="000000"/>
          <w:sz w:val="24"/>
        </w:rPr>
        <w:t>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rFonts w:ascii="Times New Roman" w:hAnsi="Times New Roman"/>
          <w:color w:val="000000"/>
          <w:sz w:val="24"/>
          <w:u w:val="single"/>
        </w:rPr>
        <w:t>FDA</w:t>
      </w:r>
      <w:r>
        <w:rPr>
          <w:rFonts w:ascii="Times New Roman" w:hAnsi="Times New Roman"/>
          <w:color w:val="000000"/>
          <w:sz w:val="24"/>
        </w:rPr>
        <w:t>. As to each product subject to the jurisdiction of the U.S. Food and Drug Administration (“</w:t>
      </w:r>
      <w:r>
        <w:rPr>
          <w:rFonts w:ascii="Times New Roman" w:hAnsi="Times New Roman"/>
          <w:color w:val="000000"/>
          <w:sz w:val="24"/>
          <w:u w:val="single"/>
        </w:rPr>
        <w:t>FDA</w:t>
      </w:r>
      <w:r>
        <w:rPr>
          <w:color w:val="000000"/>
        </w:rPr>
        <w:t>”</w:t>
      </w:r>
      <w:r>
        <w:rPr>
          <w:rFonts w:ascii="Times New Roman" w:hAnsi="Times New Roman"/>
          <w:color w:val="000000"/>
          <w:sz w:val="24"/>
        </w:rPr>
        <w:t>) under the Federal Food, Drug and Cosmetic Act, as amended, and the regulations thereunder (“</w:t>
      </w:r>
      <w:r>
        <w:rPr>
          <w:rFonts w:ascii="Times New Roman" w:hAnsi="Times New Roman"/>
          <w:color w:val="000000"/>
          <w:sz w:val="24"/>
          <w:u w:val="single"/>
        </w:rPr>
        <w:t>FDCA</w:t>
      </w:r>
      <w:r>
        <w:rPr>
          <w:color w:val="000000"/>
        </w:rPr>
        <w:t>”</w:t>
      </w:r>
      <w:r>
        <w:rPr>
          <w:rFonts w:ascii="Times New Roman" w:hAnsi="Times New Roman"/>
          <w:color w:val="000000"/>
          <w:sz w:val="24"/>
        </w:rPr>
        <w:t>) that is manufactured, packaged, labeled, tested, distributed, sold, and/or marketed by the Company or any of its Subsidiaries as of the date hereof (each such product, a “</w:t>
      </w:r>
      <w:r>
        <w:rPr>
          <w:rFonts w:ascii="Times New Roman" w:hAnsi="Times New Roman"/>
          <w:color w:val="000000"/>
          <w:sz w:val="24"/>
          <w:u w:val="single"/>
        </w:rPr>
        <w:t>Pharmaceutical Product</w:t>
      </w:r>
      <w:r>
        <w:rPr>
          <w:color w:val="000000"/>
        </w:rPr>
        <w:t>”</w:t>
      </w:r>
      <w:r>
        <w:rPr>
          <w:rFonts w:ascii="Times New Roman" w:hAnsi="Times New Roman"/>
          <w:color w:val="000000"/>
          <w:sz w:val="24"/>
        </w:rPr>
        <w:t xml:space="preserve">),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pPr>
      <w:r>
        <w:rPr>
          <w:rFonts w:ascii="Times New Roman" w:hAnsi="Times New Roman"/>
          <w:color w:val="000000"/>
          <w:sz w:val="24"/>
          <w:u w:val="single"/>
        </w:rPr>
        <w:t>Stock Option Plans</w:t>
      </w:r>
      <w:r>
        <w:rPr>
          <w:rFonts w:ascii="Times New Roman" w:hAnsi="Times New Roman"/>
          <w:color w:val="000000"/>
          <w:sz w:val="24"/>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4"/>
          <w:u w:val="single"/>
        </w:rPr>
        <w:t>IT Systems and Data</w:t>
      </w:r>
      <w:r>
        <w:rPr>
          <w:color w:val="000000"/>
        </w:rPr>
        <w:t>”</w:t>
      </w:r>
      <w:r>
        <w:rPr>
          <w:rFonts w:ascii="Times New Roman" w:hAnsi="Times New Roman"/>
          <w:color w:val="000000"/>
          <w:sz w:val="24"/>
        </w:rPr>
        <w:t xml:space="preserve">)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u w:val="single"/>
        </w:rPr>
        <w:t>Office of Foreign Assets Control</w:t>
      </w:r>
      <w:r>
        <w:rPr>
          <w:rFonts w:ascii="Times New Roman" w:hAnsi="Times New Roman"/>
          <w:color w:val="000000"/>
          <w:sz w:val="24"/>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color w:val="000000"/>
          <w:sz w:val="24"/>
          <w:u w:val="single"/>
        </w:rPr>
        <w:t>OFAC</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left"/>
        <w:rPr/>
      </w:pPr>
      <w:r>
        <w:rPr>
          <w:rFonts w:ascii="Times New Roman" w:hAnsi="Times New Roman"/>
          <w:color w:val="000000"/>
          <w:sz w:val="24"/>
          <w:u w:val="single"/>
        </w:rPr>
        <w:t>U.S. Real Property Holding Corporation</w:t>
      </w:r>
      <w:r>
        <w:rPr>
          <w:rFonts w:ascii="Times New Roman" w:hAnsi="Times New Roman"/>
          <w:color w:val="000000"/>
          <w:sz w:val="24"/>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pPr>
      <w:r>
        <w:rPr>
          <w:rFonts w:ascii="Times New Roman" w:hAnsi="Times New Roman"/>
          <w:color w:val="000000"/>
          <w:sz w:val="24"/>
          <w:u w:val="single"/>
        </w:rPr>
        <w:t>Bank Holding Company Act</w:t>
      </w:r>
      <w:r>
        <w:rPr>
          <w:rFonts w:ascii="Times New Roman" w:hAnsi="Times New Roman"/>
          <w:color w:val="000000"/>
          <w:sz w:val="24"/>
        </w:rPr>
        <w:t>. Neither the Company nor any of its Subsidiaries or Affiliates is subject to the Bank Holding Company Act of 1956, as amended (the “</w:t>
      </w:r>
      <w:r>
        <w:rPr>
          <w:rFonts w:ascii="Times New Roman" w:hAnsi="Times New Roman"/>
          <w:color w:val="000000"/>
          <w:sz w:val="24"/>
          <w:u w:val="single"/>
        </w:rPr>
        <w:t>BHCA</w:t>
      </w:r>
      <w:r>
        <w:rPr>
          <w:color w:val="000000"/>
        </w:rPr>
        <w:t>”</w:t>
      </w:r>
      <w:r>
        <w:rPr>
          <w:rFonts w:ascii="Times New Roman" w:hAnsi="Times New Roman"/>
          <w:color w:val="000000"/>
          <w:sz w:val="24"/>
        </w:rPr>
        <w:t>) and to regulation by the Board of Governors of the Federal Reserve System (the “</w:t>
      </w:r>
      <w:r>
        <w:rPr>
          <w:rFonts w:ascii="Times New Roman" w:hAnsi="Times New Roman"/>
          <w:color w:val="000000"/>
          <w:sz w:val="24"/>
          <w:u w:val="single"/>
        </w:rPr>
        <w:t>Federal Reserve</w:t>
      </w:r>
      <w:r>
        <w:rPr>
          <w:color w:val="000000"/>
        </w:rPr>
        <w:t>”</w:t>
      </w:r>
      <w:r>
        <w:rPr>
          <w:rFonts w:ascii="Times New Roman" w:hAnsi="Times New Roman"/>
          <w:color w:val="000000"/>
          <w:sz w:val="24"/>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pPr>
      <w:r>
        <w:rPr>
          <w:rFonts w:ascii="Times New Roman" w:hAnsi="Times New Roman"/>
          <w:color w:val="000000"/>
          <w:sz w:val="24"/>
          <w:u w:val="single"/>
        </w:rPr>
        <w:t>Money Laundering</w:t>
      </w:r>
      <w:r>
        <w:rPr>
          <w:rFonts w:ascii="Times New Roman" w:hAnsi="Times New Roman"/>
          <w:color w:val="000000"/>
          <w:sz w:val="24"/>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xml:space="preserve">.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(“GDPR”) (EU 2016/679) (collectively, “Privacy Laws”);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“Policies”);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p>
    <w:p>
      <w:pPr>
        <w:pStyle w:val="HorizontalLine"/>
        <w:pBdr>
          <w:bottom w:val="double" w:sz="2" w:space="0" w:color="808080"/>
        </w:pBdr>
        <w:bidi w:val="0"/>
        <w:spacing w:before="0" w:after="283"/>
        <w:jc w:val="left"/>
        <w:rPr/>
      </w:pPr>
      <w:r>
        <w:rPr/>
      </w:r>
    </w:p>
    <w:p>
      <w:pPr>
        <w:pStyle w:val="TextBody"/>
        <w:bidi w:val="0"/>
        <w:spacing w:before="0" w:after="240"/>
        <w:jc w:val="both"/>
        <w:rPr>
          <w:color w:val="000000"/>
        </w:rPr>
      </w:pPr>
      <w:r>
        <w:rPr>
          <w:color w:val="000000"/>
        </w:rPr>
        <w:t>“</w:t>
      </w:r>
      <w:r>
        <w:rPr>
          <w:rFonts w:ascii="Times New Roman" w:hAnsi="Times New Roman"/>
          <w:color w:val="000000"/>
          <w:sz w:val="24"/>
        </w:rPr>
        <w:t>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rFonts w:ascii="Times New Roman" w:hAnsi="Times New Roman"/>
          <w:color w:val="000000"/>
          <w:sz w:val="24"/>
          <w:u w:val="single"/>
        </w:rPr>
        <w:t>No Disqualification Events</w:t>
      </w:r>
      <w:r>
        <w:rPr>
          <w:rFonts w:ascii="Times New Roman" w:hAnsi="Times New Roman"/>
          <w:color w:val="000000"/>
          <w:sz w:val="24"/>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rFonts w:ascii="Times New Roman" w:hAnsi="Times New Roman"/>
          <w:color w:val="000000"/>
          <w:sz w:val="24"/>
          <w:u w:val="single"/>
        </w:rPr>
        <w:t>Other Covered Persons</w:t>
      </w:r>
      <w:r>
        <w:rPr>
          <w:rFonts w:ascii="Times New Roman" w:hAnsi="Times New Roman"/>
          <w:color w:val="000000"/>
          <w:sz w:val="24"/>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pPr>
      <w:r>
        <w:rPr>
          <w:rFonts w:ascii="Times New Roman" w:hAnsi="Times New Roman"/>
          <w:color w:val="000000"/>
          <w:sz w:val="24"/>
          <w:u w:val="single"/>
        </w:rPr>
        <w:t>Notice of Disqualification Events</w:t>
      </w:r>
      <w:r>
        <w:rPr>
          <w:rFonts w:ascii="Times New Roman" w:hAnsi="Times New Roman"/>
          <w:color w:val="000000"/>
          <w:sz w:val="24"/>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Representations and Warranties of the Purchasers</w:t>
      </w:r>
      <w:r>
        <w:rPr>
          <w:rFonts w:ascii="Times New Roman" w:hAnsi="Times New Roman"/>
          <w:color w:val="000000"/>
          <w:sz w:val="24"/>
        </w:rPr>
        <w:t xml:space="preserve">. Each Purchaser, for itself and for no other Purchaser, hereby represents and warrants as of the date hereof and as of the Closing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 to the Company as follows (unless as of a specific date therein, in which case they shall be accurate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Authority</w:t>
      </w:r>
      <w:r>
        <w:rPr>
          <w:rFonts w:ascii="Times New Roman" w:hAnsi="Times New Roman"/>
          <w:color w:val="000000"/>
          <w:sz w:val="24"/>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Own Account</w:t>
      </w:r>
      <w:r>
        <w:rPr>
          <w:rFonts w:ascii="Times New Roman" w:hAnsi="Times New Roman"/>
          <w:color w:val="000000"/>
          <w:sz w:val="24"/>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Purchaser Status</w:t>
      </w:r>
      <w:r>
        <w:rPr>
          <w:rFonts w:ascii="Times New Roman" w:hAnsi="Times New Roman"/>
          <w:color w:val="000000"/>
          <w:sz w:val="24"/>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Experience of Such Purchaser</w:t>
      </w:r>
      <w:r>
        <w:rPr>
          <w:rFonts w:ascii="Times New Roman" w:hAnsi="Times New Roman"/>
          <w:color w:val="000000"/>
          <w:sz w:val="24"/>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Purchaser is able to bear the economic risk of an investment in the Securities and, at the present time, is able to afford a complete loss of such investment.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General Solicitation</w:t>
      </w:r>
      <w:r>
        <w:rPr>
          <w:rFonts w:ascii="Times New Roman" w:hAnsi="Times New Roman"/>
          <w:color w:val="000000"/>
          <w:sz w:val="24"/>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Access to Information</w:t>
      </w:r>
      <w:r>
        <w:rPr>
          <w:rFonts w:ascii="Times New Roman" w:hAnsi="Times New Roman"/>
          <w:color w:val="000000"/>
          <w:sz w:val="24"/>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definitive pricing terms from the Company or any other Person representing the Company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OTHER AGREEMENTS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Transfer Restrictions.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Purchasers agree to the imprinting, so long as is required by this Section 4.1, of a legend on any of the Securities in the following form:</w:t>
      </w:r>
    </w:p>
    <w:p>
      <w:pPr>
        <w:pStyle w:val="TextBody"/>
        <w:bidi w:val="0"/>
        <w:spacing w:before="0" w:after="240"/>
        <w:jc w:val="both"/>
        <w:rPr>
          <w:rFonts w:ascii="Times New Roman" w:hAnsi="Times New Roman"/>
          <w:sz w:val="20"/>
        </w:rPr>
      </w:pPr>
      <w:r>
        <w:rPr>
          <w:rFonts w:ascii="Times New Roman" w:hAnsi="Times New Roman"/>
          <w:color w:val="000000"/>
          <w:sz w:val="24"/>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RULE 501(a) UNDER THE SECURITIES ACT OR OTHER LOAN SECURED BY SUCH SECURITIES.</w:t>
      </w:r>
    </w:p>
    <w:p>
      <w:pPr>
        <w:pStyle w:val="TextBody"/>
        <w:bidi w:val="0"/>
        <w:spacing w:before="0" w:after="240"/>
        <w:jc w:val="both"/>
        <w:rPr>
          <w:rFonts w:ascii="Times New Roman" w:hAnsi="Times New Roman"/>
          <w:sz w:val="20"/>
        </w:rPr>
      </w:pPr>
      <w:r>
        <w:rPr>
          <w:rFonts w:ascii="Times New Roman" w:hAnsi="Times New Roman"/>
          <w:color w:val="000000"/>
          <w:sz w:val="24"/>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 without the requirement for the Company to be in compliance with the current public information required under Rule 144 as to such Shares and Warrant Shares and without volume or manner-of-sale restrictions, (iv) if such Shares or Warrant Shares may be sold under Rule 144 and the Purchaser is not an affiliate of the Company (assuming cashless exercise of the Warrants) and the Company is then in compliance with the current public information required under Rule 144 as to such Warrant Shares or (v)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4.1(c), it will, no later than the earlier of (i) two (2) Trading Days and (ii) the number of Trading Days comprising the Standard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Settlement Period (as defined below) following the delivery by a Purchaser to the Company or the Transfer Agent of a certificate representing Shares or Warrant Shares, as the case may be, issued with a restrictive legend (such date, the “Legend Removal Date”),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“Buy-In Price”)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clause (ii).</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 forth therein, and acknowledges that the removal of the restrictive legend from certificates representing Securities as set forth in this Section 4.1 is predicated upon the Company’s reliance upon this understanding.</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Furnishing of Information; Public Information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“Public Information Failure”)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on the day of a Public Information Failure and on every thirtieth (30</w:t>
      </w:r>
      <w:r>
        <w:rPr>
          <w:rFonts w:ascii="Times New Roman" w:hAnsi="Times New Roman"/>
          <w:color w:val="000000"/>
          <w:sz w:val="16"/>
        </w:rPr>
        <w:t>th</w:t>
      </w:r>
      <w:r>
        <w:rPr>
          <w:rFonts w:ascii="Times New Roman" w:hAnsi="Times New Roman"/>
          <w:color w:val="000000"/>
          <w:sz w:val="24"/>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“Public Information Failure Payments.” Public Information Failure</w:t>
      </w:r>
      <w:r>
        <w:rPr>
          <w:color w:val="000000"/>
        </w:rPr>
        <w:t xml:space="preserve"> </w:t>
      </w:r>
      <w:r>
        <w:rPr>
          <w:rFonts w:ascii="Times New Roman" w:hAnsi="Times New Roman"/>
          <w:color w:val="000000"/>
          <w:sz w:val="24"/>
        </w:rPr>
        <w:t>Payments shall be paid on the earlier of (i) the last day of the calendar month during which such Public Information Failure</w:t>
      </w:r>
      <w:r>
        <w:rPr>
          <w:color w:val="000000"/>
        </w:rPr>
        <w:t xml:space="preserve"> </w:t>
      </w:r>
      <w:r>
        <w:rPr>
          <w:rFonts w:ascii="Times New Roman" w:hAnsi="Times New Roman"/>
          <w:color w:val="000000"/>
          <w:sz w:val="24"/>
        </w:rPr>
        <w:t>Payments are incurred and (ii) the third (3</w:t>
      </w:r>
      <w:r>
        <w:rPr>
          <w:rFonts w:ascii="Times New Roman" w:hAnsi="Times New Roman"/>
          <w:color w:val="000000"/>
          <w:sz w:val="16"/>
        </w:rPr>
        <w:t>rd</w:t>
      </w:r>
      <w:r>
        <w:rPr>
          <w:rFonts w:ascii="Times New Roman" w:hAnsi="Times New Roman"/>
          <w:color w:val="000000"/>
          <w:sz w:val="24"/>
        </w:rPr>
        <w:t>) Business Day after the event or failure giving rise to the Public Information Failure</w:t>
      </w:r>
      <w:r>
        <w:rPr>
          <w:color w:val="000000"/>
        </w:rPr>
        <w:t xml:space="preserve"> </w:t>
      </w:r>
      <w:r>
        <w:rPr>
          <w:rFonts w:ascii="Times New Roman" w:hAnsi="Times New Roman"/>
          <w:color w:val="000000"/>
          <w:sz w:val="24"/>
        </w:rPr>
        <w:t>Payments is cured. In the event the Company fails to make Public Information Failure</w:t>
      </w:r>
      <w:r>
        <w:rPr>
          <w:color w:val="000000"/>
        </w:rPr>
        <w:t xml:space="preserve"> </w:t>
      </w:r>
      <w:r>
        <w:rPr>
          <w:rFonts w:ascii="Times New Roman" w:hAnsi="Times New Roman"/>
          <w:color w:val="000000"/>
          <w:sz w:val="24"/>
        </w:rPr>
        <w:t>Payments in a timely manner, such Public Information Failure</w:t>
      </w:r>
      <w:r>
        <w:rPr>
          <w:color w:val="000000"/>
        </w:rPr>
        <w:t xml:space="preserve"> </w:t>
      </w:r>
      <w:r>
        <w:rPr>
          <w:rFonts w:ascii="Times New Roman" w:hAnsi="Times New Roman"/>
          <w:color w:val="000000"/>
          <w:sz w:val="24"/>
        </w:rPr>
        <w:t>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r>
        <w:rPr>
          <w:color w:val="000000"/>
          <w:u w:val="single"/>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color w:val="000000"/>
          <w:sz w:val="24"/>
          <w:u w:val="single"/>
        </w:rPr>
        <w:t>Securities Laws Disclosure; Publicity</w:t>
      </w:r>
      <w:r>
        <w:rPr>
          <w:rFonts w:ascii="Times New Roman" w:hAnsi="Times New Roman"/>
          <w:color w:val="000000"/>
          <w:sz w:val="24"/>
        </w:rPr>
        <w:t>. The Company shall (a) by the Disclosure Time, issue a press release disclosing the material terms of the transactions contemplated hereby, including the Inducement Letter,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w:t>
      </w:r>
      <w:r>
        <w:rPr>
          <w:color w:val="000000"/>
          <w:u w:val="single"/>
        </w:rPr>
        <w:t xml:space="preserve"> </w:t>
      </w:r>
      <w:r>
        <w:rPr>
          <w:rFonts w:ascii="Times New Roman" w:hAnsi="Times New Roman"/>
          <w:color w:val="000000"/>
          <w:sz w:val="24"/>
        </w:rPr>
        <w:t>Company shall provide the Purchasers with prior notice of such disclosure permitted under this clause (b) and reasonably cooperate with such Purchaser regarding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color w:val="000000"/>
          <w:sz w:val="24"/>
          <w:u w:val="single"/>
        </w:rPr>
        <w:t>Shareholder Rights Plan</w:t>
      </w:r>
      <w:r>
        <w:rPr>
          <w:rFonts w:ascii="Times New Roman" w:hAnsi="Times New Roman"/>
          <w:color w:val="000000"/>
          <w:sz w:val="24"/>
        </w:rPr>
        <w:t>. No claim will be made or enforced by the Company or, with the consent of the Company, any other Person, that any Purchaser is an “</w:t>
      </w:r>
      <w:r>
        <w:rPr>
          <w:rFonts w:ascii="Times New Roman" w:hAnsi="Times New Roman"/>
          <w:color w:val="000000"/>
          <w:sz w:val="24"/>
          <w:u w:val="single"/>
        </w:rPr>
        <w:t>Acquiring Person</w:t>
      </w:r>
      <w:r>
        <w:rPr>
          <w:color w:val="000000"/>
        </w:rPr>
        <w:t xml:space="preserve">” </w:t>
      </w:r>
      <w:r>
        <w:rPr>
          <w:rFonts w:ascii="Times New Roman" w:hAnsi="Times New Roman"/>
          <w:color w:val="000000"/>
          <w:sz w:val="24"/>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color w:val="000000"/>
          <w:sz w:val="24"/>
          <w:u w:val="single"/>
        </w:rPr>
        <w:t>Non-Public Information</w:t>
      </w:r>
      <w:r>
        <w:rPr>
          <w:rFonts w:ascii="Times New Roman" w:hAnsi="Times New Roman"/>
          <w:color w:val="000000"/>
          <w:sz w:val="24"/>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xml:space="preserve">. Except as set forth on </w:t>
      </w:r>
      <w:r>
        <w:rPr>
          <w:rFonts w:ascii="Times New Roman" w:hAnsi="Times New Roman"/>
          <w:color w:val="000000"/>
          <w:sz w:val="24"/>
          <w:u w:val="single"/>
        </w:rPr>
        <w:t>Schedule 4.7</w:t>
      </w:r>
      <w:r>
        <w:rPr>
          <w:color w:val="000000"/>
        </w:rPr>
        <w:t xml:space="preserve"> </w:t>
      </w:r>
      <w:r>
        <w:rPr>
          <w:rFonts w:ascii="Times New Roman" w:hAnsi="Times New Roman"/>
          <w:color w:val="000000"/>
          <w:sz w:val="24"/>
        </w:rPr>
        <w:t>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pPr>
      <w:r>
        <w:rPr>
          <w:rFonts w:ascii="Times New Roman" w:hAnsi="Times New Roman"/>
          <w:color w:val="000000"/>
          <w:sz w:val="24"/>
          <w:u w:val="single"/>
        </w:rPr>
        <w:t>Indemnification of Purchasers</w:t>
      </w:r>
      <w:r>
        <w:rPr>
          <w:rFonts w:ascii="Times New Roman" w:hAnsi="Times New Roman"/>
          <w:color w:val="000000"/>
          <w:sz w:val="24"/>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color w:val="000000"/>
          <w:sz w:val="24"/>
          <w:u w:val="single"/>
        </w:rPr>
        <w:t>Purchaser Party</w:t>
      </w:r>
      <w:r>
        <w:rPr>
          <w:color w:val="000000"/>
        </w:rPr>
        <w:t>”</w:t>
      </w:r>
      <w:r>
        <w:rPr>
          <w:rFonts w:ascii="Times New Roman" w:hAnsi="Times New Roman"/>
          <w:color w:val="000000"/>
          <w:sz w:val="24"/>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any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pPr>
      <w:r>
        <w:rPr>
          <w:rFonts w:ascii="Times New Roman" w:hAnsi="Times New Roman"/>
          <w:color w:val="000000"/>
          <w:sz w:val="24"/>
          <w:u w:val="single"/>
        </w:rPr>
        <w:t>Reservation of Common Stock</w:t>
      </w:r>
      <w:r>
        <w:rPr>
          <w:rFonts w:ascii="Times New Roman" w:hAnsi="Times New Roman"/>
          <w:color w:val="000000"/>
          <w:sz w:val="24"/>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both"/>
        <w:rPr/>
      </w:pPr>
      <w:r>
        <w:rPr>
          <w:rFonts w:ascii="Times New Roman" w:hAnsi="Times New Roman"/>
          <w:color w:val="000000"/>
          <w:sz w:val="24"/>
          <w:u w:val="single"/>
        </w:rPr>
        <w:t>Listing of Common Stock</w:t>
      </w:r>
      <w:r>
        <w:rPr>
          <w:rFonts w:ascii="Times New Roman" w:hAnsi="Times New Roman"/>
          <w:color w:val="000000"/>
          <w:sz w:val="24"/>
        </w:rPr>
        <w:t xml:space="preserve">.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shall use its reasonable best efforts to hold a special meeting of stockholders on or prior to sixty (60) days after the Closing Date for the purpose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of obtaining Stockholder Approval with respect to the terms of the Warrants, with the recommendation of the Company’s Board of Directors that such proposal is approved, and the Company shall solicit proxies from its stockholders in connection therewith in the same manner as all other management proposals in such proxy statement and all management-appointed proxyholders shall vote their proxies in favor of such proposal.</w:t>
      </w:r>
      <w:r>
        <w:rPr>
          <w:color w:val="000000"/>
        </w:rPr>
        <w:t xml:space="preserve"> </w:t>
      </w:r>
      <w:r>
        <w:rPr>
          <w:rFonts w:ascii="Times New Roman" w:hAnsi="Times New Roman"/>
          <w:color w:val="000000"/>
          <w:sz w:val="24"/>
        </w:rPr>
        <w:t>If the Company does not obtain Stockholder Approval with respect to the terms of the Warrants at the first special meeting of the stockholders, the Company shall call a meeting every sixty (60) days thereafter to seek such Stockholder Approval until the date on which Stockholder Approval is obtained or the Warrants are no longer outstanding.</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Subsequent Equity Sales.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From the date hereof until thirty (30) days after the later of (i) the Stockholder Approval Date and (ii) the Effective Date, neither the Company nor any Subsidiary shall (i) issue, enter into any agreement to issue or announce the issuance or proposed issuance of any shares of Common Stock or Common Stock Equivalents, (ii) file any registration statement or any amendment or supplement thereto, in each case other than (a) as contemplated pursuant to the Registration Rights Agreement, or (b) file a registration statement on Form S-8 in connection with any employee benefit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From the date hereof until one (1) year after the Stockholder Approval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this Section 4.12 shall not apply in respect of an Exempt Issuance, except that no Variable Rate Transaction shall be an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240"/>
        <w:jc w:val="both"/>
        <w:rPr/>
      </w:pPr>
      <w:r>
        <w:rPr>
          <w:rFonts w:ascii="Times New Roman" w:hAnsi="Times New Roman"/>
          <w:color w:val="000000"/>
          <w:sz w:val="24"/>
          <w:u w:val="single"/>
        </w:rPr>
        <w:t>Equal Treatment of Purchasers</w:t>
      </w:r>
      <w:r>
        <w:rPr>
          <w:rFonts w:ascii="Times New Roman" w:hAnsi="Times New Roman"/>
          <w:color w:val="000000"/>
          <w:sz w:val="24"/>
        </w:rPr>
        <w:t xml:space="preserve">. No consideration (including any modification of the Transaction Documents) shall be offered or paid to any Person to amend or consent to a waiver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4.14</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4.15</w:t>
      </w:r>
    </w:p>
    <w:p>
      <w:pPr>
        <w:pStyle w:val="TextBody"/>
        <w:bidi w:val="0"/>
        <w:spacing w:before="0" w:after="240"/>
        <w:jc w:val="both"/>
        <w:rPr/>
      </w:pPr>
      <w:r>
        <w:rPr>
          <w:rFonts w:ascii="Times New Roman" w:hAnsi="Times New Roman"/>
          <w:color w:val="000000"/>
          <w:sz w:val="24"/>
          <w:u w:val="single"/>
        </w:rPr>
        <w:t>Acknowledgment of Dilution</w:t>
      </w:r>
      <w:r>
        <w:rPr>
          <w:rFonts w:ascii="Times New Roman" w:hAnsi="Times New Roman"/>
          <w:color w:val="000000"/>
          <w:sz w:val="24"/>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4.16</w:t>
      </w:r>
    </w:p>
    <w:p>
      <w:pPr>
        <w:pStyle w:val="TextBody"/>
        <w:bidi w:val="0"/>
        <w:spacing w:before="0" w:after="240"/>
        <w:jc w:val="both"/>
        <w:rPr/>
      </w:pPr>
      <w:r>
        <w:rPr>
          <w:rFonts w:ascii="Times New Roman" w:hAnsi="Times New Roman"/>
          <w:color w:val="000000"/>
          <w:sz w:val="24"/>
          <w:u w:val="single"/>
        </w:rPr>
        <w:t>Exercise Procedures</w:t>
      </w:r>
      <w:r>
        <w:rPr>
          <w:rFonts w:ascii="Times New Roman" w:hAnsi="Times New Roman"/>
          <w:color w:val="000000"/>
          <w:sz w:val="24"/>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4.17</w:t>
      </w:r>
    </w:p>
    <w:p>
      <w:pPr>
        <w:pStyle w:val="TextBody"/>
        <w:bidi w:val="0"/>
        <w:spacing w:before="0" w:after="240"/>
        <w:jc w:val="both"/>
        <w:rPr/>
      </w:pPr>
      <w:r>
        <w:rPr>
          <w:rFonts w:ascii="Times New Roman" w:hAnsi="Times New Roman"/>
          <w:color w:val="000000"/>
          <w:sz w:val="24"/>
          <w:u w:val="single"/>
        </w:rPr>
        <w:t>Lock-Up Agreements</w:t>
      </w:r>
      <w:r>
        <w:rPr>
          <w:rFonts w:ascii="Times New Roman" w:hAnsi="Times New Roman"/>
          <w:color w:val="000000"/>
          <w:sz w:val="24"/>
        </w:rPr>
        <w:t xml:space="preserve">.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4.18</w:t>
      </w:r>
    </w:p>
    <w:p>
      <w:pPr>
        <w:pStyle w:val="TextBody"/>
        <w:bidi w:val="0"/>
        <w:spacing w:before="0" w:after="240"/>
        <w:jc w:val="both"/>
        <w:rPr/>
      </w:pPr>
      <w:r>
        <w:rPr>
          <w:rFonts w:ascii="Times New Roman" w:hAnsi="Times New Roman"/>
          <w:color w:val="000000"/>
          <w:sz w:val="24"/>
          <w:u w:val="single"/>
        </w:rPr>
        <w:t>Form D; Blue Sky Filings</w:t>
      </w:r>
      <w:r>
        <w:rPr>
          <w:rFonts w:ascii="Times New Roman" w:hAnsi="Times New Roman"/>
          <w:color w:val="000000"/>
          <w:sz w:val="24"/>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pPr>
      <w:r>
        <w:rPr>
          <w:rFonts w:ascii="Times New Roman" w:hAnsi="Times New Roman"/>
          <w:color w:val="000000"/>
          <w:sz w:val="24"/>
        </w:rPr>
        <w:br/>
      </w: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hAnsi="Times New Roman"/>
          <w:color w:val="000000"/>
          <w:sz w:val="16"/>
        </w:rPr>
        <w:t>th</w:t>
      </w:r>
      <w:r>
        <w:rPr>
          <w:rFonts w:ascii="Times New Roman" w:hAnsi="Times New Roman"/>
          <w:color w:val="000000"/>
          <w:sz w:val="24"/>
        </w:rPr>
        <w:t xml:space="preserve">) Trading Day following the date 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termination will affect the right of any party to sue for any breach by any other party (or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xml:space="preserve">. The Transaction Documents, together with the exhibits and schedules thereto, contain the entire understanding of the parties with respect to the subject matter hereof and thereof and supersede all prior agreements and understandings, oral or written, with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to such matters, which the parties acknowledge have been merged into such documents, exhibits and schedules.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hAnsi="Times New Roman"/>
          <w:color w:val="000000"/>
          <w:sz w:val="16"/>
        </w:rPr>
        <w:t>nd</w:t>
      </w:r>
      <w:r>
        <w:rPr>
          <w:rFonts w:ascii="Times New Roman" w:hAnsi="Times New Roman"/>
          <w:color w:val="000000"/>
          <w:sz w:val="24"/>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rFonts w:ascii="Times New Roman" w:hAnsi="Times New Roman"/>
          <w:color w:val="000000"/>
          <w:sz w:val="24"/>
          <w:u w:val="single"/>
        </w:rPr>
        <w:t>No Third-Party Beneficiaries</w:t>
      </w:r>
      <w:r>
        <w:rPr>
          <w:rFonts w:ascii="Times New Roman" w:hAnsi="Times New Roman"/>
          <w:color w:val="000000"/>
          <w:sz w:val="24"/>
        </w:rPr>
        <w:t xml:space="preserve">. The Placement Agent shall be the third-party beneficiary of the representations and warranties of the Company in Section 3.1 and the representations and warranties of the Purchasers in Section 3.2. This Agreement is intended for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5.10</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representations and warranties contained herein shall survive the Closing and the delivery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5.11</w:t>
      </w:r>
    </w:p>
    <w:p>
      <w:pPr>
        <w:pStyle w:val="TextBody"/>
        <w:bidi w:val="0"/>
        <w:spacing w:before="0" w:after="240"/>
        <w:jc w:val="both"/>
        <w:rPr/>
      </w:pPr>
      <w:r>
        <w:rPr>
          <w:rFonts w:ascii="Times New Roman" w:hAnsi="Times New Roman"/>
          <w:color w:val="000000"/>
          <w:sz w:val="24"/>
          <w:u w:val="single"/>
        </w:rPr>
        <w:t>Execution</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5.12</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5.13</w:t>
      </w:r>
    </w:p>
    <w:p>
      <w:pPr>
        <w:pStyle w:val="TextBody"/>
        <w:bidi w:val="0"/>
        <w:spacing w:before="0" w:after="240"/>
        <w:jc w:val="both"/>
        <w:rPr/>
      </w:pPr>
      <w:r>
        <w:rPr>
          <w:rFonts w:ascii="Times New Roman" w:hAnsi="Times New Roman"/>
          <w:color w:val="000000"/>
          <w:sz w:val="24"/>
          <w:u w:val="single"/>
        </w:rPr>
        <w:t>Rescission and Withdrawal Right</w:t>
      </w:r>
      <w:r>
        <w:rPr>
          <w:rFonts w:ascii="Times New Roman" w:hAnsi="Times New Roman"/>
          <w:color w:val="000000"/>
          <w:sz w:val="24"/>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5.14</w:t>
      </w:r>
    </w:p>
    <w:p>
      <w:pPr>
        <w:pStyle w:val="TextBody"/>
        <w:bidi w:val="0"/>
        <w:spacing w:before="0" w:after="240"/>
        <w:jc w:val="both"/>
        <w:rPr/>
      </w:pPr>
      <w:r>
        <w:rPr>
          <w:rFonts w:ascii="Times New Roman" w:hAnsi="Times New Roman"/>
          <w:color w:val="000000"/>
          <w:sz w:val="24"/>
          <w:u w:val="single"/>
        </w:rPr>
        <w:t>Replacement of Securities</w:t>
      </w:r>
      <w:r>
        <w:rPr>
          <w:rFonts w:ascii="Times New Roman" w:hAnsi="Times New Roman"/>
          <w:color w:val="000000"/>
          <w:sz w:val="24"/>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5.15</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5.16</w:t>
      </w:r>
    </w:p>
    <w:p>
      <w:pPr>
        <w:pStyle w:val="TextBody"/>
        <w:bidi w:val="0"/>
        <w:spacing w:before="0" w:after="240"/>
        <w:jc w:val="both"/>
        <w:rPr/>
      </w:pPr>
      <w:r>
        <w:rPr>
          <w:rFonts w:ascii="Times New Roman" w:hAnsi="Times New Roman"/>
          <w:color w:val="000000"/>
          <w:sz w:val="24"/>
          <w:u w:val="single"/>
        </w:rPr>
        <w:t>Payment Set Aside</w:t>
      </w:r>
      <w:r>
        <w:rPr>
          <w:rFonts w:ascii="Times New Roman" w:hAnsi="Times New Roman"/>
          <w:color w:val="000000"/>
          <w:sz w:val="24"/>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5.17</w:t>
      </w:r>
    </w:p>
    <w:p>
      <w:pPr>
        <w:pStyle w:val="TextBody"/>
        <w:bidi w:val="0"/>
        <w:spacing w:before="0" w:after="240"/>
        <w:jc w:val="both"/>
        <w:rPr/>
      </w:pPr>
      <w:r>
        <w:rPr>
          <w:rFonts w:ascii="Times New Roman" w:hAnsi="Times New Roman"/>
          <w:color w:val="000000"/>
          <w:sz w:val="24"/>
          <w:u w:val="single"/>
        </w:rPr>
        <w:t>Independent Nature of Purchasers’ Obligations and Rights</w:t>
      </w:r>
      <w:r>
        <w:rPr>
          <w:rFonts w:ascii="Times New Roman" w:hAnsi="Times New Roman"/>
          <w:color w:val="000000"/>
          <w:sz w:val="24"/>
        </w:rPr>
        <w:t xml:space="preserve">. The obligations of each Purchaser under any Transaction Document are several and not joint with the obligations of any other Purchaser, and no Purchaser shall be responsible in any way for the performance or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5.18</w:t>
      </w:r>
    </w:p>
    <w:p>
      <w:pPr>
        <w:pStyle w:val="TextBody"/>
        <w:bidi w:val="0"/>
        <w:spacing w:before="0" w:after="240"/>
        <w:jc w:val="both"/>
        <w:rPr/>
      </w:pPr>
      <w:r>
        <w:rPr>
          <w:rFonts w:ascii="Times New Roman" w:hAnsi="Times New Roman"/>
          <w:color w:val="000000"/>
          <w:sz w:val="24"/>
          <w:u w:val="single"/>
        </w:rPr>
        <w:t>Liquidated Damages</w:t>
      </w:r>
      <w:r>
        <w:rPr>
          <w:rFonts w:ascii="Times New Roman" w:hAnsi="Times New Roman"/>
          <w:color w:val="000000"/>
          <w:sz w:val="24"/>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5.19</w:t>
      </w:r>
    </w:p>
    <w:p>
      <w:pPr>
        <w:pStyle w:val="TextBody"/>
        <w:bidi w:val="0"/>
        <w:spacing w:before="0" w:after="240"/>
        <w:jc w:val="both"/>
        <w:rPr/>
      </w:pPr>
      <w:r>
        <w:rPr>
          <w:rFonts w:ascii="Times New Roman" w:hAnsi="Times New Roman"/>
          <w:color w:val="000000"/>
          <w:sz w:val="24"/>
          <w:u w:val="single"/>
        </w:rPr>
        <w:t>Saturdays, Sundays, Holidays, etc.</w:t>
      </w:r>
      <w:r>
        <w:rPr>
          <w:color w:val="000000"/>
        </w:rPr>
        <w:t xml:space="preserve"> </w:t>
      </w:r>
      <w:r>
        <w:rPr>
          <w:rFonts w:ascii="Times New Roman" w:hAnsi="Times New Roman"/>
          <w:color w:val="000000"/>
          <w:sz w:val="24"/>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5.20</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5.21</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 xml:space="preserve">. </w:t>
      </w:r>
      <w:r>
        <w:rPr>
          <w:rFonts w:ascii="Times New Roman" w:hAnsi="Times New Roman"/>
          <w:b/>
          <w:color w:val="000000"/>
          <w:sz w:val="24"/>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Heading2"/>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Securities Purchase Agreement to be duly executed by their respective authorized signatories as of the date first indicated above.</w:t>
      </w:r>
    </w:p>
    <w:p>
      <w:pPr>
        <w:pStyle w:val="TextBody"/>
        <w:bidi w:val="0"/>
        <w:jc w:val="left"/>
        <w:rPr/>
      </w:pPr>
      <w:r>
        <w:rPr/>
        <w:t> </w:t>
      </w:r>
    </w:p>
    <w:tbl>
      <w:tblPr>
        <w:tblW w:w="6827" w:type="dxa"/>
        <w:jc w:val="left"/>
        <w:tblInd w:w="0" w:type="dxa"/>
        <w:tblLayout w:type="fixed"/>
        <w:tblCellMar>
          <w:top w:w="28" w:type="dxa"/>
          <w:left w:w="28" w:type="dxa"/>
          <w:bottom w:w="28" w:type="dxa"/>
          <w:right w:w="28" w:type="dxa"/>
        </w:tblCellMar>
      </w:tblPr>
      <w:tblGrid>
        <w:gridCol w:w="4816"/>
        <w:gridCol w:w="2011"/>
      </w:tblGrid>
      <w:tr>
        <w:trPr/>
        <w:tc>
          <w:tcPr>
            <w:tcW w:w="48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aptevo therapeutics inc.</w:t>
            </w:r>
          </w:p>
          <w:p>
            <w:pPr>
              <w:pStyle w:val="TableContents"/>
              <w:bidi w:val="0"/>
              <w:jc w:val="left"/>
              <w:rPr/>
            </w:pPr>
            <w:r>
              <w:rPr/>
              <w:t> </w:t>
            </w:r>
          </w:p>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Address for Notice:</w:t>
            </w:r>
          </w:p>
        </w:tc>
      </w:tr>
      <w:tr>
        <w:trPr/>
        <w:tc>
          <w:tcPr>
            <w:tcW w:w="481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By:_</w:t>
            </w:r>
            <w:r>
              <w:rPr>
                <w:rFonts w:ascii="Times New Roman" w:hAnsi="Times New Roman"/>
                <w:color w:val="000000"/>
                <w:sz w:val="24"/>
                <w:u w:val="single"/>
              </w:rPr>
              <w:t>/s/ Daphne Taylor</w:t>
            </w:r>
            <w:r>
              <w:rPr>
                <w:rFonts w:ascii="Times New Roman" w:hAnsi="Times New Roman"/>
                <w:color w:val="000000"/>
                <w:sz w:val="24"/>
              </w:rPr>
              <w:t>_____________________</w:t>
            </w:r>
          </w:p>
          <w:p>
            <w:pPr>
              <w:pStyle w:val="TableContents"/>
              <w:bidi w:val="0"/>
              <w:jc w:val="left"/>
              <w:rPr>
                <w:color w:val="000000"/>
              </w:rPr>
            </w:pPr>
            <w:r>
              <w:rPr>
                <w:color w:val="000000"/>
              </w:rPr>
              <w:t>     </w:t>
            </w:r>
            <w:r>
              <w:rPr>
                <w:rFonts w:ascii="Times New Roman" w:hAnsi="Times New Roman"/>
                <w:color w:val="000000"/>
                <w:sz w:val="24"/>
              </w:rPr>
              <w:t>Name: Daphne Taylor</w:t>
            </w:r>
          </w:p>
          <w:p>
            <w:pPr>
              <w:pStyle w:val="TableContents"/>
              <w:bidi w:val="0"/>
              <w:jc w:val="left"/>
              <w:rPr/>
            </w:pPr>
            <w:r>
              <w:rPr>
                <w:color w:val="000000"/>
              </w:rPr>
              <w:t>     </w:t>
            </w:r>
            <w:r>
              <w:rPr>
                <w:rFonts w:ascii="Times New Roman" w:hAnsi="Times New Roman"/>
                <w:color w:val="000000"/>
                <w:sz w:val="24"/>
              </w:rPr>
              <w:t>Title: Chief Financial Officer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 (which shall not constitute notice):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r>
      <w:tr>
        <w:trPr/>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SIGNATURE PAGE FOR PURCHASER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3" w:name="apvo-ex10_3.htm"/>
      <w:bookmarkStart w:id="14" w:name="ksapvoex10_3"/>
      <w:bookmarkEnd w:id="13"/>
      <w:bookmarkEnd w:id="14"/>
      <w:r>
        <w:rPr/>
        <w:t> </w:t>
      </w:r>
      <w:r>
        <w:br w:type="page"/>
      </w:r>
    </w:p>
    <w:p>
      <w:pPr>
        <w:pStyle w:val="TextBody"/>
        <w:bidi w:val="0"/>
        <w:jc w:val="right"/>
        <w:rPr>
          <w:rFonts w:ascii="Times New Roman" w:hAnsi="Times New Roman"/>
          <w:b/>
          <w:caps/>
          <w:color w:val="000000"/>
          <w:sz w:val="24"/>
        </w:rPr>
      </w:pPr>
      <w:r>
        <w:rPr>
          <w:rFonts w:ascii="Times New Roman" w:hAnsi="Times New Roman"/>
          <w:b/>
          <w:caps/>
          <w:color w:val="000000"/>
          <w:sz w:val="24"/>
        </w:rPr>
        <w:t>eXHIBIT 10.3</w:t>
      </w:r>
    </w:p>
    <w:p>
      <w:pPr>
        <w:pStyle w:val="Heading2"/>
        <w:bidi w:val="0"/>
        <w:jc w:val="center"/>
        <w:rPr>
          <w:rFonts w:ascii="Times New Roman" w:hAnsi="Times New Roman"/>
          <w:color w:val="000000"/>
          <w:sz w:val="24"/>
        </w:rPr>
      </w:pPr>
      <w:r>
        <w:rPr>
          <w:rFonts w:ascii="Times New Roman" w:hAnsi="Times New Roman"/>
          <w:color w:val="000000"/>
          <w:sz w:val="24"/>
        </w:rPr>
        <w:t>REGISTRATION RIGHTS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Registration Rights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August 12, 2026, between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several purchasers signatory hereto (each such purchaser, a “</w:t>
      </w:r>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Agreement is made pursuant to the Securities Purchase Agreement, dated as of the date hereof, between the Company and each Purchaser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and the Warrant Inducement Agreement, dated as of the date hereof, between the Company and the Purchaser (the “</w:t>
      </w:r>
      <w:r>
        <w:rPr>
          <w:rFonts w:ascii="Times New Roman" w:hAnsi="Times New Roman"/>
          <w:color w:val="000000"/>
          <w:sz w:val="24"/>
          <w:u w:val="single"/>
        </w:rPr>
        <w:t>Inducement Letter</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and each Purchaser hereby agrees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Definitions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Capitalized terms used and not otherwise defined herein that are defined in the Purchase Agreement shall have the meanings given such terms in the Purchase Agreement.</w:t>
      </w:r>
      <w:r>
        <w:rPr>
          <w:rFonts w:ascii="Times New Roman" w:hAnsi="Times New Roman"/>
          <w:color w:val="000000"/>
          <w:sz w:val="20"/>
        </w:rPr>
        <w:t xml:space="preserve"> </w:t>
      </w:r>
      <w:r>
        <w:rPr>
          <w:rFonts w:ascii="Times New Roman" w:hAnsi="Times New Roman"/>
          <w:color w:val="000000"/>
          <w:sz w:val="24"/>
        </w:rPr>
        <w:t>As used in this Agreement, the following terms shall have the following meanings: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Advice</w:t>
      </w:r>
      <w:r>
        <w:rPr>
          <w:rFonts w:ascii="Times New Roman" w:hAnsi="Times New Roman"/>
          <w:color w:val="000000"/>
          <w:sz w:val="20"/>
        </w:rPr>
        <w:t xml:space="preserve">” </w:t>
      </w:r>
      <w:r>
        <w:rPr>
          <w:rFonts w:ascii="Times New Roman" w:hAnsi="Times New Roman"/>
          <w:color w:val="000000"/>
          <w:sz w:val="24"/>
        </w:rPr>
        <w:t>shall have the meaning set forth in Section 6(c).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Effectiveness Date</w:t>
      </w:r>
      <w:r>
        <w:rPr>
          <w:rFonts w:ascii="Times New Roman" w:hAnsi="Times New Roman"/>
          <w:color w:val="000000"/>
          <w:sz w:val="20"/>
        </w:rPr>
        <w:t xml:space="preserve">” </w:t>
      </w:r>
      <w:r>
        <w:rPr>
          <w:rFonts w:ascii="Times New Roman" w:hAnsi="Times New Roman"/>
          <w:color w:val="000000"/>
          <w:sz w:val="24"/>
        </w:rPr>
        <w:t>means, with respect to the Initial Registration Statement required to be filed hereunder, the 45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date hereof (or, in the event of a “full review” by the Commission, the 75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date hereof) and with respect to any additional Registration Statements which may be required pursuant to Section 2(c) or Section 3(c), the 45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date on which an additional Registration Statement is required to be filed hereunder (or, in the event of a “full review” by the Commission, the 75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calendar day following the date such additional Registration Statement is required to be filed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Effectiveness Period</w:t>
      </w:r>
      <w:r>
        <w:rPr>
          <w:rFonts w:ascii="Times New Roman" w:hAnsi="Times New Roman"/>
          <w:color w:val="000000"/>
          <w:sz w:val="20"/>
        </w:rPr>
        <w:t xml:space="preserve">” </w:t>
      </w:r>
      <w:r>
        <w:rPr>
          <w:rFonts w:ascii="Times New Roman" w:hAnsi="Times New Roman"/>
          <w:color w:val="000000"/>
          <w:sz w:val="24"/>
        </w:rPr>
        <w:t>shall have the meaning set forth in Section 2(a).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Event</w:t>
      </w:r>
      <w:r>
        <w:rPr>
          <w:rFonts w:ascii="Times New Roman" w:hAnsi="Times New Roman"/>
          <w:color w:val="000000"/>
          <w:sz w:val="20"/>
        </w:rPr>
        <w:t xml:space="preserve">” </w:t>
      </w:r>
      <w:r>
        <w:rPr>
          <w:rFonts w:ascii="Times New Roman" w:hAnsi="Times New Roman"/>
          <w:color w:val="000000"/>
          <w:sz w:val="24"/>
        </w:rPr>
        <w:t>shall have the meaning set forth in Section 2(d).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Event Date</w:t>
      </w:r>
      <w:r>
        <w:rPr>
          <w:rFonts w:ascii="Times New Roman" w:hAnsi="Times New Roman"/>
          <w:color w:val="000000"/>
          <w:sz w:val="20"/>
        </w:rPr>
        <w:t xml:space="preserve">” </w:t>
      </w:r>
      <w:r>
        <w:rPr>
          <w:rFonts w:ascii="Times New Roman" w:hAnsi="Times New Roman"/>
          <w:color w:val="000000"/>
          <w:sz w:val="24"/>
        </w:rPr>
        <w:t>shall have the meaning set forth in Section 2(d).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Filing Date</w:t>
      </w:r>
      <w:r>
        <w:rPr>
          <w:rFonts w:ascii="Times New Roman" w:hAnsi="Times New Roman"/>
          <w:color w:val="000000"/>
          <w:sz w:val="20"/>
        </w:rPr>
        <w:t xml:space="preserve">” </w:t>
      </w:r>
      <w:r>
        <w:rPr>
          <w:rFonts w:ascii="Times New Roman" w:hAnsi="Times New Roman"/>
          <w:color w:val="000000"/>
          <w:sz w:val="24"/>
        </w:rPr>
        <w:t>means, with respect to the Initial Registration Statement required hereunder,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Holder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Holders</w:t>
      </w:r>
      <w:r>
        <w:rPr>
          <w:rFonts w:ascii="Times New Roman" w:hAnsi="Times New Roman"/>
          <w:color w:val="000000"/>
          <w:sz w:val="20"/>
        </w:rPr>
        <w:t xml:space="preserve">” </w:t>
      </w:r>
      <w:r>
        <w:rPr>
          <w:rFonts w:ascii="Times New Roman" w:hAnsi="Times New Roman"/>
          <w:color w:val="000000"/>
          <w:sz w:val="24"/>
        </w:rPr>
        <w:t>means the holder or holders, as the case may be, from time to time of Registrable Securities.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shall have the meaning set forth in Section 5(c).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shall have the meaning set forth in Section 5(c).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Inducement Warrants</w:t>
      </w:r>
      <w:r>
        <w:rPr>
          <w:rFonts w:ascii="Times New Roman" w:hAnsi="Times New Roman"/>
          <w:color w:val="000000"/>
          <w:sz w:val="20"/>
        </w:rPr>
        <w:t xml:space="preserve">” </w:t>
      </w:r>
      <w:r>
        <w:rPr>
          <w:rFonts w:ascii="Times New Roman" w:hAnsi="Times New Roman"/>
          <w:color w:val="000000"/>
          <w:sz w:val="24"/>
        </w:rPr>
        <w:t>means the common stock purchase warrants issued pursuant to the Inducement Letter.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Inducement Warrant Shares</w:t>
      </w:r>
      <w:r>
        <w:rPr>
          <w:rFonts w:ascii="Times New Roman" w:hAnsi="Times New Roman"/>
          <w:color w:val="000000"/>
          <w:sz w:val="20"/>
        </w:rPr>
        <w:t xml:space="preserve">” </w:t>
      </w:r>
      <w:r>
        <w:rPr>
          <w:rFonts w:ascii="Times New Roman" w:hAnsi="Times New Roman"/>
          <w:color w:val="000000"/>
          <w:sz w:val="24"/>
        </w:rPr>
        <w:t>means the Common Stock issuable upon exercise of the Inducement Warrants.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Initial Registration Statement</w:t>
      </w:r>
      <w:r>
        <w:rPr>
          <w:rFonts w:ascii="Times New Roman" w:hAnsi="Times New Roman"/>
          <w:color w:val="000000"/>
          <w:sz w:val="20"/>
        </w:rPr>
        <w:t xml:space="preserve">” </w:t>
      </w:r>
      <w:r>
        <w:rPr>
          <w:rFonts w:ascii="Times New Roman" w:hAnsi="Times New Roman"/>
          <w:color w:val="000000"/>
          <w:sz w:val="24"/>
        </w:rPr>
        <w:t>means the initial Registration Statement filed pursuant to this Agreement.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shall have the meaning set forth in Section 5(a).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PIPE Warrants</w:t>
      </w:r>
      <w:r>
        <w:rPr>
          <w:rFonts w:ascii="Times New Roman" w:hAnsi="Times New Roman"/>
          <w:color w:val="000000"/>
          <w:sz w:val="20"/>
        </w:rPr>
        <w:t xml:space="preserve">” </w:t>
      </w:r>
      <w:r>
        <w:rPr>
          <w:rFonts w:ascii="Times New Roman" w:hAnsi="Times New Roman"/>
          <w:color w:val="000000"/>
          <w:sz w:val="24"/>
        </w:rPr>
        <w:t>means the Common Warrants and Pre-Funded Warrants issued pursuant to the Purchase Agreement.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PIPE Warrant Shares</w:t>
      </w:r>
      <w:r>
        <w:rPr>
          <w:rFonts w:ascii="Times New Roman" w:hAnsi="Times New Roman"/>
          <w:color w:val="000000"/>
          <w:sz w:val="20"/>
        </w:rPr>
        <w:t xml:space="preserve">” </w:t>
      </w:r>
      <w:r>
        <w:rPr>
          <w:rFonts w:ascii="Times New Roman" w:hAnsi="Times New Roman"/>
          <w:color w:val="000000"/>
          <w:sz w:val="24"/>
        </w:rPr>
        <w:t>means the Common Stock issuable upon exercise of the PIPE Warrants.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Plan of Distribution</w:t>
      </w:r>
      <w:r>
        <w:rPr>
          <w:rFonts w:ascii="Times New Roman" w:hAnsi="Times New Roman"/>
          <w:color w:val="000000"/>
          <w:sz w:val="20"/>
        </w:rPr>
        <w:t xml:space="preserve">” </w:t>
      </w:r>
      <w:r>
        <w:rPr>
          <w:rFonts w:ascii="Times New Roman" w:hAnsi="Times New Roman"/>
          <w:color w:val="000000"/>
          <w:sz w:val="24"/>
        </w:rPr>
        <w:t>shall have the meaning set forth in Section 2(a).</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u w:val="single"/>
        </w:rPr>
        <w:t>Registrable Securities</w:t>
      </w:r>
      <w:r>
        <w:rPr>
          <w:rFonts w:ascii="Times New Roman" w:hAnsi="Times New Roman"/>
          <w:color w:val="000000"/>
          <w:sz w:val="20"/>
        </w:rPr>
        <w:t xml:space="preserve">” </w:t>
      </w:r>
      <w:r>
        <w:rPr>
          <w:rFonts w:ascii="Times New Roman" w:hAnsi="Times New Roman"/>
          <w:color w:val="000000"/>
          <w:sz w:val="24"/>
        </w:rPr>
        <w:t xml:space="preserve">means, as of any date of determination, (a) all Shares, (b) all Warrant Shares then issued and issuable upon exercise of the Warrants (assuming on such date the Warrants are exercised in full without regard to any exercise limitations therein), and (c) any securities issued or then issuable upon any stock split, dividend or other distribution, recapitalization or similar event with respect to the foregoing;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Rule 415</w:t>
      </w:r>
      <w:r>
        <w:rPr>
          <w:rFonts w:ascii="Times New Roman" w:hAnsi="Times New Roman"/>
          <w:color w:val="000000"/>
          <w:sz w:val="20"/>
        </w:rPr>
        <w:t xml:space="preserve">” </w:t>
      </w:r>
      <w:r>
        <w:rPr>
          <w:rFonts w:ascii="Times New Roman" w:hAnsi="Times New Roman"/>
          <w:color w:val="000000"/>
          <w:sz w:val="24"/>
        </w:rPr>
        <w:t>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Selling Stockholder Questionnaire</w:t>
      </w:r>
      <w:r>
        <w:rPr>
          <w:rFonts w:ascii="Times New Roman" w:hAnsi="Times New Roman"/>
          <w:color w:val="000000"/>
          <w:sz w:val="20"/>
        </w:rPr>
        <w:t xml:space="preserve">” </w:t>
      </w:r>
      <w:r>
        <w:rPr>
          <w:rFonts w:ascii="Times New Roman" w:hAnsi="Times New Roman"/>
          <w:color w:val="000000"/>
          <w:sz w:val="24"/>
        </w:rPr>
        <w:t>shall have the meaning set forth in Section 3(a).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SEC Guidance</w:t>
      </w:r>
      <w:r>
        <w:rPr>
          <w:rFonts w:ascii="Times New Roman" w:hAnsi="Times New Roman"/>
          <w:color w:val="000000"/>
          <w:sz w:val="20"/>
        </w:rPr>
        <w:t xml:space="preserve">” </w:t>
      </w:r>
      <w:r>
        <w:rPr>
          <w:rFonts w:ascii="Times New Roman" w:hAnsi="Times New Roman"/>
          <w:color w:val="000000"/>
          <w:sz w:val="24"/>
        </w:rPr>
        <w:t>means (i) any publicly-available written or oral guidance of the Commission staff, or any comments, requirements or requests of the Commission staff and (ii) the Securities Act.</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Warrants</w:t>
      </w:r>
      <w:r>
        <w:rPr>
          <w:rFonts w:ascii="Times New Roman" w:hAnsi="Times New Roman"/>
          <w:color w:val="000000"/>
          <w:sz w:val="20"/>
        </w:rPr>
        <w:t xml:space="preserve">” </w:t>
      </w:r>
      <w:r>
        <w:rPr>
          <w:rFonts w:ascii="Times New Roman" w:hAnsi="Times New Roman"/>
          <w:color w:val="000000"/>
          <w:sz w:val="24"/>
        </w:rPr>
        <w:t>means, collectively, the PIPE Warrants and the Inducement Warrants.</w:t>
      </w:r>
    </w:p>
    <w:p>
      <w:pPr>
        <w:pStyle w:val="TextBody"/>
        <w:bidi w:val="0"/>
        <w:spacing w:before="0" w:after="240"/>
        <w:jc w:val="both"/>
        <w:rPr/>
      </w:pPr>
      <w:r>
        <w:rPr>
          <w:color w:val="000000"/>
        </w:rPr>
        <w:t>“</w:t>
      </w:r>
      <w:r>
        <w:rPr>
          <w:rFonts w:ascii="Times New Roman" w:hAnsi="Times New Roman"/>
          <w:color w:val="000000"/>
          <w:sz w:val="24"/>
          <w:u w:val="single"/>
        </w:rPr>
        <w:t>Warrant Shares</w:t>
      </w:r>
      <w:r>
        <w:rPr>
          <w:rFonts w:ascii="Times New Roman" w:hAnsi="Times New Roman"/>
          <w:color w:val="000000"/>
          <w:sz w:val="20"/>
        </w:rPr>
        <w:t xml:space="preserve">” </w:t>
      </w:r>
      <w:r>
        <w:rPr>
          <w:rFonts w:ascii="Times New Roman" w:hAnsi="Times New Roman"/>
          <w:color w:val="000000"/>
          <w:sz w:val="24"/>
        </w:rPr>
        <w:t>means, collectively, the PIPE Warrant Shares and the Inducement Warrant Shares.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Shelf Registration</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(except if the Company is then eligible to register for resale the Registrable Securities on Form S-3, in which case such registration shall be on Form S-3, subject to the provisions of Section 2(e)) and shall contain (unless otherwise directed by at least 85% in interest of the Holders) substantially the “</w:t>
      </w:r>
      <w:r>
        <w:rPr>
          <w:rFonts w:ascii="Times New Roman" w:hAnsi="Times New Roman"/>
          <w:color w:val="000000"/>
          <w:sz w:val="24"/>
          <w:u w:val="single"/>
        </w:rPr>
        <w:t>Plan of Distribution</w:t>
      </w:r>
      <w:r>
        <w:rPr>
          <w:color w:val="000000"/>
        </w:rPr>
        <w:t xml:space="preserve">” </w:t>
      </w:r>
      <w:r>
        <w:rPr>
          <w:rFonts w:ascii="Times New Roman" w:hAnsi="Times New Roman"/>
          <w:color w:val="000000"/>
          <w:sz w:val="24"/>
        </w:rPr>
        <w:t xml:space="preserve">attached hereto as </w:t>
      </w:r>
      <w:r>
        <w:rPr>
          <w:rFonts w:ascii="Times New Roman" w:hAnsi="Times New Roman"/>
          <w:color w:val="000000"/>
          <w:sz w:val="24"/>
          <w:u w:val="single"/>
        </w:rPr>
        <w:t>Annex A</w:t>
      </w:r>
      <w:r>
        <w:rPr>
          <w:color w:val="000000"/>
        </w:rPr>
        <w:t xml:space="preserve"> </w:t>
      </w:r>
      <w:r>
        <w:rPr>
          <w:rFonts w:ascii="Times New Roman" w:hAnsi="Times New Roman"/>
          <w:color w:val="000000"/>
          <w:sz w:val="24"/>
        </w:rPr>
        <w:t>and substantially the “</w:t>
      </w:r>
      <w:r>
        <w:rPr>
          <w:rFonts w:ascii="Times New Roman" w:hAnsi="Times New Roman"/>
          <w:color w:val="000000"/>
          <w:sz w:val="24"/>
          <w:u w:val="single"/>
        </w:rPr>
        <w:t>Selling Stockholder</w:t>
      </w:r>
      <w:r>
        <w:rPr>
          <w:color w:val="000000"/>
        </w:rPr>
        <w:t xml:space="preserve">” </w:t>
      </w:r>
      <w:r>
        <w:rPr>
          <w:rFonts w:ascii="Times New Roman" w:hAnsi="Times New Roman"/>
          <w:color w:val="000000"/>
          <w:sz w:val="24"/>
        </w:rPr>
        <w:t xml:space="preserve">section attached hereto as </w:t>
      </w:r>
      <w:r>
        <w:rPr>
          <w:rFonts w:ascii="Times New Roman" w:hAnsi="Times New Roman"/>
          <w:color w:val="000000"/>
          <w:sz w:val="24"/>
          <w:u w:val="single"/>
        </w:rPr>
        <w:t>Annex 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hAnsi="Times New Roman"/>
          <w:color w:val="000000"/>
          <w:sz w:val="24"/>
          <w:u w:val="single"/>
        </w:rPr>
        <w:t>Effectiveness Period</w:t>
      </w:r>
      <w:r>
        <w:rPr>
          <w:color w:val="000000"/>
        </w:rPr>
        <w:t>”</w:t>
      </w:r>
      <w:r>
        <w:rPr>
          <w:rFonts w:ascii="Times New Roman" w:hAnsi="Times New Roman"/>
          <w:color w:val="000000"/>
          <w:sz w:val="24"/>
        </w:rPr>
        <w:t xml:space="preserve">).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with respect to filing on Form S-1 or other appropriate form, and subject to the provisions of Section 2(d) with respect to the payment of liquidated damages;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First, the Company shall reduce or eliminate any securities to be included other than Registrable Securities;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Second, the Company shall reduce Registrable Securities represented by Common Warrant Shares and Inducement Warrant Shares (applied, in the case that some Common Warrant Shares and Inducement Warrant Shares may be registered, to the Holders on a pro rata basis based on the total number of unregistered Common Warrant Shares and Inducement Warrant Shares held by such Holders); and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Third, the Company shall reduce Registrable Securities represented by Shares and Pre-Funded Warrant Shares underlying the Pre-Funded Warrants (applied, in the case that some Shares and Pre-Funded Warrant Shares may be registered, to the Holders on a pro rata basis based on the total number of unregistered Shares and Pre-Funded Warrant Shares held by such 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of a cutback hereunder, the Company shall give the Holder at least three (3) Trading Days prior written notice along with the calculations as to such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amended.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as of the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that, if the Registration Statement does not allow for the resale of Registerable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hAnsi="Times New Roman"/>
          <w:color w:val="000000"/>
          <w:sz w:val="24"/>
          <w:u w:val="single"/>
        </w:rPr>
        <w:t>Event</w:t>
      </w:r>
      <w:r>
        <w:rPr>
          <w:color w:val="000000"/>
        </w:rPr>
        <w:t>”</w:t>
      </w:r>
      <w:r>
        <w:rPr>
          <w:rFonts w:ascii="Times New Roman" w:hAnsi="Times New Roman"/>
          <w:color w:val="000000"/>
          <w:sz w:val="24"/>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hAnsi="Times New Roman"/>
          <w:color w:val="000000"/>
          <w:sz w:val="24"/>
          <w:u w:val="single"/>
        </w:rPr>
        <w:t>Event Date</w:t>
      </w:r>
      <w:r>
        <w:rPr>
          <w:color w:val="000000"/>
        </w:rPr>
        <w:t>”</w:t>
      </w:r>
      <w:r>
        <w:rPr>
          <w:rFonts w:ascii="Times New Roman" w:hAnsi="Times New Roman"/>
          <w:color w:val="000000"/>
          <w:sz w:val="24"/>
        </w:rPr>
        <w:t xml:space="preserv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sum of (i) the aggregate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Subscription Amount paid by such Holder pursuant to the Purchase Agreement and (ii) the aggregate Warrant Exercise Price (as defined in the Inducement Letter) paid by such Holder pursuant to the Inducement Letter.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to the contrary contained herein, in no event shall the Company be permitted to name any Holder or affiliate of a Holder as any Underwriter without the prior written consent of such 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Registration Procedures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connection with the Company’s registration obligations hereunder, the Company shall: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questionnaire in the form attached to this Agreement as </w:t>
      </w:r>
      <w:r>
        <w:rPr>
          <w:rFonts w:ascii="Times New Roman" w:hAnsi="Times New Roman"/>
          <w:color w:val="000000"/>
          <w:sz w:val="24"/>
          <w:u w:val="single"/>
        </w:rPr>
        <w:t>Annex B</w:t>
      </w:r>
      <w:r>
        <w:rPr>
          <w:color w:val="000000"/>
        </w:rPr>
        <w:t xml:space="preserve"> </w:t>
      </w:r>
      <w:r>
        <w:rPr>
          <w:rFonts w:ascii="Times New Roman" w:hAnsi="Times New Roman"/>
          <w:color w:val="000000"/>
          <w:sz w:val="24"/>
        </w:rPr>
        <w:t>(a “</w:t>
      </w:r>
      <w:r>
        <w:rPr>
          <w:rFonts w:ascii="Times New Roman" w:hAnsi="Times New Roman"/>
          <w:color w:val="000000"/>
          <w:sz w:val="24"/>
          <w:u w:val="single"/>
        </w:rPr>
        <w:t>Selling Stockholder Questionnaire</w:t>
      </w:r>
      <w:r>
        <w:rPr>
          <w:color w:val="000000"/>
        </w:rPr>
        <w:t>”</w:t>
      </w:r>
      <w:r>
        <w:rPr>
          <w:rFonts w:ascii="Times New Roman" w:hAnsi="Times New Roman"/>
          <w:color w:val="000000"/>
          <w:sz w:val="24"/>
        </w:rPr>
        <w:t>) on a date that is not less than two (2) Trading Days prior to the Filing Date or by the end of the fourth (4</w:t>
      </w:r>
      <w:r>
        <w:rPr>
          <w:rFonts w:ascii="Times New Roman" w:hAnsi="Times New Roman"/>
          <w:color w:val="000000"/>
          <w:sz w:val="16"/>
        </w:rPr>
        <w:t>th</w:t>
      </w:r>
      <w:r>
        <w:rPr>
          <w:rFonts w:ascii="Times New Roman" w:hAnsi="Times New Roman"/>
          <w:color w:val="000000"/>
          <w:sz w:val="24"/>
        </w:rPr>
        <w:t>) Trading Day following the date on which such Holder receives draft materials in accordance with this Section.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 xml:space="preserve">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the Commission, provided that any such item which is available on the EDGAR system (or successor thereto) need not be furnished in physical form.</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color w:val="000000"/>
          <w:sz w:val="24"/>
        </w:rPr>
      </w:pPr>
      <w:r>
        <w:rPr>
          <w:rFonts w:ascii="Times New Roman" w:hAnsi="Times New Roman"/>
          <w:color w:val="000000"/>
          <w:sz w:val="24"/>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rFonts w:ascii="Times New Roman" w:hAnsi="Times New Roman"/>
          <w:color w:val="000000"/>
          <w:sz w:val="24"/>
        </w:rPr>
      </w:pPr>
      <w:r>
        <w:rPr>
          <w:rFonts w:ascii="Times New Roman" w:hAnsi="Times New Roman"/>
          <w:color w:val="000000"/>
          <w:sz w:val="24"/>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rFonts w:ascii="Times New Roman" w:hAnsi="Times New Roman"/>
          <w:color w:val="000000"/>
          <w:sz w:val="24"/>
        </w:rPr>
      </w:pPr>
      <w:r>
        <w:rPr>
          <w:rFonts w:ascii="Times New Roman" w:hAnsi="Times New Roman"/>
          <w:color w:val="000000"/>
          <w:sz w:val="24"/>
        </w:rPr>
        <w:t xml:space="preserve">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rFonts w:ascii="Times New Roman" w:hAnsi="Times New Roman"/>
          <w:color w:val="000000"/>
          <w:sz w:val="24"/>
        </w:rPr>
      </w:pPr>
      <w:r>
        <w:rPr>
          <w:rFonts w:ascii="Times New Roman" w:hAnsi="Times New Roman"/>
          <w:color w:val="000000"/>
          <w:sz w:val="24"/>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rFonts w:ascii="Times New Roman" w:hAnsi="Times New Roman"/>
          <w:color w:val="000000"/>
          <w:sz w:val="24"/>
        </w:rPr>
      </w:pPr>
      <w:r>
        <w:rPr>
          <w:rFonts w:ascii="Times New Roman" w:hAnsi="Times New Roman"/>
          <w:color w:val="000000"/>
          <w:sz w:val="24"/>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Registration Expenses</w:t>
      </w:r>
      <w:r>
        <w:rPr>
          <w:rFonts w:ascii="Times New Roman" w:hAnsi="Times New Roman"/>
          <w:color w:val="000000"/>
          <w:sz w:val="24"/>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Indemnification by the Company</w:t>
      </w:r>
      <w:r>
        <w:rPr>
          <w:rFonts w:ascii="Times New Roman" w:hAnsi="Times New Roman"/>
          <w:color w:val="000000"/>
          <w:sz w:val="24"/>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hAnsi="Times New Roman"/>
          <w:color w:val="000000"/>
          <w:sz w:val="24"/>
          <w:u w:val="single"/>
        </w:rPr>
        <w:t>Losses</w:t>
      </w:r>
      <w:r>
        <w:rPr>
          <w:color w:val="000000"/>
        </w:rPr>
        <w:t>”</w:t>
      </w:r>
      <w:r>
        <w:rPr>
          <w:rFonts w:ascii="Times New Roman" w:hAnsi="Times New Roman"/>
          <w:color w:val="000000"/>
          <w:sz w:val="24"/>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Indemnification by Holders</w:t>
      </w:r>
      <w:r>
        <w:rPr>
          <w:rFonts w:ascii="Times New Roman" w:hAnsi="Times New Roman"/>
          <w:color w:val="000000"/>
          <w:sz w:val="24"/>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Conduct of Indemnification Proceedings</w:t>
      </w:r>
      <w:r>
        <w:rPr>
          <w:rFonts w:ascii="Times New Roman" w:hAnsi="Times New Roman"/>
          <w:color w:val="000000"/>
          <w:sz w:val="24"/>
        </w:rPr>
        <w:t>. If any Proceeding shall be brought or asserted against any Person entitled to indemnity hereunder (an “</w:t>
      </w:r>
      <w:r>
        <w:rPr>
          <w:rFonts w:ascii="Times New Roman" w:hAnsi="Times New Roman"/>
          <w:color w:val="000000"/>
          <w:sz w:val="24"/>
          <w:u w:val="single"/>
        </w:rPr>
        <w:t>Indemnified Party</w:t>
      </w:r>
      <w:r>
        <w:rPr>
          <w:color w:val="000000"/>
        </w:rPr>
        <w:t>”</w:t>
      </w:r>
      <w:r>
        <w:rPr>
          <w:rFonts w:ascii="Times New Roman" w:hAnsi="Times New Roman"/>
          <w:color w:val="000000"/>
          <w:sz w:val="24"/>
        </w:rPr>
        <w:t>), such Indemnified Party shall promptly notify the Person from whom indemnity is sought (the “</w:t>
      </w:r>
      <w:r>
        <w:rPr>
          <w:rFonts w:ascii="Times New Roman" w:hAnsi="Times New Roman"/>
          <w:color w:val="000000"/>
          <w:sz w:val="24"/>
          <w:u w:val="single"/>
        </w:rPr>
        <w:t>Indemnifying Party</w:t>
      </w:r>
      <w:r>
        <w:rPr>
          <w:color w:val="000000"/>
        </w:rPr>
        <w:t>”</w:t>
      </w:r>
      <w:r>
        <w:rPr>
          <w:rFonts w:ascii="Times New Roman" w:hAnsi="Times New Roman"/>
          <w:color w:val="000000"/>
          <w:sz w:val="24"/>
        </w:rPr>
        <w:t xml:space="preserve">) in writing, and the Indemnifying Party shall have the right to assume the defense thereof, including the employment of counsel reasonably satisfactory to the Indemnified Party and the payment of all fees and expenses incurred in connection with defense thereof,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Contribution</w:t>
      </w:r>
      <w:r>
        <w:rPr>
          <w:rFonts w:ascii="Times New Roman" w:hAnsi="Times New Roman"/>
          <w:color w:val="000000"/>
          <w:sz w:val="24"/>
        </w:rPr>
        <w:t xml:space="preserve">.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indemnity and contribution agreements contained in this Section are in addition to any liability that the Indemnifying Parties may have to the Indemnified Parties.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Remedies</w:t>
      </w:r>
      <w:r>
        <w:rPr>
          <w:rFonts w:ascii="Times New Roman" w:hAnsi="Times New Roman"/>
          <w:color w:val="000000"/>
          <w:sz w:val="24"/>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No Piggyback on Registrations; Prohibition on Filing Other Registration Statements</w:t>
      </w:r>
      <w:r>
        <w:rPr>
          <w:rFonts w:ascii="Times New Roman" w:hAnsi="Times New Roman"/>
          <w:color w:val="000000"/>
          <w:sz w:val="24"/>
        </w:rPr>
        <w:t xml:space="preserve">. Except as set forth on </w:t>
      </w:r>
      <w:r>
        <w:rPr>
          <w:rFonts w:ascii="Times New Roman" w:hAnsi="Times New Roman"/>
          <w:color w:val="000000"/>
          <w:sz w:val="24"/>
          <w:u w:val="single"/>
        </w:rPr>
        <w:t>Schedule 6(b)</w:t>
      </w:r>
      <w:r>
        <w:rPr>
          <w:color w:val="000000"/>
        </w:rPr>
        <w:t xml:space="preserve"> </w:t>
      </w:r>
      <w:r>
        <w:rPr>
          <w:rFonts w:ascii="Times New Roman" w:hAnsi="Times New Roman"/>
          <w:color w:val="000000"/>
          <w:sz w:val="24"/>
        </w:rPr>
        <w:t xml:space="preserve">attached hereto, and the shares of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Common Stock issuable upon exercise of the warrants issued to the Placement Agent in the transactions contemplated by the Purchase Agreement,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Discontinued Disposition</w:t>
      </w:r>
      <w:r>
        <w:rPr>
          <w:rFonts w:ascii="Times New Roman" w:hAnsi="Times New Roman"/>
          <w:color w:val="000000"/>
          <w:sz w:val="24"/>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hAnsi="Times New Roman"/>
          <w:color w:val="000000"/>
          <w:sz w:val="24"/>
          <w:u w:val="single"/>
        </w:rPr>
        <w:t>Advice</w:t>
      </w:r>
      <w:r>
        <w:rPr>
          <w:color w:val="000000"/>
        </w:rPr>
        <w:t>”</w:t>
      </w:r>
      <w:r>
        <w:rPr>
          <w:rFonts w:ascii="Times New Roman" w:hAnsi="Times New Roman"/>
          <w:color w:val="000000"/>
          <w:sz w:val="24"/>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Amendments and Waivers</w:t>
      </w:r>
      <w:r>
        <w:rPr>
          <w:rFonts w:ascii="Times New Roman" w:hAnsi="Times New Roman"/>
          <w:color w:val="000000"/>
          <w:sz w:val="24"/>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Notices</w:t>
      </w:r>
      <w:r>
        <w:rPr>
          <w:rFonts w:ascii="Times New Roman" w:hAnsi="Times New Roman"/>
          <w:color w:val="000000"/>
          <w:sz w:val="24"/>
        </w:rPr>
        <w:t xml:space="preserve">. Any and all notices or other communications or deliveries required or permitted to be provided hereunder shall be delivered as set forth in the Purchase Agreement.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Successors and Assigns</w:t>
      </w:r>
      <w:r>
        <w:rPr>
          <w:rFonts w:ascii="Times New Roman" w:hAnsi="Times New Roman"/>
          <w:color w:val="000000"/>
          <w:sz w:val="24"/>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No Inconsistent Agreements</w:t>
      </w:r>
      <w:r>
        <w:rPr>
          <w:rFonts w:ascii="Times New Roman" w:hAnsi="Times New Roman"/>
          <w:color w:val="000000"/>
          <w:sz w:val="24"/>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hAnsi="Times New Roman"/>
          <w:color w:val="000000"/>
          <w:sz w:val="24"/>
          <w:u w:val="single"/>
        </w:rPr>
        <w:t>Schedule 6(i)</w:t>
      </w:r>
      <w:r>
        <w:rPr>
          <w:rFonts w:ascii="Times New Roman" w:hAnsi="Times New Roman"/>
          <w:color w:val="000000"/>
          <w:sz w:val="24"/>
        </w:rPr>
        <w:t>, neither the Company nor any of its Subsidiaries has previously entered into any agreement granting any registration rights with respect to any of its securities to any Person that have not been satisfied in full.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Execution and 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Governing Law</w:t>
      </w:r>
      <w:r>
        <w:rPr>
          <w:rFonts w:ascii="Times New Roman" w:hAnsi="Times New Roman"/>
          <w:color w:val="000000"/>
          <w:sz w:val="24"/>
        </w:rPr>
        <w:t>. All questions concerning the construction, validity, enforcement and interpretation of this Agreement shall be determined in accordance with the provisions of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Cumulative Remedies</w:t>
      </w:r>
      <w:r>
        <w:rPr>
          <w:rFonts w:ascii="Times New Roman" w:hAnsi="Times New Roman"/>
          <w:color w:val="000000"/>
          <w:sz w:val="24"/>
        </w:rPr>
        <w:t>. The remedies provided herein are cumulative and not exclusive of any other remedies provided by law.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rFonts w:ascii="Times New Roman" w:hAnsi="Times New Roman"/>
          <w:color w:val="000000"/>
          <w:sz w:val="24"/>
          <w:u w:val="single"/>
        </w:rPr>
        <w:t>Severability</w:t>
      </w:r>
      <w:r>
        <w:rPr>
          <w:rFonts w:ascii="Times New Roman" w:hAnsi="Times New Roman"/>
          <w:color w:val="000000"/>
          <w:sz w:val="24"/>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terms, provisions, covenants and restrictions without including any of such that may be hereafter declared invalid, illegal, void or unenforceable.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rFonts w:ascii="Times New Roman" w:hAnsi="Times New Roman"/>
          <w:color w:val="000000"/>
          <w:sz w:val="24"/>
          <w:u w:val="single"/>
        </w:rPr>
        <w:t>Headings</w:t>
      </w:r>
      <w:r>
        <w:rPr>
          <w:rFonts w:ascii="Times New Roman" w:hAnsi="Times New Roman"/>
          <w:color w:val="000000"/>
          <w:sz w:val="24"/>
        </w:rPr>
        <w:t>. The headings in this Agreement are for convenience only, do not constitute a part of the Agreement and shall not be deemed to limit or affect any of the provisions 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rFonts w:ascii="Times New Roman" w:hAnsi="Times New Roman"/>
          <w:color w:val="000000"/>
          <w:sz w:val="24"/>
          <w:u w:val="single"/>
        </w:rPr>
        <w:t>Independent Nature of Holders’ Obligations and Rights</w:t>
      </w:r>
      <w:r>
        <w:rPr>
          <w:rFonts w:ascii="Times New Roman" w:hAnsi="Times New Roman"/>
          <w:color w:val="000000"/>
          <w:sz w:val="24"/>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120"/>
        <w:jc w:val="left"/>
        <w:rPr/>
      </w:pPr>
      <w:r>
        <w:rPr/>
        <w:t> </w:t>
      </w:r>
    </w:p>
    <w:p>
      <w:pPr>
        <w:pStyle w:val="Heading2"/>
        <w:bidi w:val="0"/>
        <w:jc w:val="center"/>
        <w:rPr>
          <w:rFonts w:ascii="Times New Roman" w:hAnsi="Times New Roman"/>
          <w:b w:val="false"/>
          <w:i/>
          <w:color w:val="000000"/>
          <w:sz w:val="24"/>
        </w:rPr>
      </w:pPr>
      <w:r>
        <w:rPr>
          <w:rFonts w:ascii="Times New Roman" w:hAnsi="Times New Roman"/>
          <w:b w:val="false"/>
          <w:i/>
          <w:color w:val="000000"/>
          <w:sz w:val="24"/>
        </w:rPr>
        <w:t>(Signature Pages Follow)</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executed this Registration Rights Agreement as of the date first written above.</w:t>
      </w:r>
    </w:p>
    <w:p>
      <w:pPr>
        <w:pStyle w:val="TextBody"/>
        <w:bidi w:val="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283"/>
              <w:jc w:val="left"/>
              <w:rPr>
                <w:sz w:val="4"/>
                <w:szCs w:val="4"/>
              </w:rPr>
            </w:pPr>
            <w:r>
              <w:rPr>
                <w:sz w:val="4"/>
                <w:szCs w:val="4"/>
              </w:rPr>
            </w:r>
          </w:p>
        </w:tc>
      </w:tr>
      <w:tr>
        <w:trPr/>
        <w:tc>
          <w:tcPr>
            <w:tcW w:w="480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Aptevo Therapeutics Inc.</w:t>
            </w:r>
          </w:p>
          <w:p>
            <w:pPr>
              <w:pStyle w:val="TableContents"/>
              <w:bidi w:val="0"/>
              <w:spacing w:before="0" w:after="283"/>
              <w:jc w:val="left"/>
              <w:rPr/>
            </w:pPr>
            <w:r>
              <w:rPr/>
              <w:t> </w:t>
            </w:r>
          </w:p>
        </w:tc>
      </w:tr>
      <w:tr>
        <w:trPr/>
        <w:tc>
          <w:tcPr>
            <w:tcW w:w="480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_/s/ Daphne Taylor ____________________</w:t>
            </w:r>
          </w:p>
          <w:p>
            <w:pPr>
              <w:pStyle w:val="TableContents"/>
              <w:bidi w:val="0"/>
              <w:jc w:val="left"/>
              <w:rPr/>
            </w:pPr>
            <w:r>
              <w:rPr>
                <w:color w:val="000000"/>
              </w:rPr>
              <w:t>     </w:t>
            </w:r>
            <w:r>
              <w:rPr>
                <w:rFonts w:ascii="Times New Roman" w:hAnsi="Times New Roman"/>
                <w:color w:val="000000"/>
                <w:sz w:val="24"/>
              </w:rPr>
              <w:t>Name: Daphne Taylor</w:t>
            </w:r>
          </w:p>
          <w:p>
            <w:pPr>
              <w:pStyle w:val="TableContents"/>
              <w:bidi w:val="0"/>
              <w:jc w:val="left"/>
              <w:rPr/>
            </w:pPr>
            <w:r>
              <w:rPr>
                <w:color w:val="000000"/>
              </w:rPr>
              <w:t>     </w:t>
            </w:r>
            <w:r>
              <w:rPr>
                <w:rFonts w:ascii="Times New Roman" w:hAnsi="Times New Roman"/>
                <w:color w:val="000000"/>
                <w:sz w:val="24"/>
              </w:rPr>
              <w:t>Title: Chief Financial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Annex A</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Plan of Distribution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Selling Stockholder (the “</w:t>
      </w:r>
      <w:r>
        <w:rPr>
          <w:rFonts w:ascii="Times New Roman" w:hAnsi="Times New Roman"/>
          <w:color w:val="000000"/>
          <w:sz w:val="24"/>
          <w:u w:val="single"/>
        </w:rPr>
        <w:t>Selling Stockholders</w:t>
      </w:r>
      <w:r>
        <w:rPr>
          <w:rFonts w:ascii="Times New Roman" w:hAnsi="Times New Roman"/>
          <w:color w:val="000000"/>
          <w:sz w:val="20"/>
        </w:rPr>
        <w:t>”</w:t>
      </w:r>
      <w:r>
        <w:rPr>
          <w:rFonts w:ascii="Times New Roman" w:hAnsi="Times New Roman"/>
          <w:color w:val="000000"/>
          <w:sz w:val="24"/>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ordinary brokerage transactions and transactions in which the broker</w:t>
        <w:noBreakHyphen/>
        <w:t>dealer solicits purchasers;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block trades in which the broker</w:t>
        <w:noBreakHyphen/>
        <w:t>dealer will attempt to sell the securities as agent but may position and resell a portion of the block as principal to facilitate the transaction;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by a broker</w:t>
        <w:noBreakHyphen/>
        <w:t>dealer as principal and resale by the broker</w:t>
        <w:noBreakHyphen/>
        <w:t>dealer for its account;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exchange distribution in accordance with the rules of the applicable exchange;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privately negotiated transactions;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settlement of short sales;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transactions through broker</w:t>
        <w:noBreakHyphen/>
        <w:t>dealers that agree with the Selling Stockholders to sell a specified number of such securities at a stipulated price per security;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through the writing or settlement of options or other hedging transactions, whether through an options exchange or otherwise;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combination of any such methods of sale;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other method permitted pursuant to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The Selling Stockholders may also sell securities under Rule 144 or any other exemption from registration under the Securities Act of 1933, as amended (the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if available, rather than under this prospectus.</w:t>
      </w:r>
    </w:p>
    <w:p>
      <w:pPr>
        <w:pStyle w:val="TextBody"/>
        <w:bidi w:val="0"/>
        <w:spacing w:before="0" w:after="240"/>
        <w:jc w:val="both"/>
        <w:rPr>
          <w:rFonts w:ascii="Times New Roman" w:hAnsi="Times New Roman"/>
          <w:sz w:val="20"/>
        </w:rPr>
      </w:pPr>
      <w:r>
        <w:rPr>
          <w:rFonts w:ascii="Times New Roman" w:hAnsi="Times New Roman"/>
          <w:color w:val="000000"/>
          <w:sz w:val="24"/>
        </w:rPr>
        <w:t>Broker</w:t>
        <w:noBreakHyphen/>
        <w:t>dealers engaged by the Selling Stockholders may arrange for other brokers</w:t>
        <w:noBreakHyphen/>
        <w:t>dealers to participate in sales. Broker</w:t>
        <w:noBreakHyphen/>
        <w:t>dealers may receive commissions or discounts from the Selling Stockholders (or, if any broker</w:t>
        <w:noBreakHyphen/>
        <w:t>dealer acts as agent for the purchaser of securities, from the purchaser) in amounts to be negotiated, but, except as set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forth in a supplement to this Prospectus, in the case of an agency transaction not in excess of a customary brokerage commission in compliance with FINRA Rule 2121; and in the case of a principal transaction a markup or markdown in compliance with FINRA Rule 2121.</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sz w:val="20"/>
        </w:rPr>
      </w:pPr>
      <w:r>
        <w:rPr>
          <w:rFonts w:ascii="Times New Roman" w:hAnsi="Times New Roman"/>
          <w:color w:val="000000"/>
          <w:sz w:val="24"/>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240"/>
        <w:jc w:val="both"/>
        <w:rPr>
          <w:rFonts w:ascii="Times New Roman" w:hAnsi="Times New Roman"/>
          <w:sz w:val="20"/>
        </w:rPr>
      </w:pPr>
      <w:r>
        <w:rPr>
          <w:rFonts w:ascii="Times New Roman" w:hAnsi="Times New Roman"/>
          <w:color w:val="000000"/>
          <w:sz w:val="24"/>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SELLING SHAREHOLDERS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20__, assuming exercise of the warrants held by the selling shareholders on that date, without regard to any limitations on exercises.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third column lists the shares of common stock being offered by this prospectus by the selling shareholders.</w:t>
      </w:r>
    </w:p>
    <w:p>
      <w:pPr>
        <w:pStyle w:val="TextBody"/>
        <w:bidi w:val="0"/>
        <w:spacing w:before="0" w:after="240"/>
        <w:jc w:val="both"/>
        <w:rPr>
          <w:rFonts w:ascii="Times New Roman" w:hAnsi="Times New Roman"/>
          <w:sz w:val="20"/>
        </w:rPr>
      </w:pPr>
      <w:r>
        <w:rPr>
          <w:rFonts w:ascii="Times New Roman" w:hAnsi="Times New Roman"/>
          <w:color w:val="000000"/>
          <w:sz w:val="24"/>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w:t>
      </w:r>
      <w:r>
        <w:rPr>
          <w:rFonts w:ascii="Times New Roman" w:hAnsi="Times New Roman"/>
          <w:color w:val="000000"/>
          <w:sz w:val="20"/>
        </w:rPr>
        <w:t xml:space="preserve"> </w:t>
      </w:r>
      <w:r>
        <w:rPr>
          <w:rFonts w:ascii="Times New Roman" w:hAnsi="Times New Roman"/>
          <w:color w:val="000000"/>
          <w:sz w:val="24"/>
        </w:rPr>
        <w:t>The fourth column assumes the sale of all of the shares offered by the selling shareholders pursuant to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3"/>
        <w:gridCol w:w="2599"/>
        <w:gridCol w:w="3481"/>
        <w:gridCol w:w="2552"/>
      </w:tblGrid>
      <w:tr>
        <w:trPr/>
        <w:tc>
          <w:tcPr>
            <w:tcW w:w="1573"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br/>
            </w:r>
            <w:r>
              <w:rPr>
                <w:rFonts w:ascii="Times New Roman" w:hAnsi="Times New Roman"/>
                <w:b/>
                <w:color w:val="000000"/>
                <w:sz w:val="16"/>
              </w:rPr>
              <w:br/>
            </w:r>
            <w:r>
              <w:rPr>
                <w:rFonts w:ascii="Times New Roman" w:hAnsi="Times New Roman"/>
                <w:b/>
                <w:color w:val="000000"/>
                <w:sz w:val="16"/>
                <w:u w:val="single"/>
              </w:rPr>
              <w:t>Name of Selling Shareholder</w:t>
            </w:r>
          </w:p>
        </w:tc>
        <w:tc>
          <w:tcPr>
            <w:tcW w:w="259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Number of shares of Common Stock Owned Prior to Offering</w:t>
            </w:r>
          </w:p>
        </w:tc>
        <w:tc>
          <w:tcPr>
            <w:tcW w:w="348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Maximum Number of shares of Common Stock to be Sold Pursuant to this Prospectus</w:t>
            </w:r>
          </w:p>
        </w:tc>
        <w:tc>
          <w:tcPr>
            <w:tcW w:w="255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Number of shares of Common Stock Owned After Offering</w:t>
            </w:r>
          </w:p>
        </w:tc>
      </w:tr>
    </w:tbl>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Annex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Aptevo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Selling Stockholder Notice and Questionnaire</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beneficial owner of common stock (the “</w:t>
      </w:r>
      <w:r>
        <w:rPr>
          <w:rFonts w:ascii="Times New Roman" w:hAnsi="Times New Roman"/>
          <w:color w:val="000000"/>
          <w:sz w:val="24"/>
          <w:u w:val="single"/>
        </w:rPr>
        <w:t>Registrable Securities</w:t>
      </w:r>
      <w:r>
        <w:rPr>
          <w:rFonts w:ascii="Times New Roman" w:hAnsi="Times New Roman"/>
          <w:color w:val="000000"/>
          <w:sz w:val="20"/>
        </w:rPr>
        <w:t>”</w:t>
      </w:r>
      <w:r>
        <w:rPr>
          <w:rFonts w:ascii="Times New Roman" w:hAnsi="Times New Roman"/>
          <w:color w:val="000000"/>
          <w:sz w:val="24"/>
        </w:rPr>
        <w:t>) of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understands that the Company has filed or intends to file with the Securities and Exchange Commission (the “</w:t>
      </w:r>
      <w:r>
        <w:rPr>
          <w:rFonts w:ascii="Times New Roman" w:hAnsi="Times New Roman"/>
          <w:color w:val="000000"/>
          <w:sz w:val="24"/>
          <w:u w:val="single"/>
        </w:rPr>
        <w:t>Commission</w:t>
      </w:r>
      <w:r>
        <w:rPr>
          <w:rFonts w:ascii="Times New Roman" w:hAnsi="Times New Roman"/>
          <w:color w:val="000000"/>
          <w:sz w:val="20"/>
        </w:rPr>
        <w:t>”</w:t>
      </w:r>
      <w:r>
        <w:rPr>
          <w:rFonts w:ascii="Times New Roman" w:hAnsi="Times New Roman"/>
          <w:color w:val="000000"/>
          <w:sz w:val="24"/>
        </w:rPr>
        <w:t>) a registration statement (the “</w:t>
      </w:r>
      <w:r>
        <w:rPr>
          <w:rFonts w:ascii="Times New Roman" w:hAnsi="Times New Roman"/>
          <w:color w:val="000000"/>
          <w:sz w:val="24"/>
          <w:u w:val="single"/>
        </w:rPr>
        <w:t>Registration Statement</w:t>
      </w:r>
      <w:r>
        <w:rPr>
          <w:rFonts w:ascii="Times New Roman" w:hAnsi="Times New Roman"/>
          <w:color w:val="000000"/>
          <w:sz w:val="20"/>
        </w:rPr>
        <w:t>”</w:t>
      </w:r>
      <w:r>
        <w:rPr>
          <w:rFonts w:ascii="Times New Roman" w:hAnsi="Times New Roman"/>
          <w:color w:val="000000"/>
          <w:sz w:val="24"/>
        </w:rPr>
        <w:t>) for the registration and resale under Rule 415 of the Securities Act of 1933, as amended (the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of the Registrable Securities, in accordance with the terms of the Registration Rights Agreement (the “</w:t>
      </w:r>
      <w:r>
        <w:rPr>
          <w:rFonts w:ascii="Times New Roman" w:hAnsi="Times New Roman"/>
          <w:color w:val="000000"/>
          <w:sz w:val="24"/>
          <w:u w:val="single"/>
        </w:rPr>
        <w:t>Registration Rights Agreement</w:t>
      </w:r>
      <w:r>
        <w:rPr>
          <w:rFonts w:ascii="Times New Roman" w:hAnsi="Times New Roman"/>
          <w:color w:val="000000"/>
          <w:sz w:val="20"/>
        </w:rPr>
        <w:t>”</w:t>
      </w:r>
      <w:r>
        <w:rPr>
          <w:rFonts w:ascii="Times New Roman" w:hAnsi="Times New Roman"/>
          <w:color w:val="000000"/>
          <w:sz w:val="24"/>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NOTICE</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beneficial owner (the “</w:t>
      </w:r>
      <w:r>
        <w:rPr>
          <w:rFonts w:ascii="Times New Roman" w:hAnsi="Times New Roman"/>
          <w:color w:val="000000"/>
          <w:sz w:val="24"/>
          <w:u w:val="single"/>
        </w:rPr>
        <w:t>Selling Stockholder</w:t>
      </w:r>
      <w:r>
        <w:rPr>
          <w:rFonts w:ascii="Times New Roman" w:hAnsi="Times New Roman"/>
          <w:color w:val="000000"/>
          <w:sz w:val="20"/>
        </w:rPr>
        <w:t>”</w:t>
      </w:r>
      <w:r>
        <w:rPr>
          <w:rFonts w:ascii="Times New Roman" w:hAnsi="Times New Roman"/>
          <w:color w:val="000000"/>
          <w:sz w:val="24"/>
        </w:rPr>
        <w:t>) of Registrable Securities hereby elects to include the Registrable Securities owned by it in the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QUESTIONNAIRE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 Name.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Full Legal Name of Selling Stockholder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Full Legal Name of Registered Holder (if not the same as (a) above) through which Registrable Securities are held: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Full Legal Name of Natural Control Person (which means a natural person who directly or indirectly alone or with others has power to vote or dispose of the securities covered by this Questionnaire):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both"/>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 Address for Notices to Selling Stockholder:</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Fax:</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Contact Person:</w:t>
            </w:r>
          </w:p>
        </w:tc>
      </w:tr>
    </w:tbl>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 Broker-Dealer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Are you a broker-dealer?</w:t>
      </w:r>
    </w:p>
    <w:p>
      <w:pPr>
        <w:pStyle w:val="TextBody"/>
        <w:bidi w:val="0"/>
        <w:spacing w:before="0" w:after="240"/>
        <w:jc w:val="both"/>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“yes” to Section 3(a), did you receive your Registrable Securities as compensation for investment banking services to the Company?</w:t>
      </w:r>
    </w:p>
    <w:p>
      <w:pPr>
        <w:pStyle w:val="TextBody"/>
        <w:bidi w:val="0"/>
        <w:spacing w:before="0" w:after="240"/>
        <w:jc w:val="both"/>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 If “no” to Section 3(b), the Commission’s staff has indicated that you should be identified as an underwriter in the Registration Statement.</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Are you an affiliate of a broker-dealer?</w:t>
      </w:r>
    </w:p>
    <w:p>
      <w:pPr>
        <w:pStyle w:val="TextBody"/>
        <w:bidi w:val="0"/>
        <w:spacing w:before="0" w:after="240"/>
        <w:jc w:val="both"/>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before="0" w:after="240"/>
        <w:jc w:val="both"/>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 If “no” to Section 3(d), the Commission’s staff has indicated that you should be identified as an underwriter in the Registration Statement.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 Beneficial Ownership of Securities of the Company Owned by the Selling Stockholder.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Type and Amount of other securities beneficially owned by the Selling Stockholder: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 Relationships with the Company: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State any exceptions here: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signing below, the undersigned consents to the disclosure of the information contained herein in its answers to Items 1 through 5 and the inclusion of such information in the Registration Statement and the related prospectus </w:t>
      </w:r>
      <w:r>
        <w:rPr>
          <w:rFonts w:ascii="Times New Roman" w:hAnsi="Times New Roman"/>
          <w:color w:val="000000"/>
          <w:sz w:val="22"/>
        </w:rPr>
        <w:t>and any amendments or supplements thereto</w:t>
      </w:r>
      <w:r>
        <w:rPr>
          <w:rFonts w:ascii="Times New Roman" w:hAnsi="Times New Roman"/>
          <w:color w:val="000000"/>
          <w:sz w:val="24"/>
        </w:rPr>
        <w:t>.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by authority duly given, has caused this Notice and Questionnaire to be executed and delivered either in person or by its duly authorized agent.</w:t>
      </w:r>
    </w:p>
    <w:p>
      <w:pPr>
        <w:pStyle w:val="TextBody"/>
        <w:bidi w:val="0"/>
        <w:jc w:val="left"/>
        <w:rPr>
          <w:rFonts w:ascii="Times New Roman" w:hAnsi="Times New Roman"/>
          <w:color w:val="000000"/>
          <w:sz w:val="24"/>
        </w:rPr>
      </w:pPr>
      <w:r>
        <w:rPr>
          <w:rFonts w:ascii="Times New Roman" w:hAnsi="Times New Roman"/>
          <w:color w:val="000000"/>
          <w:sz w:val="24"/>
        </w:rPr>
        <w:t xml:space="preserve">Date: Beneficial Owner: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PLEASE FAX A COPY (OR EMAIL A .PDF COPY) OF THE COMPLETED AND EXECUTED NOTICE AND QUESTIONNAIRE TO:</w:t>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 w:name="apvo-ex10_4.htm"/>
      <w:bookmarkStart w:id="16" w:name="ksapvoex10_4"/>
      <w:bookmarkEnd w:id="15"/>
      <w:bookmarkEnd w:id="16"/>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PLACEMENT AGENCY AGREEMENT</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August 12,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Roth Capital Partners, LLC</w:t>
      </w:r>
    </w:p>
    <w:p>
      <w:pPr>
        <w:pStyle w:val="TextBody"/>
        <w:bidi w:val="0"/>
        <w:jc w:val="left"/>
        <w:rPr>
          <w:rFonts w:ascii="Times New Roman" w:hAnsi="Times New Roman"/>
          <w:color w:val="000000"/>
          <w:sz w:val="24"/>
        </w:rPr>
      </w:pPr>
      <w:r>
        <w:rPr>
          <w:rFonts w:ascii="Times New Roman" w:hAnsi="Times New Roman"/>
          <w:color w:val="000000"/>
          <w:sz w:val="24"/>
        </w:rPr>
        <w:t>888 San Clemente Drive, Suite 400</w:t>
      </w:r>
    </w:p>
    <w:p>
      <w:pPr>
        <w:pStyle w:val="TextBody"/>
        <w:bidi w:val="0"/>
        <w:jc w:val="left"/>
        <w:rPr>
          <w:rFonts w:ascii="Times New Roman" w:hAnsi="Times New Roman"/>
          <w:color w:val="000000"/>
          <w:sz w:val="24"/>
        </w:rPr>
      </w:pPr>
      <w:r>
        <w:rPr>
          <w:rFonts w:ascii="Times New Roman" w:hAnsi="Times New Roman"/>
          <w:color w:val="000000"/>
          <w:sz w:val="24"/>
        </w:rPr>
        <w:t>Newport Beach, CA 92660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Introduction</w:t>
      </w:r>
      <w:r>
        <w:rPr>
          <w:rFonts w:ascii="Times New Roman" w:hAnsi="Times New Roman"/>
          <w:color w:val="000000"/>
          <w:sz w:val="24"/>
        </w:rPr>
        <w:t>. Subject to the terms and conditions herein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between Roth Capital Partners, LLC (the “</w:t>
      </w:r>
      <w:r>
        <w:rPr>
          <w:rFonts w:ascii="Times New Roman" w:hAnsi="Times New Roman"/>
          <w:color w:val="000000"/>
          <w:sz w:val="24"/>
          <w:u w:val="single"/>
        </w:rPr>
        <w:t>Placement Agent</w:t>
      </w:r>
      <w:r>
        <w:rPr>
          <w:rFonts w:ascii="Times New Roman" w:hAnsi="Times New Roman"/>
          <w:color w:val="000000"/>
          <w:sz w:val="20"/>
        </w:rPr>
        <w:t>”</w:t>
      </w:r>
      <w:r>
        <w:rPr>
          <w:rFonts w:ascii="Times New Roman" w:hAnsi="Times New Roman"/>
          <w:color w:val="000000"/>
          <w:sz w:val="24"/>
        </w:rPr>
        <w:t>) as placement agent and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the Placement Agent shall act as lead placement agent in connection with (i) the inducement of the exercise of warrants (the “</w:t>
      </w:r>
      <w:r>
        <w:rPr>
          <w:rFonts w:ascii="Times New Roman" w:hAnsi="Times New Roman"/>
          <w:color w:val="000000"/>
          <w:sz w:val="24"/>
          <w:u w:val="single"/>
        </w:rPr>
        <w:t>Inducement Warrant Shares</w:t>
      </w:r>
      <w:r>
        <w:rPr>
          <w:rFonts w:ascii="Times New Roman" w:hAnsi="Times New Roman"/>
          <w:color w:val="000000"/>
          <w:sz w:val="20"/>
        </w:rPr>
        <w:t>”</w:t>
      </w:r>
      <w:r>
        <w:rPr>
          <w:rFonts w:ascii="Times New Roman" w:hAnsi="Times New Roman"/>
          <w:color w:val="000000"/>
          <w:sz w:val="24"/>
        </w:rPr>
        <w:t>) from the holders of June 2025 Common Warrants, April 2025 Common Warrants and December 2024 Common Warrants (together the “</w:t>
      </w:r>
      <w:r>
        <w:rPr>
          <w:rFonts w:ascii="Times New Roman" w:hAnsi="Times New Roman"/>
          <w:color w:val="000000"/>
          <w:sz w:val="24"/>
          <w:u w:val="single"/>
        </w:rPr>
        <w:t>Existing Warrants</w:t>
      </w:r>
      <w:r>
        <w:rPr>
          <w:rFonts w:ascii="Times New Roman" w:hAnsi="Times New Roman"/>
          <w:color w:val="000000"/>
          <w:sz w:val="20"/>
        </w:rPr>
        <w:t>”</w:t>
      </w:r>
      <w:r>
        <w:rPr>
          <w:rFonts w:ascii="Times New Roman" w:hAnsi="Times New Roman"/>
          <w:color w:val="000000"/>
          <w:sz w:val="24"/>
        </w:rPr>
        <w:t>) of the Company (the “</w:t>
      </w:r>
      <w:r>
        <w:rPr>
          <w:rFonts w:ascii="Times New Roman" w:hAnsi="Times New Roman"/>
          <w:color w:val="000000"/>
          <w:sz w:val="24"/>
          <w:u w:val="single"/>
        </w:rPr>
        <w:t>Holders</w:t>
      </w:r>
      <w:r>
        <w:rPr>
          <w:rFonts w:ascii="Times New Roman" w:hAnsi="Times New Roman"/>
          <w:color w:val="000000"/>
          <w:sz w:val="20"/>
        </w:rPr>
        <w:t>”</w:t>
      </w:r>
      <w:r>
        <w:rPr>
          <w:rFonts w:ascii="Times New Roman" w:hAnsi="Times New Roman"/>
          <w:color w:val="000000"/>
          <w:sz w:val="24"/>
        </w:rPr>
        <w:t>) and issuance of new warrants (the “</w:t>
      </w:r>
      <w:r>
        <w:rPr>
          <w:rFonts w:ascii="Times New Roman" w:hAnsi="Times New Roman"/>
          <w:color w:val="000000"/>
          <w:sz w:val="24"/>
          <w:u w:val="single"/>
        </w:rPr>
        <w:t>Inducement Warrants</w:t>
      </w:r>
      <w:r>
        <w:rPr>
          <w:rFonts w:ascii="Times New Roman" w:hAnsi="Times New Roman"/>
          <w:color w:val="000000"/>
          <w:sz w:val="20"/>
        </w:rPr>
        <w:t>”</w:t>
      </w:r>
      <w:r>
        <w:rPr>
          <w:rFonts w:ascii="Times New Roman" w:hAnsi="Times New Roman"/>
          <w:color w:val="000000"/>
          <w:sz w:val="24"/>
        </w:rPr>
        <w:t>, collectively with the Inducement Warrant Shares, the “</w:t>
      </w:r>
      <w:r>
        <w:rPr>
          <w:rFonts w:ascii="Times New Roman" w:hAnsi="Times New Roman"/>
          <w:color w:val="000000"/>
          <w:sz w:val="24"/>
          <w:u w:val="single"/>
        </w:rPr>
        <w:t>Inducement Securities</w:t>
      </w:r>
      <w:r>
        <w:rPr>
          <w:rFonts w:ascii="Times New Roman" w:hAnsi="Times New Roman"/>
          <w:color w:val="000000"/>
          <w:sz w:val="20"/>
        </w:rPr>
        <w:t>”</w:t>
      </w:r>
      <w:r>
        <w:rPr>
          <w:rFonts w:ascii="Times New Roman" w:hAnsi="Times New Roman"/>
          <w:color w:val="000000"/>
          <w:sz w:val="24"/>
        </w:rPr>
        <w:t>) (the “</w:t>
      </w:r>
      <w:r>
        <w:rPr>
          <w:rFonts w:ascii="Times New Roman" w:hAnsi="Times New Roman"/>
          <w:color w:val="000000"/>
          <w:sz w:val="24"/>
          <w:u w:val="single"/>
        </w:rPr>
        <w:t>Inducement</w:t>
      </w:r>
      <w:r>
        <w:rPr>
          <w:rFonts w:ascii="Times New Roman" w:hAnsi="Times New Roman"/>
          <w:color w:val="000000"/>
          <w:sz w:val="20"/>
        </w:rPr>
        <w:t>”</w:t>
      </w:r>
      <w:r>
        <w:rPr>
          <w:rFonts w:ascii="Times New Roman" w:hAnsi="Times New Roman"/>
          <w:color w:val="000000"/>
          <w:sz w:val="24"/>
        </w:rPr>
        <w:t xml:space="preserve">) and (ii) the sale of up to an aggregate of $3,472,683.24 of unregistered securities (the “ </w:t>
      </w:r>
      <w:r>
        <w:rPr>
          <w:rFonts w:ascii="Times New Roman" w:hAnsi="Times New Roman"/>
          <w:color w:val="000000"/>
          <w:sz w:val="24"/>
          <w:u w:val="single"/>
        </w:rPr>
        <w:t>PIPE Securities</w:t>
      </w:r>
      <w:r>
        <w:rPr>
          <w:rFonts w:ascii="Times New Roman" w:hAnsi="Times New Roman"/>
          <w:color w:val="000000"/>
          <w:sz w:val="20"/>
        </w:rPr>
        <w:t>”</w:t>
      </w:r>
      <w:r>
        <w:rPr>
          <w:rFonts w:ascii="Times New Roman" w:hAnsi="Times New Roman"/>
          <w:color w:val="000000"/>
          <w:sz w:val="24"/>
        </w:rPr>
        <w:t>) of the Company, including, but not limited to, 0 shares (the “</w:t>
      </w:r>
      <w:r>
        <w:rPr>
          <w:rFonts w:ascii="Times New Roman" w:hAnsi="Times New Roman"/>
          <w:color w:val="000000"/>
          <w:sz w:val="24"/>
          <w:u w:val="single"/>
        </w:rPr>
        <w:t>Shares</w:t>
      </w:r>
      <w:r>
        <w:rPr>
          <w:rFonts w:ascii="Times New Roman" w:hAnsi="Times New Roman"/>
          <w:color w:val="000000"/>
          <w:sz w:val="20"/>
        </w:rPr>
        <w:t>”</w:t>
      </w:r>
      <w:r>
        <w:rPr>
          <w:rFonts w:ascii="Times New Roman" w:hAnsi="Times New Roman"/>
          <w:color w:val="000000"/>
          <w:sz w:val="24"/>
        </w:rPr>
        <w:t>) of the Company’s common stock, $0.001 par value per share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pre-funded common stock purchase warrants to purchase up to an aggregate of 254,922 shares of Common Stock (the “</w:t>
      </w:r>
      <w:r>
        <w:rPr>
          <w:rFonts w:ascii="Times New Roman" w:hAnsi="Times New Roman"/>
          <w:color w:val="000000"/>
          <w:sz w:val="24"/>
          <w:u w:val="single"/>
        </w:rPr>
        <w:t>Pre-Funded Warrants</w:t>
      </w:r>
      <w:r>
        <w:rPr>
          <w:rFonts w:ascii="Times New Roman" w:hAnsi="Times New Roman"/>
          <w:color w:val="000000"/>
          <w:sz w:val="20"/>
        </w:rPr>
        <w:t>”</w:t>
      </w:r>
      <w:r>
        <w:rPr>
          <w:rFonts w:ascii="Times New Roman" w:hAnsi="Times New Roman"/>
          <w:color w:val="000000"/>
          <w:sz w:val="24"/>
        </w:rPr>
        <w:t>), and common stock purchase warrants to purchase up to an aggregate of 1,274,610 shares of Common Stock (the “</w:t>
      </w:r>
      <w:r>
        <w:rPr>
          <w:rFonts w:ascii="Times New Roman" w:hAnsi="Times New Roman"/>
          <w:color w:val="000000"/>
          <w:sz w:val="24"/>
          <w:u w:val="single"/>
        </w:rPr>
        <w:t>Common Warrants</w:t>
      </w:r>
      <w:r>
        <w:rPr>
          <w:rFonts w:ascii="Times New Roman" w:hAnsi="Times New Roman"/>
          <w:color w:val="000000"/>
          <w:sz w:val="20"/>
        </w:rPr>
        <w:t xml:space="preserve">” </w:t>
      </w:r>
      <w:r>
        <w:rPr>
          <w:rFonts w:ascii="Times New Roman" w:hAnsi="Times New Roman"/>
          <w:color w:val="000000"/>
          <w:sz w:val="24"/>
        </w:rPr>
        <w:t>and, collectively with the Pre-Funded Warrants, the “</w:t>
      </w:r>
      <w:r>
        <w:rPr>
          <w:rFonts w:ascii="Times New Roman" w:hAnsi="Times New Roman"/>
          <w:color w:val="000000"/>
          <w:sz w:val="24"/>
          <w:u w:val="single"/>
        </w:rPr>
        <w:t>PIPE Warrants</w:t>
      </w:r>
      <w:r>
        <w:rPr>
          <w:rFonts w:ascii="Times New Roman" w:hAnsi="Times New Roman"/>
          <w:color w:val="000000"/>
          <w:sz w:val="20"/>
        </w:rPr>
        <w:t>”</w:t>
      </w:r>
      <w:r>
        <w:rPr>
          <w:rFonts w:ascii="Times New Roman" w:hAnsi="Times New Roman"/>
          <w:color w:val="000000"/>
          <w:sz w:val="24"/>
        </w:rPr>
        <w:t>, and together with the Inducement Warrants the “</w:t>
      </w:r>
      <w:r>
        <w:rPr>
          <w:rFonts w:ascii="Times New Roman" w:hAnsi="Times New Roman"/>
          <w:color w:val="000000"/>
          <w:sz w:val="24"/>
          <w:u w:val="single"/>
        </w:rPr>
        <w:t>Warrants</w:t>
      </w:r>
      <w:r>
        <w:rPr>
          <w:rFonts w:ascii="Times New Roman" w:hAnsi="Times New Roman"/>
          <w:color w:val="000000"/>
          <w:sz w:val="20"/>
        </w:rPr>
        <w:t>”</w:t>
      </w:r>
      <w:r>
        <w:rPr>
          <w:rFonts w:ascii="Times New Roman" w:hAnsi="Times New Roman"/>
          <w:color w:val="000000"/>
          <w:sz w:val="24"/>
        </w:rPr>
        <w:t>) collectively with Shares and the shares of common stock issuable upon exercise of the PIPE Warrants, the “</w:t>
      </w:r>
      <w:r>
        <w:rPr>
          <w:rFonts w:ascii="Times New Roman" w:hAnsi="Times New Roman"/>
          <w:color w:val="000000"/>
          <w:sz w:val="24"/>
          <w:u w:val="single"/>
        </w:rPr>
        <w:t>PIPE Securities</w:t>
      </w:r>
      <w:r>
        <w:rPr>
          <w:rFonts w:ascii="Times New Roman" w:hAnsi="Times New Roman"/>
          <w:color w:val="000000"/>
          <w:sz w:val="20"/>
        </w:rPr>
        <w:t>”</w:t>
      </w:r>
      <w:r>
        <w:rPr>
          <w:rFonts w:ascii="Times New Roman" w:hAnsi="Times New Roman"/>
          <w:color w:val="000000"/>
          <w:sz w:val="24"/>
        </w:rPr>
        <w:t>) directly to various investors (each, an “Investor” and, collectively, the “</w:t>
      </w:r>
      <w:r>
        <w:rPr>
          <w:rFonts w:ascii="Times New Roman" w:hAnsi="Times New Roman"/>
          <w:color w:val="000000"/>
          <w:sz w:val="24"/>
          <w:u w:val="single"/>
        </w:rPr>
        <w:t>Investors</w:t>
      </w:r>
      <w:r>
        <w:rPr>
          <w:rFonts w:ascii="Times New Roman" w:hAnsi="Times New Roman"/>
          <w:color w:val="000000"/>
          <w:sz w:val="20"/>
        </w:rPr>
        <w:t>”</w:t>
      </w:r>
      <w:r>
        <w:rPr>
          <w:rFonts w:ascii="Times New Roman" w:hAnsi="Times New Roman"/>
          <w:color w:val="000000"/>
          <w:sz w:val="24"/>
        </w:rPr>
        <w:t>) through Roth Capital Partners, LLC (the “</w:t>
      </w:r>
      <w:r>
        <w:rPr>
          <w:rFonts w:ascii="Times New Roman" w:hAnsi="Times New Roman"/>
          <w:color w:val="000000"/>
          <w:sz w:val="24"/>
          <w:u w:val="single"/>
        </w:rPr>
        <w:t>Placement Agent</w:t>
      </w:r>
      <w:r>
        <w:rPr>
          <w:rFonts w:ascii="Times New Roman" w:hAnsi="Times New Roman"/>
          <w:color w:val="000000"/>
          <w:sz w:val="20"/>
        </w:rPr>
        <w:t>”</w:t>
      </w:r>
      <w:r>
        <w:rPr>
          <w:rFonts w:ascii="Times New Roman" w:hAnsi="Times New Roman"/>
          <w:color w:val="000000"/>
          <w:sz w:val="24"/>
        </w:rPr>
        <w:t>) as placement agent. The Inducement Securities together with the PIPE Securities, the “</w:t>
      </w:r>
      <w:r>
        <w:rPr>
          <w:rFonts w:ascii="Times New Roman" w:hAnsi="Times New Roman"/>
          <w:color w:val="000000"/>
          <w:sz w:val="24"/>
          <w:u w:val="single"/>
        </w:rPr>
        <w:t>Securities</w:t>
      </w:r>
      <w:r>
        <w:rPr>
          <w:rFonts w:ascii="Times New Roman" w:hAnsi="Times New Roman"/>
          <w:color w:val="000000"/>
          <w:sz w:val="20"/>
        </w:rPr>
        <w:t>”</w:t>
      </w:r>
      <w:r>
        <w:rPr>
          <w:rFonts w:ascii="Times New Roman" w:hAnsi="Times New Roman"/>
          <w:color w:val="000000"/>
          <w:sz w:val="24"/>
        </w:rPr>
        <w:t>. The documents executed and delivered by the Company and the Investors in connection with the Offering (as defined below), including, without limitation, a warrant inducement letter agreement (the “</w:t>
      </w:r>
      <w:r>
        <w:rPr>
          <w:rFonts w:ascii="Times New Roman" w:hAnsi="Times New Roman"/>
          <w:color w:val="000000"/>
          <w:sz w:val="24"/>
          <w:u w:val="single"/>
        </w:rPr>
        <w:t>Inducement Agreement</w:t>
      </w:r>
      <w:r>
        <w:rPr>
          <w:rFonts w:ascii="Times New Roman" w:hAnsi="Times New Roman"/>
          <w:color w:val="000000"/>
          <w:sz w:val="20"/>
        </w:rPr>
        <w:t>”</w:t>
      </w:r>
      <w:r>
        <w:rPr>
          <w:rFonts w:ascii="Times New Roman" w:hAnsi="Times New Roman"/>
          <w:color w:val="000000"/>
          <w:sz w:val="24"/>
        </w:rPr>
        <w:t>), a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and registration rights agreement (the “</w:t>
      </w:r>
      <w:r>
        <w:rPr>
          <w:rFonts w:ascii="Times New Roman" w:hAnsi="Times New Roman"/>
          <w:color w:val="000000"/>
          <w:sz w:val="24"/>
          <w:u w:val="single"/>
        </w:rPr>
        <w:t>RRA</w:t>
      </w:r>
      <w:r>
        <w:rPr>
          <w:rFonts w:ascii="Times New Roman" w:hAnsi="Times New Roman"/>
          <w:color w:val="000000"/>
          <w:sz w:val="20"/>
        </w:rPr>
        <w:t>”</w:t>
      </w:r>
      <w:r>
        <w:rPr>
          <w:rFonts w:ascii="Times New Roman" w:hAnsi="Times New Roman"/>
          <w:color w:val="000000"/>
          <w:sz w:val="24"/>
        </w:rPr>
        <w:t>), shall be collectively referred to herein as the “</w:t>
      </w:r>
      <w:r>
        <w:rPr>
          <w:rFonts w:ascii="Times New Roman" w:hAnsi="Times New Roman"/>
          <w:color w:val="000000"/>
          <w:sz w:val="24"/>
          <w:u w:val="single"/>
        </w:rPr>
        <w:t>Transaction Documents</w:t>
      </w:r>
      <w:r>
        <w:rPr>
          <w:rFonts w:ascii="Times New Roman" w:hAnsi="Times New Roman"/>
          <w:color w:val="000000"/>
          <w:sz w:val="24"/>
        </w:rPr>
        <w:t>.” The exercise of the Existing Warrants and issuance of Inducement Warrant to a Holder will be evidenced by an Inducement Agreement between the Company and such Holder in a form reasonably acceptable to the Company and the Placement Agent. The purchase price to the Investors for each Share is $4.03 and the exercise price to the Investors for each share of common stock issuable upon exercise of the Inducement Warrants and Common Warrants is $4.03. The Placement Agent may retain other brokers or dealers to act as sub-agents or selected-dealers on its behalf in connection with the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Company hereby confirms its agreement with the Placement Agent as follows: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 Agreement to Act as Placement Agent.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with the terms of such offering (the “</w:t>
      </w:r>
      <w:r>
        <w:rPr>
          <w:rFonts w:ascii="Times New Roman" w:hAnsi="Times New Roman"/>
          <w:color w:val="000000"/>
          <w:sz w:val="24"/>
          <w:u w:val="single"/>
        </w:rPr>
        <w:t>Offering</w:t>
      </w:r>
      <w:r>
        <w:rPr>
          <w:color w:val="000000"/>
        </w:rPr>
        <w:t>”</w:t>
      </w:r>
      <w:r>
        <w:rPr>
          <w:rFonts w:ascii="Times New Roman" w:hAnsi="Times New Roman"/>
          <w:color w:val="000000"/>
          <w:sz w:val="24"/>
        </w:rPr>
        <w:t>)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or more closings (each a “</w:t>
      </w:r>
      <w:r>
        <w:rPr>
          <w:rFonts w:ascii="Times New Roman" w:hAnsi="Times New Roman"/>
          <w:color w:val="000000"/>
          <w:sz w:val="24"/>
          <w:u w:val="single"/>
        </w:rPr>
        <w:t>Closing</w:t>
      </w:r>
      <w:r>
        <w:rPr>
          <w:color w:val="000000"/>
        </w:rPr>
        <w:t xml:space="preserve">” </w:t>
      </w:r>
      <w:r>
        <w:rPr>
          <w:rFonts w:ascii="Times New Roman" w:hAnsi="Times New Roman"/>
          <w:color w:val="000000"/>
          <w:sz w:val="24"/>
        </w:rPr>
        <w:t>and the date on which each Closing occurs, a “</w:t>
      </w:r>
      <w:r>
        <w:rPr>
          <w:rFonts w:ascii="Times New Roman" w:hAnsi="Times New Roman"/>
          <w:color w:val="000000"/>
          <w:sz w:val="24"/>
          <w:u w:val="single"/>
        </w:rPr>
        <w:t>Closing Date</w:t>
      </w:r>
      <w:r>
        <w:rPr>
          <w:color w:val="000000"/>
        </w:rPr>
        <w:t>”</w:t>
      </w:r>
      <w:r>
        <w:rPr>
          <w:rFonts w:ascii="Times New Roman" w:hAnsi="Times New Roman"/>
          <w:color w:val="000000"/>
          <w:sz w:val="24"/>
        </w:rPr>
        <w:t>). As compensation for services rendered, on each Closing Date, the Company shall pay to the Placement Agent the fees and expenses set forth below: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rPr>
        <w:t>A cash fee (the “</w:t>
      </w:r>
      <w:r>
        <w:rPr>
          <w:rFonts w:ascii="Times New Roman" w:hAnsi="Times New Roman"/>
          <w:color w:val="000000"/>
          <w:sz w:val="24"/>
          <w:u w:val="single"/>
        </w:rPr>
        <w:t>Cash Fee</w:t>
      </w:r>
      <w:r>
        <w:rPr>
          <w:color w:val="000000"/>
        </w:rPr>
        <w:t>”</w:t>
      </w:r>
      <w:r>
        <w:rPr>
          <w:rFonts w:ascii="Times New Roman" w:hAnsi="Times New Roman"/>
          <w:color w:val="000000"/>
          <w:sz w:val="24"/>
        </w:rPr>
        <w:t>) equal to 7.0% of the gross proceeds received by the Company from (i) the sale of the PIPE Securities and (ii) Inducement, at the closing of the Offering (the “</w:t>
      </w:r>
      <w:r>
        <w:rPr>
          <w:rFonts w:ascii="Times New Roman" w:hAnsi="Times New Roman"/>
          <w:color w:val="000000"/>
          <w:sz w:val="24"/>
          <w:u w:val="single"/>
        </w:rPr>
        <w:t>Closing</w:t>
      </w:r>
      <w:r>
        <w:rPr>
          <w:color w:val="000000"/>
        </w:rPr>
        <w:t>”</w:t>
      </w:r>
      <w:r>
        <w:rPr>
          <w:rFonts w:ascii="Times New Roman" w:hAnsi="Times New Roman"/>
          <w:color w:val="000000"/>
          <w:sz w:val="24"/>
        </w:rPr>
        <w: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The Company also agrees to reimburse Placement Agent’s expenses (with supporting invoices/receipts) of $100,000 payable immediately upon the Closing of the Offering.</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The term of the Placement Agent's exclusive engagement will be until the completion of the Offering (the “</w:t>
      </w:r>
      <w:r>
        <w:rPr>
          <w:rFonts w:ascii="Times New Roman" w:hAnsi="Times New Roman"/>
          <w:color w:val="000000"/>
          <w:sz w:val="24"/>
          <w:u w:val="single"/>
        </w:rPr>
        <w:t>Exclusive Term</w:t>
      </w:r>
      <w:r>
        <w:rPr>
          <w:color w:val="000000"/>
        </w:rPr>
        <w:t>”</w:t>
      </w:r>
      <w:r>
        <w:rPr>
          <w:rFonts w:ascii="Times New Roman" w:hAnsi="Times New Roman"/>
          <w:color w:val="000000"/>
          <w:sz w:val="24"/>
        </w:rPr>
        <w:t xml:space="preserve">); provided, however, that a party hereto may terminate the engagement with respect to itself at any time upon 10 days written notice to the other parties.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 5110(f)(2)(D),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w:t>
      </w:r>
    </w:p>
    <w:p>
      <w:pPr>
        <w:pStyle w:val="TextBody"/>
        <w:bidi w:val="0"/>
        <w:jc w:val="center"/>
        <w:rPr>
          <w:rFonts w:ascii="Times New Roman" w:hAnsi="Times New Roman"/>
          <w:caps/>
          <w:color w:val="000000"/>
          <w:sz w:val="24"/>
        </w:rPr>
      </w:pPr>
      <w:r>
        <w:rPr>
          <w:rFonts w:ascii="Times New Roman" w:hAnsi="Times New Roman"/>
          <w:caps/>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is controlled by or is under common control with a Person as such terms are used in and construed under Rule 405 under the Securities Act of 1933, as amended (the “</w:t>
      </w:r>
      <w:r>
        <w:rPr>
          <w:rFonts w:ascii="Times New Roman" w:hAnsi="Times New Roman"/>
          <w:color w:val="000000"/>
          <w:sz w:val="24"/>
          <w:u w:val="single"/>
        </w:rPr>
        <w:t>Securities Act</w:t>
      </w:r>
      <w:r>
        <w:rPr>
          <w:color w:val="00000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2. Representations, Warranties and Covenants of the Company</w:t>
      </w:r>
      <w:r>
        <w:rPr>
          <w:rFonts w:ascii="Times New Roman" w:hAnsi="Times New Roman"/>
          <w:color w:val="000000"/>
          <w:sz w:val="24"/>
        </w:rPr>
        <w:t>. The Company hereby represents, warrants and covenants to the Placement Agent as of the date hereof, and as of each Closing Date,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Offering Materials</w:t>
      </w:r>
      <w:r>
        <w:rPr>
          <w:rFonts w:ascii="Times New Roman" w:hAnsi="Times New Roman"/>
          <w:color w:val="000000"/>
          <w:sz w:val="24"/>
        </w:rPr>
        <w:t>. Neither the Company nor any of its directors and officers has distributed, issued, posted or otherwise used or employed and shall not publish, distribute, issue, post or otherwise use or employ (i) any form of general solicitation or advertising within the meaning of Rule 502 under the Securities Act (“General Solicitation”) other than with the prior written consent of the Placement Agent, or (ii) any General Solicitation that constitutes a written communication within the meaning of Rule 405 under the Securities Act (“Written General Solicitation Material”). Each individual Written General Solicitation Material does not and will not conflict with the information contained in the SEC Reports, and does not and will not, contain an untrue statement of a material fact or omit to state a material fact necessary to make the statements therein, in the light of the circumstances under which they were made, not misleading.</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Authorization; Enforcement</w:t>
      </w:r>
      <w:r>
        <w:rPr>
          <w:rFonts w:ascii="Times New Roman" w:hAnsi="Times New Roman"/>
          <w:color w:val="000000"/>
          <w:sz w:val="24"/>
        </w:rPr>
        <w:t>. The Company has the requisite corporate power and authority to enter into and to consummate the transactions contemplated by this Agreement and the Transaction Documents and otherwise to carry out its obligations hereunder and thereunder. The execution and delivery of each of this Agreement by the Company and the consummation by it of the transactions contemplated hereby and thereby and under the Transaction Documents have been duly authorized by all necessary action on the part of the Company and no further action is required by the Company, the Company’s Board of Directors (the “</w:t>
      </w:r>
      <w:r>
        <w:rPr>
          <w:rFonts w:ascii="Times New Roman" w:hAnsi="Times New Roman"/>
          <w:color w:val="000000"/>
          <w:sz w:val="24"/>
          <w:u w:val="single"/>
        </w:rPr>
        <w:t>Board of Directors</w:t>
      </w:r>
      <w:r>
        <w:rPr>
          <w:color w:val="000000"/>
        </w:rPr>
        <w:t>”</w:t>
      </w:r>
      <w:r>
        <w:rPr>
          <w:rFonts w:ascii="Times New Roman" w:hAnsi="Times New Roman"/>
          <w:color w:val="000000"/>
          <w:sz w:val="24"/>
        </w:rPr>
        <w:t>) or the Company’s stockholders in connection therewith other than in connection with the Required Approvals (as defined in the Purchase Agreement).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No Conflicts</w:t>
      </w:r>
      <w:r>
        <w:rPr>
          <w:rFonts w:ascii="Times New Roman" w:hAnsi="Times New Roman"/>
          <w:color w:val="000000"/>
          <w:sz w:val="24"/>
        </w:rPr>
        <w:t xml:space="preserve">. The execution, delivery and performance by the Company of this Agreement and the transactions contemplated pursuant to the Transaction Documents, the issuance and sale of the Securities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t>
      </w:r>
    </w:p>
    <w:p>
      <w:pPr>
        <w:pStyle w:val="TextBody"/>
        <w:bidi w:val="0"/>
        <w:jc w:val="center"/>
        <w:rPr>
          <w:rFonts w:ascii="Times New Roman" w:hAnsi="Times New Roman"/>
          <w:caps/>
          <w:color w:val="000000"/>
          <w:sz w:val="24"/>
        </w:rPr>
      </w:pPr>
      <w:r>
        <w:rPr>
          <w:rFonts w:ascii="Times New Roman" w:hAnsi="Times New Roman"/>
          <w:caps/>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Certificates</w:t>
      </w:r>
      <w:r>
        <w:rPr>
          <w:rFonts w:ascii="Times New Roman" w:hAnsi="Times New Roman"/>
          <w:color w:val="000000"/>
          <w:sz w:val="24"/>
        </w:rPr>
        <w:t>. Any certificate signed by an officer of the Company and delivered to the Placement Agent or to counsel for the Placement Agent shall be deemed to be a representation and warranty by the Company to the Placement Agent as to the matters set forth therein.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Reliance</w:t>
      </w:r>
      <w:r>
        <w:rPr>
          <w:rFonts w:ascii="Times New Roman" w:hAnsi="Times New Roman"/>
          <w:color w:val="000000"/>
          <w:sz w:val="24"/>
        </w:rPr>
        <w:t xml:space="preserve">. The Company acknowledges that the Placement Agent will rely upon the accuracy and truthfulness of the foregoing representations and warranties and hereby consents to such reliance.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Representations, Warranties , and Covenants Incorporated by Reference</w:t>
      </w:r>
      <w:r>
        <w:rPr>
          <w:rFonts w:ascii="Times New Roman" w:hAnsi="Times New Roman"/>
          <w:color w:val="000000"/>
          <w:sz w:val="24"/>
        </w:rPr>
        <w:t>. Each of the representations, warranties and covenants (together with any related disclosure schedules thereto) made to the Investors in the Purchase Agreement and Inducement Agreement is hereby incorporated herein by reference (as though fully restated herein) and is hereby made to, and in favor of, the Placement Agent.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3. Delivery and Payment</w:t>
      </w:r>
      <w:r>
        <w:rPr>
          <w:rFonts w:ascii="Times New Roman" w:hAnsi="Times New Roman"/>
          <w:color w:val="000000"/>
          <w:sz w:val="24"/>
        </w:rPr>
        <w:t>. Each Closing shall occur at the offices of the Ellenoff Grossman &amp; Schole LLP, 1345 Avenue of the Americas, New York, New York 10105 (“</w:t>
      </w:r>
      <w:r>
        <w:rPr>
          <w:rFonts w:ascii="Times New Roman" w:hAnsi="Times New Roman"/>
          <w:color w:val="000000"/>
          <w:sz w:val="24"/>
          <w:u w:val="single"/>
        </w:rPr>
        <w:t>Placement Agent Counsel</w:t>
      </w:r>
      <w:r>
        <w:rPr>
          <w:rFonts w:ascii="Times New Roman" w:hAnsi="Times New Roman"/>
          <w:color w:val="000000"/>
          <w:sz w:val="20"/>
        </w:rPr>
        <w:t>”</w:t>
      </w:r>
      <w:r>
        <w:rPr>
          <w:rFonts w:ascii="Times New Roman" w:hAnsi="Times New Roman"/>
          <w:color w:val="000000"/>
          <w:sz w:val="24"/>
        </w:rPr>
        <w:t>) (or at such other place as shall be agreed upon by the Placement Agent and the Company). Subject to the terms and conditions hereof, at each Closing payment of the purchase price for the Securities sold on such Closing Date shall be made by Federal Funds wire transfer, against delivery of such Securities, and such Securities shall be registered in such name or names and shall be in such denominations, as the Placement Agent may request at least one business day before the time of purchase (as defined below).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Deliveries of the documents with respect to the purchase of the Securities, if any, shall be made at the offices of Placement Agent Counsel. All actions taken at a Closing shall be deemed to have occurred simultaneously.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4. Covenants and Agreements of the Company</w:t>
      </w:r>
      <w:r>
        <w:rPr>
          <w:rFonts w:ascii="Times New Roman" w:hAnsi="Times New Roman"/>
          <w:color w:val="000000"/>
          <w:sz w:val="24"/>
        </w:rPr>
        <w:t>. The Company further covenants and agrees with the Placement Agent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Form D; Blue Sky Filings</w:t>
      </w:r>
      <w:r>
        <w:rPr>
          <w:rFonts w:ascii="Times New Roman" w:hAnsi="Times New Roman"/>
          <w:color w:val="000000"/>
          <w:sz w:val="24"/>
        </w:rPr>
        <w:t xml:space="preserve">. The Company agrees to timely file a Form D with respect to the Shares as required under Regulation D and to provide a copy thereof upon request of the Placement Agent. The Company shall take such action as the Company shall reasonably determine is necessary in order to obtain an exemption for, or to qualify the Shares for, sale to </w:t>
      </w:r>
    </w:p>
    <w:p>
      <w:pPr>
        <w:pStyle w:val="TextBody"/>
        <w:bidi w:val="0"/>
        <w:jc w:val="center"/>
        <w:rPr>
          <w:rFonts w:ascii="Times New Roman" w:hAnsi="Times New Roman"/>
          <w:caps/>
          <w:color w:val="000000"/>
          <w:sz w:val="24"/>
        </w:rPr>
      </w:pPr>
      <w:r>
        <w:rPr>
          <w:rFonts w:ascii="Times New Roman" w:hAnsi="Times New Roman"/>
          <w:caps/>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pPr>
      <w:r>
        <w:rPr>
          <w:rFonts w:ascii="Times New Roman" w:hAnsi="Times New Roman"/>
          <w:color w:val="000000"/>
          <w:sz w:val="24"/>
        </w:rPr>
        <w:t>the Investors under applicable securities or “Blue Sky” laws of the states of the United States and shall provide evidence of such actions upon request of the Placement Agent.</w:t>
      </w:r>
      <w:r>
        <w:rPr>
          <w:color w:val="00000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Integration</w:t>
      </w:r>
      <w:r>
        <w:rPr>
          <w:rFonts w:ascii="Times New Roman" w:hAnsi="Times New Roman"/>
          <w:color w:val="000000"/>
          <w:sz w:val="24"/>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Transfer Agent</w:t>
      </w:r>
      <w:r>
        <w:rPr>
          <w:rFonts w:ascii="Times New Roman" w:hAnsi="Times New Roman"/>
          <w:color w:val="000000"/>
          <w:sz w:val="24"/>
        </w:rPr>
        <w:t>. The Company will maintain, at its expense, a registrar and transfer agent for the Common Stock.</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Additional Documents</w:t>
      </w:r>
      <w:r>
        <w:rPr>
          <w:rFonts w:ascii="Times New Roman" w:hAnsi="Times New Roman"/>
          <w:color w:val="000000"/>
          <w:sz w:val="24"/>
        </w:rPr>
        <w:t>. The Company will enter into any subscription, purchase or other customary agreements as the Placement Agent or the Investors deem necessary or appropriate to consummate the Offering, all of which will be in form and substance reasonably acceptable to the Placement Agent and the Investors. The Company agrees that the Placement Agent may rely upon, and each is a third party beneficiary of, the representations and warranties, and applicable covenants, set forth in any such purchase, subscription or other agreement with Investors in the Offering.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No Manipulation of Price</w:t>
      </w:r>
      <w:r>
        <w:rPr>
          <w:rFonts w:ascii="Times New Roman" w:hAnsi="Times New Roman"/>
          <w:color w:val="000000"/>
          <w:sz w:val="24"/>
        </w:rPr>
        <w:t>. 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Acknowledgment</w:t>
      </w:r>
      <w:r>
        <w:rPr>
          <w:rFonts w:ascii="Times New Roman" w:hAnsi="Times New Roman"/>
          <w:color w:val="000000"/>
          <w:sz w:val="24"/>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Announcement of Offering</w:t>
      </w:r>
      <w:r>
        <w:rPr>
          <w:rFonts w:ascii="Times New Roman" w:hAnsi="Times New Roman"/>
          <w:color w:val="000000"/>
          <w:sz w:val="24"/>
        </w:rPr>
        <w:t>. The Company acknowledges and agrees that the Placement Agent may, subsequent to the Closing, make public its involvement with the Offering.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Reliance on Others</w:t>
      </w:r>
      <w:r>
        <w:rPr>
          <w:rFonts w:ascii="Times New Roman" w:hAnsi="Times New Roman"/>
          <w:color w:val="000000"/>
          <w:sz w:val="24"/>
        </w:rPr>
        <w:t>. The Company confirms that it will rely on its own counsel and accountants for legal and accounting advice.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Research Matters</w:t>
      </w:r>
      <w:r>
        <w:rPr>
          <w:rFonts w:ascii="Times New Roman" w:hAnsi="Times New Roman"/>
          <w:color w:val="000000"/>
          <w:sz w:val="24"/>
        </w:rPr>
        <w:t xml:space="preserve">.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2711(e), the parties acknowledge and agree that the Placement Agent has not directly or indirectly offered favorable research, a specific </w:t>
      </w:r>
    </w:p>
    <w:p>
      <w:pPr>
        <w:pStyle w:val="TextBody"/>
        <w:bidi w:val="0"/>
        <w:jc w:val="center"/>
        <w:rPr>
          <w:rFonts w:ascii="Times New Roman" w:hAnsi="Times New Roman"/>
          <w:caps/>
          <w:color w:val="000000"/>
          <w:sz w:val="24"/>
        </w:rPr>
      </w:pPr>
      <w:r>
        <w:rPr>
          <w:rFonts w:ascii="Times New Roman" w:hAnsi="Times New Roman"/>
          <w:caps/>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rating or a specific price target, or threatened to change research, a rating or a price target, to the Company or inducement for the receipt of business or compensation.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Section 5. Conditions of the Obligations of the Placement Agent</w:t>
      </w:r>
      <w:r>
        <w:rPr>
          <w:rFonts w:ascii="Times New Roman" w:hAnsi="Times New Roman"/>
          <w:color w:val="000000"/>
          <w:sz w:val="24"/>
        </w:rPr>
        <w:t>. The obligations of the Placement Agent hereunder shall be subject to the accuracy of the representations and warranties on the part of the Company set forth in Section 2 hereof, in each case as of the date hereof and as of each Closing Date as though then made, to the timely performance by each of the Company of its covenants and other obligations hereunder on and as of such dates, and to each of the following additional conditions:</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Corporate Proceedings</w:t>
      </w:r>
      <w:r>
        <w:rPr>
          <w:rFonts w:ascii="Times New Roman" w:hAnsi="Times New Roman"/>
          <w:color w:val="000000"/>
          <w:sz w:val="24"/>
        </w:rPr>
        <w:t>. All corporate proceedings and other legal matters in connection with this Agreement, and the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No Material Adverse Effect</w:t>
      </w:r>
      <w:r>
        <w:rPr>
          <w:rFonts w:ascii="Times New Roman" w:hAnsi="Times New Roman"/>
          <w:color w:val="000000"/>
          <w:sz w:val="24"/>
        </w:rPr>
        <w:t>. Subsequent to the execution and delivery of this Agreement and prior to each Closing Date, in the Placement Agent's sole judgment after consultation with the Company, there shall not have occurred any Material Adverse Effect.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Opinion of Counsel for the Company</w:t>
      </w:r>
      <w:r>
        <w:rPr>
          <w:rFonts w:ascii="Times New Roman" w:hAnsi="Times New Roman"/>
          <w:color w:val="000000"/>
          <w:sz w:val="24"/>
        </w:rPr>
        <w:t>. The Placement Agent shall have received on each Closing Date the favorable opinion of US legal counsel to the Company, dated as of such Closing Date, addressed to the Placement Agent and in form and substance satisfactory to the Placement Agent.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Officers’ Certificate</w:t>
      </w:r>
      <w:r>
        <w:rPr>
          <w:rFonts w:ascii="Times New Roman" w:hAnsi="Times New Roman"/>
          <w:color w:val="000000"/>
          <w:sz w:val="24"/>
        </w:rPr>
        <w:t>. The Placement Agent shall have received on each Closing Date a certificate of the Company, dated as of such Closing Date, signed by the Chief Executive Officer and Chief Financial Officer of the Company, to the effect that, and the Placement Agent shall be satisfied that, the signers of such certificate have reviewed the Transaction Documents, and this Agreement and to the further effect that: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 xml:space="preserve">The representations and warranties of the Company in this Agreement and the Purchase Agreement are true and correct, as if made on and as of such Closing Date; and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 xml:space="preserve">Subsequent to the respective dates as of which information is given in the Agreement and the Purchase Agreement, there has not been: (a) any Material Adverse Effect;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or warrants) or outstanding </w:t>
      </w:r>
    </w:p>
    <w:p>
      <w:pPr>
        <w:pStyle w:val="TextBody"/>
        <w:bidi w:val="0"/>
        <w:jc w:val="center"/>
        <w:rPr>
          <w:rFonts w:ascii="Times New Roman" w:hAnsi="Times New Roman"/>
          <w:caps/>
          <w:color w:val="000000"/>
          <w:sz w:val="24"/>
        </w:rPr>
      </w:pPr>
      <w:r>
        <w:rPr>
          <w:rFonts w:ascii="Times New Roman" w:hAnsi="Times New Roman"/>
          <w:caps/>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Lock-Up Agreements</w:t>
      </w:r>
      <w:r>
        <w:rPr>
          <w:rFonts w:ascii="Times New Roman" w:hAnsi="Times New Roman"/>
          <w:color w:val="000000"/>
          <w:sz w:val="24"/>
        </w:rPr>
        <w:t xml:space="preserve">. On the date hereof, the Placement Agent shall have received the executed lock-up agreement, in the form attached hereto as </w:t>
      </w:r>
      <w:r>
        <w:rPr>
          <w:rFonts w:ascii="Times New Roman" w:hAnsi="Times New Roman"/>
          <w:color w:val="000000"/>
          <w:sz w:val="24"/>
          <w:u w:val="single"/>
        </w:rPr>
        <w:t>Exhibit A</w:t>
      </w:r>
      <w:r>
        <w:rPr>
          <w:rFonts w:ascii="Times New Roman" w:hAnsi="Times New Roman"/>
          <w:color w:val="000000"/>
          <w:sz w:val="24"/>
        </w:rPr>
        <w:t>, from each of the directors and officers of the Company.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Stock Exchange Listing</w:t>
      </w:r>
      <w:r>
        <w:rPr>
          <w:rFonts w:ascii="Times New Roman" w:hAnsi="Times New Roman"/>
          <w:color w:val="000000"/>
          <w:sz w:val="24"/>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Commission or the Trading Market is contemplating terminating such registration or listing.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Additional Documents</w:t>
      </w:r>
      <w:r>
        <w:rPr>
          <w:rFonts w:ascii="Times New Roman" w:hAnsi="Times New Roman"/>
          <w:color w:val="000000"/>
          <w:sz w:val="24"/>
        </w:rPr>
        <w:t>. On or before each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any condition specified in this Section 5 is not satisfied when and as required to be satisfied, this Agreement may be terminated by the Placement Agent by notice to the Company at any time on or prior to a Closing Date,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6. Payment of Expenses</w:t>
      </w:r>
      <w:r>
        <w:rPr>
          <w:rFonts w:ascii="Times New Roman" w:hAnsi="Times New Roman"/>
          <w:color w:val="000000"/>
          <w:sz w:val="24"/>
        </w:rPr>
        <w:t>. The Company agrees to pay all costs, fees and expenses incurred by the Company in connection with the performance of its obligations hereunder and in connection with the transactions contemplated hereby, including, without limitation: (i) all expenses incident to the issuance, delivery and qualification of the Securities (including all printing and engraving costs); (ii) all fees and expenses of the registrar and transfer agent of the Common Stock; (iii) all necessary issue, transfer and other stamp taxes in connection with the issuance and sale of the Securities; (iv) all fees and expenses of the Company’s counsel, independent public or certified public accountants and other advisors; (v) all costs and expenses incurred in connection with the preparation and filing of a registration statement to register the resale of the Securities in this Offering; (vi) all filing fees, reasonable attorneys’ fees and expenses incurred by the Company or the Placement Agent in connection with qualifying or registering (or obtaining exemptions from the qualification or registration of) all or any part of the Securities for offer and sale under the state securities or blue sky laws or the securities laws of any other country, and, if requested by the Placement Agent, preparing and printing a “</w:t>
      </w:r>
      <w:r>
        <w:rPr>
          <w:rFonts w:ascii="Times New Roman" w:hAnsi="Times New Roman"/>
          <w:color w:val="000000"/>
          <w:sz w:val="24"/>
          <w:u w:val="single"/>
        </w:rPr>
        <w:t>Blue Sky Survey</w:t>
      </w:r>
      <w:r>
        <w:rPr>
          <w:rFonts w:ascii="Times New Roman" w:hAnsi="Times New Roman"/>
          <w:color w:val="000000"/>
          <w:sz w:val="24"/>
        </w:rPr>
        <w:t>,” an “</w:t>
      </w:r>
      <w:r>
        <w:rPr>
          <w:rFonts w:ascii="Times New Roman" w:hAnsi="Times New Roman"/>
          <w:color w:val="000000"/>
          <w:sz w:val="24"/>
          <w:u w:val="single"/>
        </w:rPr>
        <w:t>International Blue Sky Survey</w:t>
      </w:r>
      <w:r>
        <w:rPr>
          <w:rFonts w:ascii="Times New Roman" w:hAnsi="Times New Roman"/>
          <w:color w:val="000000"/>
          <w:sz w:val="20"/>
        </w:rPr>
        <w:t xml:space="preserve">” </w:t>
      </w:r>
      <w:r>
        <w:rPr>
          <w:rFonts w:ascii="Times New Roman" w:hAnsi="Times New Roman"/>
          <w:color w:val="000000"/>
          <w:sz w:val="24"/>
        </w:rPr>
        <w:t>or other memorandum, and any supplements thereto, advising the Placement Agent of such</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qualifications, registrations and exemptions; </w:t>
      </w:r>
      <w:r>
        <w:rPr>
          <w:rFonts w:ascii="Times New Roman" w:hAnsi="Times New Roman"/>
          <w:color w:val="000000"/>
          <w:sz w:val="24"/>
          <w:u w:val="single"/>
        </w:rPr>
        <w:t>provided</w:t>
      </w:r>
      <w:r>
        <w:rPr>
          <w:rFonts w:ascii="Times New Roman" w:hAnsi="Times New Roman"/>
          <w:color w:val="000000"/>
          <w:sz w:val="24"/>
        </w:rPr>
        <w:t>, however, that any such fees shall be subject to the overall expense cap set forth in Section 1(a); (vii) if applicable, the filing fees incident to the review and approval by the FINRA of the Placement Agent's participation in the offering and distribution of the Securities; (viii) the fees and expenses associated with including the Shares and shares of Common Stock issuable upon exercise of the Warrants on the Trading Market; (ix) all costs and expenses incident to the travel and accommodation of the Company’s and the Placement Agent's employees on the “</w:t>
      </w:r>
      <w:r>
        <w:rPr>
          <w:rFonts w:ascii="Times New Roman" w:hAnsi="Times New Roman"/>
          <w:color w:val="000000"/>
          <w:sz w:val="24"/>
          <w:u w:val="single"/>
        </w:rPr>
        <w:t>roadshow</w:t>
      </w:r>
      <w:r>
        <w:rPr>
          <w:rFonts w:ascii="Times New Roman" w:hAnsi="Times New Roman"/>
          <w:color w:val="000000"/>
          <w:sz w:val="24"/>
        </w:rPr>
        <w:t>,” if any; and (x) all other fees, costs and expenses referred to in Part II of the registration statement to register the resale of the Securities in this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7. Indemnification and Contribution</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w:t>
      </w:r>
      <w:r>
        <w:rPr>
          <w:rFonts w:ascii="Times New Roman" w:hAnsi="Times New Roman"/>
          <w:color w:val="000000"/>
          <w:sz w:val="24"/>
          <w:u w:val="single"/>
        </w:rPr>
        <w:t>Indemnified Person</w:t>
      </w:r>
      <w:r>
        <w:rPr>
          <w:color w:val="000000"/>
        </w:rPr>
        <w:t>”</w:t>
      </w:r>
      <w:r>
        <w:rPr>
          <w:rFonts w:ascii="Times New Roman" w:hAnsi="Times New Roman"/>
          <w:color w:val="000000"/>
          <w:sz w:val="24"/>
        </w:rPr>
        <w:t>) from and against any losses, claims, damages, judgments, assessments, costs and other liabilities (collectively, the “</w:t>
      </w:r>
      <w:r>
        <w:rPr>
          <w:rFonts w:ascii="Times New Roman" w:hAnsi="Times New Roman"/>
          <w:color w:val="000000"/>
          <w:sz w:val="24"/>
          <w:u w:val="single"/>
        </w:rPr>
        <w:t>Liabilities</w:t>
      </w:r>
      <w:r>
        <w:rPr>
          <w:color w:val="000000"/>
        </w:rPr>
        <w:t>”</w:t>
      </w:r>
      <w:r>
        <w:rPr>
          <w:rFonts w:ascii="Times New Roman" w:hAnsi="Times New Roman"/>
          <w:color w:val="000000"/>
          <w:sz w:val="24"/>
        </w:rPr>
        <w:t>), and shall reimburse each Indemnified Person for all fees and expenses (including the reasonable fees and expenses of one counsel for all Indemnified Persons, except as otherwise expressly provided herein) (collectively, the “</w:t>
      </w:r>
      <w:r>
        <w:rPr>
          <w:rFonts w:ascii="Times New Roman" w:hAnsi="Times New Roman"/>
          <w:color w:val="000000"/>
          <w:sz w:val="24"/>
          <w:u w:val="single"/>
        </w:rPr>
        <w:t>Expenses</w:t>
      </w:r>
      <w:r>
        <w:rPr>
          <w:color w:val="000000"/>
        </w:rPr>
        <w:t>”</w:t>
      </w:r>
      <w:r>
        <w:rPr>
          <w:rFonts w:ascii="Times New Roman" w:hAnsi="Times New Roman"/>
          <w:color w:val="000000"/>
          <w:sz w:val="24"/>
        </w:rPr>
        <w:t xml:space="preserve">)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any SEC Reports or Transaction Documents or by any omission or alleged omission to state therein a material fact necessary to make the statements therein, in light of the circumstances under which they were made, not misleading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hAnsi="Times New Roman"/>
          <w:color w:val="000000"/>
          <w:sz w:val="24"/>
          <w:u w:val="single"/>
        </w:rPr>
        <w:t>provided, however</w:t>
      </w:r>
      <w:r>
        <w:rPr>
          <w:rFonts w:ascii="Times New Roman" w:hAnsi="Times New Roman"/>
          <w:color w:val="000000"/>
          <w:sz w:val="24"/>
        </w:rPr>
        <w:t>, that, in the case of clause (ii) only, the Company shall not be responsible for any Liabilities or Expenses of any Indemnified Person that are finally judicially determined to have resulted solely from 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w:t>
      </w:r>
    </w:p>
    <w:p>
      <w:pPr>
        <w:pStyle w:val="TextBody"/>
        <w:bidi w:val="0"/>
        <w:jc w:val="center"/>
        <w:rPr>
          <w:rFonts w:ascii="Times New Roman" w:hAnsi="Times New Roman"/>
          <w:caps/>
          <w:color w:val="000000"/>
          <w:sz w:val="24"/>
        </w:rPr>
      </w:pPr>
      <w:r>
        <w:rPr>
          <w:rFonts w:ascii="Times New Roman" w:hAnsi="Times New Roman"/>
          <w:caps/>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w:t>
      </w:r>
    </w:p>
    <w:p>
      <w:pPr>
        <w:pStyle w:val="TextBody"/>
        <w:bidi w:val="0"/>
        <w:jc w:val="center"/>
        <w:rPr>
          <w:rFonts w:ascii="Times New Roman" w:hAnsi="Times New Roman"/>
          <w:caps/>
          <w:color w:val="000000"/>
          <w:sz w:val="24"/>
        </w:rPr>
      </w:pPr>
      <w:r>
        <w:rPr>
          <w:rFonts w:ascii="Times New Roman" w:hAnsi="Times New Roman"/>
          <w:caps/>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Securities Act, as amended, shall be entitled to contribution from a party who was not guilty of fraudulent misrepresentation.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8. Representations and Indemnities to Survive Delivery</w:t>
      </w:r>
      <w:r>
        <w:rPr>
          <w:rFonts w:ascii="Times New Roman" w:hAnsi="Times New Roman"/>
          <w:color w:val="000000"/>
          <w:sz w:val="24"/>
        </w:rPr>
        <w:t>. The respective indemnities, agreements, representations, warranties and 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9. Notices</w:t>
      </w:r>
      <w:r>
        <w:rPr>
          <w:rFonts w:ascii="Times New Roman" w:hAnsi="Times New Roman"/>
          <w:color w:val="000000"/>
          <w:sz w:val="24"/>
        </w:rPr>
        <w:t>. All communications hereunder shall be in writing and shall be mailed, hand delivered or e-mailed and confirmed to the parties hereto as follows: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to the Placement Agent to the address set forth above, attention: James Antonopoulos email: ecm@roth.com</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4"/>
        </w:rPr>
        <w:t>With a copy to</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Ellenoff Grossman &amp; Schole LLP</w:t>
      </w:r>
    </w:p>
    <w:p>
      <w:pPr>
        <w:pStyle w:val="TextBody"/>
        <w:bidi w:val="0"/>
        <w:jc w:val="left"/>
        <w:rPr>
          <w:rFonts w:ascii="Times New Roman" w:hAnsi="Times New Roman"/>
          <w:color w:val="000000"/>
          <w:sz w:val="24"/>
        </w:rPr>
      </w:pPr>
      <w:r>
        <w:rPr>
          <w:rFonts w:ascii="Times New Roman" w:hAnsi="Times New Roman"/>
          <w:color w:val="000000"/>
          <w:sz w:val="24"/>
        </w:rPr>
        <w:t>1345 Avenue of the Americas, 11th Floor</w:t>
      </w:r>
    </w:p>
    <w:p>
      <w:pPr>
        <w:pStyle w:val="TextBody"/>
        <w:bidi w:val="0"/>
        <w:jc w:val="left"/>
        <w:rPr>
          <w:rFonts w:ascii="Times New Roman" w:hAnsi="Times New Roman"/>
          <w:color w:val="000000"/>
          <w:sz w:val="24"/>
        </w:rPr>
      </w:pPr>
      <w:r>
        <w:rPr>
          <w:rFonts w:ascii="Times New Roman" w:hAnsi="Times New Roman"/>
          <w:color w:val="000000"/>
          <w:sz w:val="24"/>
        </w:rPr>
        <w:t>New York, New York 10105</w:t>
      </w:r>
    </w:p>
    <w:p>
      <w:pPr>
        <w:pStyle w:val="TextBody"/>
        <w:bidi w:val="0"/>
        <w:jc w:val="left"/>
        <w:rPr>
          <w:rFonts w:ascii="Times New Roman" w:hAnsi="Times New Roman"/>
          <w:color w:val="000000"/>
          <w:sz w:val="24"/>
        </w:rPr>
      </w:pPr>
      <w:r>
        <w:rPr>
          <w:rFonts w:ascii="Times New Roman" w:hAnsi="Times New Roman"/>
          <w:color w:val="000000"/>
          <w:sz w:val="24"/>
        </w:rPr>
        <w:t>E-mail: capmkts@egsllp.com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If to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Aptevo Therapeutics Inc</w:t>
      </w:r>
    </w:p>
    <w:p>
      <w:pPr>
        <w:pStyle w:val="TextBody"/>
        <w:bidi w:val="0"/>
        <w:jc w:val="left"/>
        <w:rPr>
          <w:rFonts w:ascii="Times New Roman" w:hAnsi="Times New Roman"/>
          <w:sz w:val="20"/>
        </w:rPr>
      </w:pPr>
      <w:r>
        <w:rPr>
          <w:rFonts w:ascii="Times New Roman" w:hAnsi="Times New Roman"/>
          <w:color w:val="000000"/>
          <w:sz w:val="24"/>
        </w:rPr>
        <w:t>2401 4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Avenue, Suite 1050</w:t>
      </w:r>
    </w:p>
    <w:p>
      <w:pPr>
        <w:pStyle w:val="TextBody"/>
        <w:bidi w:val="0"/>
        <w:jc w:val="left"/>
        <w:rPr>
          <w:rFonts w:ascii="Times New Roman" w:hAnsi="Times New Roman"/>
          <w:color w:val="000000"/>
          <w:sz w:val="24"/>
        </w:rPr>
      </w:pPr>
      <w:r>
        <w:rPr>
          <w:rFonts w:ascii="Times New Roman" w:hAnsi="Times New Roman"/>
          <w:color w:val="000000"/>
          <w:sz w:val="24"/>
        </w:rPr>
        <w:t>Seattle, WA 98121</w:t>
      </w:r>
    </w:p>
    <w:p>
      <w:pPr>
        <w:pStyle w:val="TextBody"/>
        <w:bidi w:val="0"/>
        <w:jc w:val="center"/>
        <w:rPr>
          <w:rFonts w:ascii="Times New Roman" w:hAnsi="Times New Roman"/>
          <w:caps/>
          <w:color w:val="000000"/>
          <w:sz w:val="24"/>
        </w:rPr>
      </w:pPr>
      <w:r>
        <w:rPr>
          <w:rFonts w:ascii="Times New Roman" w:hAnsi="Times New Roman"/>
          <w:caps/>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e-mail: KwonS@apvo.com</w:t>
      </w:r>
    </w:p>
    <w:p>
      <w:pPr>
        <w:pStyle w:val="TextBody"/>
        <w:bidi w:val="0"/>
        <w:jc w:val="left"/>
        <w:rPr>
          <w:rFonts w:ascii="Times New Roman" w:hAnsi="Times New Roman"/>
          <w:color w:val="000000"/>
          <w:sz w:val="24"/>
        </w:rPr>
      </w:pPr>
      <w:r>
        <w:rPr>
          <w:rFonts w:ascii="Times New Roman" w:hAnsi="Times New Roman"/>
          <w:color w:val="000000"/>
          <w:sz w:val="24"/>
        </w:rPr>
        <w:t>Attention: SoYoung Kwon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With a copy to</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Paul Hastings LLP</w:t>
      </w:r>
    </w:p>
    <w:p>
      <w:pPr>
        <w:pStyle w:val="TextBody"/>
        <w:bidi w:val="0"/>
        <w:jc w:val="left"/>
        <w:rPr>
          <w:rFonts w:ascii="Times New Roman" w:hAnsi="Times New Roman"/>
          <w:color w:val="000000"/>
          <w:sz w:val="24"/>
        </w:rPr>
      </w:pPr>
      <w:r>
        <w:rPr>
          <w:rFonts w:ascii="Times New Roman" w:hAnsi="Times New Roman"/>
          <w:color w:val="000000"/>
          <w:sz w:val="24"/>
        </w:rPr>
        <w:t>200 Park Avenue</w:t>
      </w:r>
    </w:p>
    <w:p>
      <w:pPr>
        <w:pStyle w:val="TextBody"/>
        <w:bidi w:val="0"/>
        <w:jc w:val="left"/>
        <w:rPr>
          <w:rFonts w:ascii="Times New Roman" w:hAnsi="Times New Roman"/>
          <w:color w:val="000000"/>
          <w:sz w:val="24"/>
        </w:rPr>
      </w:pPr>
      <w:r>
        <w:rPr>
          <w:rFonts w:ascii="Times New Roman" w:hAnsi="Times New Roman"/>
          <w:color w:val="000000"/>
          <w:sz w:val="24"/>
        </w:rPr>
        <w:t>New York, NY 10166</w:t>
      </w:r>
    </w:p>
    <w:p>
      <w:pPr>
        <w:pStyle w:val="TextBody"/>
        <w:bidi w:val="0"/>
        <w:jc w:val="left"/>
        <w:rPr>
          <w:rFonts w:ascii="Times New Roman" w:hAnsi="Times New Roman"/>
          <w:color w:val="000000"/>
          <w:sz w:val="24"/>
        </w:rPr>
      </w:pPr>
      <w:r>
        <w:rPr>
          <w:rFonts w:ascii="Times New Roman" w:hAnsi="Times New Roman"/>
          <w:color w:val="000000"/>
          <w:sz w:val="24"/>
        </w:rPr>
        <w:t>e-mail: SeanDonahue@paulhastings.com</w:t>
      </w:r>
    </w:p>
    <w:p>
      <w:pPr>
        <w:pStyle w:val="TextBody"/>
        <w:bidi w:val="0"/>
        <w:jc w:val="left"/>
        <w:rPr>
          <w:rFonts w:ascii="Times New Roman" w:hAnsi="Times New Roman"/>
          <w:color w:val="000000"/>
          <w:sz w:val="24"/>
        </w:rPr>
      </w:pPr>
      <w:r>
        <w:rPr>
          <w:rFonts w:ascii="Times New Roman" w:hAnsi="Times New Roman"/>
          <w:color w:val="000000"/>
          <w:sz w:val="24"/>
        </w:rPr>
        <w:t>Attention: Sean Donahue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party hereto may change the address for receipt of communications by giving written notice to the others.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10. Successors</w:t>
      </w:r>
      <w:r>
        <w:rPr>
          <w:rFonts w:ascii="Times New Roman" w:hAnsi="Times New Roman"/>
          <w:color w:val="000000"/>
          <w:sz w:val="24"/>
        </w:rPr>
        <w:t>. This Agreement will inure to the benefit of and be binding upon the parties hereto, and to the benefit of the employees, officers and directors and controlling persons referred to in Section 7 hereof, and to their respective successors, and personal representative, and no other person will have any right or obligation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11. Partial Unenforceability</w:t>
      </w:r>
      <w:r>
        <w:rPr>
          <w:rFonts w:ascii="Times New Roman" w:hAnsi="Times New Roman"/>
          <w:color w:val="000000"/>
          <w:sz w:val="24"/>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12. Governing Law Provisions</w:t>
      </w:r>
      <w:r>
        <w:rPr>
          <w:rFonts w:ascii="Times New Roman" w:hAnsi="Times New Roman"/>
          <w:color w:val="000000"/>
          <w:sz w:val="24"/>
        </w:rPr>
        <w:t>. This Agreement shall be deemed to have been made and delivered in New York City and both this engagement letter and 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engagement letter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Notwithstanding any provision of this engagement letter to the contrary, the Company agrees that neither the Placement Agent nor its affiliates, and the respective officers, directors, employees,</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agents and representatives of the Placement Agent, its affiliates and each other person, if any, controlling the Placement Agent or any of its affiliates, shall have any liability (whether direct or indirect, in contract or tort or otherwise) to the Company for or in connection with the engagement and transaction described herein except for any such liability for losses, claims, damages or liabilities incurred by us that are finally judicially determined to have resulted from the willful misconduct or gross negligence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13. General Provisions</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Engagement Agreement, dated June 22, 2026, (“Engagement Agreement”), between the Company and Roth Capital Partners, LLC shall continue to be effective and the terms therein shall continue to survive and be enforceable by the Placement Agent in accordance with its terms, including but not limited to Sections 2, and 4 of the Engagement Agreement, provided that, in the event of a conflict between the terms of the Engagement Agreement and this Agreement, the terms of this Agreement shall prevail.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Company acknowledges that in connection with the offering of the Securities: (i) the Placement Agent has acted at arms length, are not agents of, and owe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[The remainder of this page has been intentionally left blank.]</w:t>
      </w:r>
    </w:p>
    <w:p>
      <w:pPr>
        <w:pStyle w:val="TextBody"/>
        <w:bidi w:val="0"/>
        <w:jc w:val="center"/>
        <w:rPr>
          <w:rFonts w:ascii="Times New Roman" w:hAnsi="Times New Roman"/>
          <w:caps/>
          <w:color w:val="000000"/>
          <w:sz w:val="24"/>
        </w:rPr>
      </w:pPr>
      <w:r>
        <w:rPr>
          <w:rFonts w:ascii="Times New Roman" w:hAnsi="Times New Roman"/>
          <w:caps/>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the foregoing is in accordance with your understanding of our agreement, please sign below whereupon this instrument, along with all counterparts hereof, shall become a binding agreement in accordance with its terms.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Very truly yours,</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APTEVO THERAPEUTICS INC.</w:t>
      </w:r>
    </w:p>
    <w:p>
      <w:pPr>
        <w:pStyle w:val="TextBody"/>
        <w:bidi w:val="0"/>
        <w:jc w:val="left"/>
        <w:rPr>
          <w:rFonts w:ascii="Times New Roman" w:hAnsi="Times New Roman"/>
          <w:color w:val="000000"/>
          <w:sz w:val="24"/>
        </w:rPr>
      </w:pPr>
      <w:r>
        <w:rPr>
          <w:rFonts w:ascii="Times New Roman" w:hAnsi="Times New Roman"/>
          <w:color w:val="000000"/>
          <w:sz w:val="24"/>
        </w:rP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Daphne Taylor</w:t>
      </w:r>
    </w:p>
    <w:p>
      <w:pPr>
        <w:pStyle w:val="TextBody"/>
        <w:bidi w:val="0"/>
        <w:jc w:val="left"/>
        <w:rPr>
          <w:rFonts w:ascii="Times New Roman" w:hAnsi="Times New Roman"/>
          <w:color w:val="000000"/>
          <w:sz w:val="24"/>
        </w:rPr>
      </w:pPr>
      <w:r>
        <w:rPr>
          <w:rFonts w:ascii="Times New Roman" w:hAnsi="Times New Roman"/>
          <w:color w:val="000000"/>
          <w:sz w:val="24"/>
        </w:rPr>
        <w:t>Name: Daphne Taylor</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foregoing Placement Agency Agreement is hereby confirmed and accepted as of the date first above written.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ROTH CAPITAL PARTNERS,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Antonopoulos</w:t>
      </w:r>
    </w:p>
    <w:p>
      <w:pPr>
        <w:pStyle w:val="TextBody"/>
        <w:bidi w:val="0"/>
        <w:jc w:val="left"/>
        <w:rPr>
          <w:rFonts w:ascii="Times New Roman" w:hAnsi="Times New Roman"/>
          <w:color w:val="000000"/>
          <w:sz w:val="24"/>
        </w:rPr>
      </w:pPr>
      <w:r>
        <w:rPr>
          <w:rFonts w:ascii="Times New Roman" w:hAnsi="Times New Roman"/>
          <w:color w:val="000000"/>
          <w:sz w:val="24"/>
        </w:rPr>
        <w:t>Name: James Antonopoulos</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center"/>
        <w:rPr>
          <w:rFonts w:ascii="Times New Roman" w:hAnsi="Times New Roman"/>
          <w:caps/>
          <w:color w:val="000000"/>
          <w:sz w:val="24"/>
        </w:rPr>
      </w:pPr>
      <w:r>
        <w:rPr>
          <w:rFonts w:ascii="Times New Roman" w:hAnsi="Times New Roman"/>
          <w:caps/>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of Lock-up Agreement</w:t>
      </w:r>
    </w:p>
    <w:p>
      <w:pPr>
        <w:pStyle w:val="TextBody"/>
        <w:bidi w:val="0"/>
        <w:jc w:val="center"/>
        <w:rPr>
          <w:rFonts w:ascii="Times New Roman" w:hAnsi="Times New Roman"/>
          <w:caps/>
          <w:color w:val="000000"/>
          <w:sz w:val="24"/>
        </w:rPr>
      </w:pPr>
      <w:r>
        <w:rPr>
          <w:rFonts w:ascii="Times New Roman" w:hAnsi="Times New Roman"/>
          <w:caps/>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LOCK-UP 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August 12, 2026</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APTEVO THERAPEUTICS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 Securities Purchase Agreement, dated as of August 12, 2026 (the “Purchase Agreement”), between Aptevo Therapeutics Inc. (the “Company”) and the purchasers signatory thereto (each, a “Purchaser” and, collectively,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jc w:val="both"/>
        <w:rPr>
          <w:rFonts w:ascii="Times New Roman" w:hAnsi="Times New Roman"/>
          <w:sz w:val="20"/>
        </w:rPr>
      </w:pPr>
      <w:r>
        <w:rPr>
          <w:rFonts w:ascii="Times New Roman" w:hAnsi="Times New Roman"/>
          <w:color w:val="000000"/>
          <w:sz w:val="24"/>
        </w:rPr>
        <w:t>Defined terms not otherwise defined in this letter agreement (the “</w:t>
      </w:r>
      <w:r>
        <w:rPr>
          <w:rFonts w:ascii="Times New Roman" w:hAnsi="Times New Roman"/>
          <w:color w:val="000000"/>
          <w:sz w:val="24"/>
          <w:u w:val="single"/>
        </w:rPr>
        <w:t>Letter Agreement</w:t>
      </w:r>
      <w:r>
        <w:rPr>
          <w:rFonts w:ascii="Times New Roman" w:hAnsi="Times New Roman"/>
          <w:color w:val="000000"/>
          <w:sz w:val="20"/>
        </w:rPr>
        <w:t>”</w:t>
      </w:r>
      <w:r>
        <w:rPr>
          <w:rFonts w:ascii="Times New Roman" w:hAnsi="Times New Roman"/>
          <w:color w:val="000000"/>
          <w:sz w:val="24"/>
        </w:rPr>
        <w:t>) shall have the meanings set forth in the Purchase Agreement. Pursuant to Section 2.2(a) of the Purchase Agreement and in satisfaction of a condition of the Company’s obligations under the Purchase Agreement, the undersigned irrevocably agrees with the Company that, from the date hereof until thirty (30) days following the later of (i) the Stockholder Approval Date and (ii) the Effective Date (such period, the “</w:t>
      </w:r>
      <w:r>
        <w:rPr>
          <w:rFonts w:ascii="Times New Roman" w:hAnsi="Times New Roman"/>
          <w:color w:val="000000"/>
          <w:sz w:val="24"/>
          <w:u w:val="single"/>
        </w:rPr>
        <w:t>Restriction Period</w:t>
      </w:r>
      <w:r>
        <w:rPr>
          <w:rFonts w:ascii="Times New Roman" w:hAnsi="Times New Roman"/>
          <w:color w:val="000000"/>
          <w:sz w:val="20"/>
        </w:rPr>
        <w:t>”</w:t>
      </w:r>
      <w:r>
        <w:rPr>
          <w:rFonts w:ascii="Times New Roman" w:hAnsi="Times New Roman"/>
          <w:color w:val="000000"/>
          <w:sz w:val="24"/>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directly or indirectly, or establish or increase a put equivalent position or liquidate or decrease a call equivalent position within the meaning of Section 16 of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with respect to, any shares of Common Stock of the Company or securities convertible, exchangeable or exercisable into, shares of Common Stock of the Company beneficially owned, held or hereafter acquired by the undersigned (the “</w:t>
      </w:r>
      <w:r>
        <w:rPr>
          <w:rFonts w:ascii="Times New Roman" w:hAnsi="Times New Roman"/>
          <w:color w:val="000000"/>
          <w:sz w:val="24"/>
          <w:u w:val="single"/>
        </w:rPr>
        <w:t>Securities</w:t>
      </w:r>
      <w:r>
        <w:rPr>
          <w:rFonts w:ascii="Times New Roman" w:hAnsi="Times New Roman"/>
          <w:color w:val="000000"/>
          <w:sz w:val="20"/>
        </w:rPr>
        <w:t>”</w:t>
      </w:r>
      <w:r>
        <w:rPr>
          <w:rFonts w:ascii="Times New Roman" w:hAnsi="Times New Roman"/>
          <w:color w:val="000000"/>
          <w:sz w:val="24"/>
        </w:rPr>
        <w:t>).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tbl>
      <w:tblPr>
        <w:tblW w:w="3043" w:type="dxa"/>
        <w:jc w:val="left"/>
        <w:tblInd w:w="0" w:type="dxa"/>
        <w:tblLayout w:type="fixed"/>
        <w:tblCellMar>
          <w:top w:w="28" w:type="dxa"/>
          <w:left w:w="28" w:type="dxa"/>
          <w:bottom w:w="28" w:type="dxa"/>
          <w:right w:w="28" w:type="dxa"/>
        </w:tblCellMar>
      </w:tblPr>
      <w:tblGrid>
        <w:gridCol w:w="191"/>
        <w:gridCol w:w="241"/>
        <w:gridCol w:w="2611"/>
      </w:tblGrid>
      <w:tr>
        <w:trPr/>
        <w:tc>
          <w:tcPr>
            <w:tcW w:w="1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w:t>
            </w:r>
          </w:p>
        </w:tc>
        <w:tc>
          <w:tcPr>
            <w:tcW w:w="26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rPr>
              <w:t xml:space="preserve">as a </w:t>
            </w:r>
            <w:r>
              <w:rPr>
                <w:rFonts w:ascii="Times New Roman" w:hAnsi="Times New Roman"/>
                <w:i/>
                <w:color w:val="000000"/>
                <w:sz w:val="24"/>
              </w:rPr>
              <w:t>bona fide</w:t>
            </w:r>
            <w:r>
              <w:rPr>
                <w:rFonts w:ascii="Times New Roman" w:hAnsi="Times New Roman"/>
                <w:color w:val="000000"/>
                <w:sz w:val="24"/>
              </w:rPr>
              <w:t> gift or gifts;</w:t>
            </w:r>
          </w:p>
        </w:tc>
      </w:tr>
    </w:tbl>
    <w:tbl>
      <w:tblPr>
        <w:tblW w:w="10205" w:type="dxa"/>
        <w:jc w:val="left"/>
        <w:tblInd w:w="0" w:type="dxa"/>
        <w:tblLayout w:type="fixed"/>
        <w:tblCellMar>
          <w:top w:w="28" w:type="dxa"/>
          <w:left w:w="28" w:type="dxa"/>
          <w:bottom w:w="28" w:type="dxa"/>
          <w:right w:w="28" w:type="dxa"/>
        </w:tblCellMar>
      </w:tblPr>
      <w:tblGrid>
        <w:gridCol w:w="191"/>
        <w:gridCol w:w="270"/>
        <w:gridCol w:w="9744"/>
      </w:tblGrid>
      <w:tr>
        <w:trPr/>
        <w:tc>
          <w:tcPr>
            <w:tcW w:w="1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ii)</w:t>
            </w:r>
          </w:p>
        </w:tc>
        <w:tc>
          <w:tcPr>
            <w:tcW w:w="97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to any immediate family member or to any trust for the direct or indirect benefit of the undersigned or the immediate family of the undersigned (for purposes of this </w:t>
            </w:r>
          </w:p>
        </w:tc>
      </w:tr>
    </w:tbl>
    <w:p>
      <w:pPr>
        <w:pStyle w:val="TextBody"/>
        <w:bidi w:val="0"/>
        <w:jc w:val="center"/>
        <w:rPr>
          <w:rFonts w:ascii="Times New Roman" w:hAnsi="Times New Roman"/>
          <w:caps/>
          <w:color w:val="000000"/>
          <w:sz w:val="24"/>
        </w:rPr>
      </w:pPr>
      <w:r>
        <w:rPr>
          <w:rFonts w:ascii="Times New Roman" w:hAnsi="Times New Roman"/>
          <w:caps/>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Letter Agreement, “immediate family” shall mean any relationship by blood, marriage, domestic partnership or adoption, not more remote than first cousin);</w:t>
            </w:r>
          </w:p>
        </w:tc>
      </w:tr>
    </w:tbl>
    <w:tbl>
      <w:tblPr>
        <w:tblW w:w="10205" w:type="dxa"/>
        <w:jc w:val="left"/>
        <w:tblInd w:w="0" w:type="dxa"/>
        <w:tblLayout w:type="fixed"/>
        <w:tblCellMar>
          <w:top w:w="28" w:type="dxa"/>
          <w:left w:w="28" w:type="dxa"/>
          <w:bottom w:w="28" w:type="dxa"/>
          <w:right w:w="28" w:type="dxa"/>
        </w:tblCellMar>
      </w:tblPr>
      <w:tblGrid>
        <w:gridCol w:w="191"/>
        <w:gridCol w:w="323"/>
        <w:gridCol w:w="9691"/>
      </w:tblGrid>
      <w:tr>
        <w:trPr/>
        <w:tc>
          <w:tcPr>
            <w:tcW w:w="1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iii)</w:t>
            </w:r>
          </w:p>
        </w:tc>
        <w:tc>
          <w:tcPr>
            <w:tcW w:w="9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 any corporation, partnership, limited liability company, or other business entity all of the equity holders of which consist of the undersigned and/or the immediate family of the undersigned;</w:t>
            </w:r>
          </w:p>
        </w:tc>
      </w:tr>
    </w:tbl>
    <w:tbl>
      <w:tblPr>
        <w:tblW w:w="10205" w:type="dxa"/>
        <w:jc w:val="left"/>
        <w:tblInd w:w="0" w:type="dxa"/>
        <w:tblLayout w:type="fixed"/>
        <w:tblCellMar>
          <w:top w:w="28" w:type="dxa"/>
          <w:left w:w="28" w:type="dxa"/>
          <w:bottom w:w="28" w:type="dxa"/>
          <w:right w:w="28" w:type="dxa"/>
        </w:tblCellMar>
      </w:tblPr>
      <w:tblGrid>
        <w:gridCol w:w="191"/>
        <w:gridCol w:w="305"/>
        <w:gridCol w:w="9709"/>
      </w:tblGrid>
      <w:tr>
        <w:trPr/>
        <w:tc>
          <w:tcPr>
            <w:tcW w:w="1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09"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iv)</w:t>
            </w:r>
          </w:p>
        </w:tc>
        <w:tc>
          <w:tcPr>
            <w:tcW w:w="97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bl>
    <w:tbl>
      <w:tblPr>
        <w:tblW w:w="6208" w:type="dxa"/>
        <w:jc w:val="left"/>
        <w:tblInd w:w="0" w:type="dxa"/>
        <w:tblLayout w:type="fixed"/>
        <w:tblCellMar>
          <w:top w:w="28" w:type="dxa"/>
          <w:left w:w="28" w:type="dxa"/>
          <w:bottom w:w="28" w:type="dxa"/>
          <w:right w:w="28" w:type="dxa"/>
        </w:tblCellMar>
      </w:tblPr>
      <w:tblGrid>
        <w:gridCol w:w="191"/>
        <w:gridCol w:w="301"/>
        <w:gridCol w:w="5716"/>
      </w:tblGrid>
      <w:tr>
        <w:trPr/>
        <w:tc>
          <w:tcPr>
            <w:tcW w:w="1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v)</w:t>
            </w:r>
          </w:p>
        </w:tc>
        <w:tc>
          <w:tcPr>
            <w:tcW w:w="57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if the undersigned is a trust, to the beneficiary of such trust;</w:t>
            </w:r>
          </w:p>
        </w:tc>
      </w:tr>
    </w:tbl>
    <w:tbl>
      <w:tblPr>
        <w:tblW w:w="10205" w:type="dxa"/>
        <w:jc w:val="left"/>
        <w:tblInd w:w="0" w:type="dxa"/>
        <w:tblLayout w:type="fixed"/>
        <w:tblCellMar>
          <w:top w:w="28" w:type="dxa"/>
          <w:left w:w="28" w:type="dxa"/>
          <w:bottom w:w="28" w:type="dxa"/>
          <w:right w:w="28" w:type="dxa"/>
        </w:tblCellMar>
      </w:tblPr>
      <w:tblGrid>
        <w:gridCol w:w="191"/>
        <w:gridCol w:w="330"/>
        <w:gridCol w:w="9684"/>
      </w:tblGrid>
      <w:tr>
        <w:trPr/>
        <w:tc>
          <w:tcPr>
            <w:tcW w:w="1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84"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vi)</w:t>
            </w:r>
          </w:p>
        </w:tc>
        <w:tc>
          <w:tcPr>
            <w:tcW w:w="96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will, other testamentary document or intestate succession to the legal representative, heir, beneficiary or a member of the immediate family of the undersigned;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
        <w:gridCol w:w="395"/>
        <w:gridCol w:w="9619"/>
      </w:tblGrid>
      <w:tr>
        <w:trPr/>
        <w:tc>
          <w:tcPr>
            <w:tcW w:w="1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19"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vii)</w:t>
            </w:r>
          </w:p>
        </w:tc>
        <w:tc>
          <w:tcPr>
            <w:tcW w:w="961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pledges of shares of Common Stock in a bona fide transaction where such pledges are in effect as of the date hereof to a lender to the undersigned;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
        <w:gridCol w:w="440"/>
        <w:gridCol w:w="9574"/>
      </w:tblGrid>
      <w:tr>
        <w:trPr/>
        <w:tc>
          <w:tcPr>
            <w:tcW w:w="1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574"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viii)</w:t>
            </w:r>
          </w:p>
        </w:tc>
        <w:tc>
          <w:tcPr>
            <w:tcW w:w="9574" w:type="dxa"/>
            <w:tcBorders/>
            <w:tcMar>
              <w:top w:w="0" w:type="dxa"/>
              <w:left w:w="0" w:type="dxa"/>
              <w:bottom w:w="0" w:type="dxa"/>
              <w:right w:w="0" w:type="dxa"/>
            </w:tcMar>
            <w:vAlign w:val="center"/>
          </w:tcPr>
          <w:p>
            <w:pPr>
              <w:pStyle w:val="TableContents"/>
              <w:bidi w:val="0"/>
              <w:spacing w:before="0" w:after="283"/>
              <w:jc w:val="both"/>
              <w:rPr/>
            </w:pPr>
            <w:r>
              <w:rPr>
                <w:color w:val="000000"/>
              </w:rPr>
              <w:t> </w:t>
            </w:r>
            <w:r>
              <w:rPr>
                <w:rFonts w:ascii="Times New Roman" w:hAnsi="Times New Roman"/>
                <w:color w:val="000000"/>
                <w:sz w:val="24"/>
              </w:rPr>
              <w:t xml:space="preserve">facilitating the establishment of a trading plan on behalf of a shareholder, officer or director of the Company pursuant to Rule 10b5-1 under the Exchange Act for the transfer of shares of Common Stock; </w:t>
            </w:r>
          </w:p>
        </w:tc>
      </w:tr>
    </w:tbl>
    <w:tbl>
      <w:tblPr>
        <w:tblW w:w="7993" w:type="dxa"/>
        <w:jc w:val="left"/>
        <w:tblInd w:w="0" w:type="dxa"/>
        <w:tblLayout w:type="fixed"/>
        <w:tblCellMar>
          <w:top w:w="28" w:type="dxa"/>
          <w:left w:w="28" w:type="dxa"/>
          <w:bottom w:w="28" w:type="dxa"/>
          <w:right w:w="28" w:type="dxa"/>
        </w:tblCellMar>
      </w:tblPr>
      <w:tblGrid>
        <w:gridCol w:w="191"/>
        <w:gridCol w:w="361"/>
        <w:gridCol w:w="7441"/>
      </w:tblGrid>
      <w:tr>
        <w:trPr/>
        <w:tc>
          <w:tcPr>
            <w:tcW w:w="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ix)</w:t>
            </w:r>
          </w:p>
        </w:tc>
        <w:tc>
          <w:tcPr>
            <w:tcW w:w="7441" w:type="dxa"/>
            <w:tcBorders/>
            <w:tcMar>
              <w:top w:w="0" w:type="dxa"/>
              <w:left w:w="0" w:type="dxa"/>
              <w:bottom w:w="0" w:type="dxa"/>
              <w:right w:w="0" w:type="dxa"/>
            </w:tcMar>
            <w:vAlign w:val="center"/>
          </w:tcPr>
          <w:p>
            <w:pPr>
              <w:pStyle w:val="TableContents"/>
              <w:bidi w:val="0"/>
              <w:jc w:val="both"/>
              <w:rPr>
                <w:color w:val="000000"/>
              </w:rPr>
            </w:pPr>
            <w:r>
              <w:rPr>
                <w:color w:val="000000"/>
              </w:rPr>
              <w:t> </w:t>
            </w:r>
            <w:r>
              <w:rPr>
                <w:rFonts w:ascii="Times New Roman" w:hAnsi="Times New Roman"/>
                <w:color w:val="000000"/>
                <w:sz w:val="24"/>
              </w:rPr>
              <w:t>of securities purchased in open market transactions after the Closing Date; or</w:t>
            </w:r>
          </w:p>
          <w:p>
            <w:pPr>
              <w:pStyle w:val="TableContents"/>
              <w:bidi w:val="0"/>
              <w:jc w:val="both"/>
              <w:rPr/>
            </w:pPr>
            <w:r>
              <w:rPr/>
              <w:t> </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x) pursuant to an Exempt Issuance (as defined in the Purchase Agreement).</w:t>
            </w:r>
          </w:p>
        </w:tc>
      </w:tr>
    </w:tbl>
    <w:p>
      <w:pPr>
        <w:pStyle w:val="TextBody"/>
        <w:bidi w:val="0"/>
        <w:jc w:val="both"/>
        <w:rPr>
          <w:rFonts w:ascii="Times New Roman" w:hAnsi="Times New Roman"/>
          <w:color w:val="000000"/>
          <w:sz w:val="24"/>
        </w:rPr>
      </w:pPr>
      <w:r>
        <w:rPr>
          <w:rFonts w:ascii="Times New Roman" w:hAnsi="Times New Roman"/>
          <w:color w:val="000000"/>
          <w:sz w:val="24"/>
        </w:rPr>
        <w:t>In addition, notwithstanding the foregoing, this Letter Agreement shall not restrict the delivery of shares of Common Stock to the undersigned upon (i) exercise, vesting or settlement of any options, restricted stock units or other equity awards granted under any stock incentive plan or similar employee benefit plan of the Company; provided that any shares of Common Stock or Securities acquired in connection with any such exercise will be subject to the restrictions set forth in this Letter Agreement, (ii) the exercise of warrants; provided that such shares of Common Stock delivered to the undersigned in connection with such exercise are subject to the restrictions set forth in this Letter Agreement; or (iii) the transfer to the Company of shares of Common Stock or any securities convertible into or exercisable or exchangeable for Common Stock upon a vesting or settlement event of restricted stock units or other securities or upon the exercise of options to purchase securities of the Company on a cashless or net exercise basis (including any transfer in respect of amounts for the payment of taxes and remittance obligations due as a result of such vesting, settlement or exercise).</w:t>
      </w:r>
    </w:p>
    <w:p>
      <w:pPr>
        <w:pStyle w:val="TextBody"/>
        <w:bidi w:val="0"/>
        <w:jc w:val="both"/>
        <w:rPr/>
      </w:pPr>
      <w:r>
        <w:rPr/>
        <w:t> </w:t>
      </w:r>
    </w:p>
    <w:p>
      <w:pPr>
        <w:pStyle w:val="TextBody"/>
        <w:bidi w:val="0"/>
        <w:jc w:val="center"/>
        <w:rPr>
          <w:rFonts w:ascii="Times New Roman" w:hAnsi="Times New Roman"/>
          <w:caps/>
          <w:color w:val="000000"/>
          <w:sz w:val="24"/>
        </w:rPr>
      </w:pPr>
      <w:r>
        <w:rPr>
          <w:rFonts w:ascii="Times New Roman" w:hAnsi="Times New Roman"/>
          <w:caps/>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Furthermore, the undersigned may enter into any new plan established in compliance with Rule 10b5-1 of the Exchange Act; provided that no sale of shares of Common Stock are made pursuant to such plan during the Restriction Period.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is not intended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SIGNATURE PAGE FOLLOWS***</w:t>
      </w:r>
    </w:p>
    <w:p>
      <w:pPr>
        <w:pStyle w:val="TextBody"/>
        <w:bidi w:val="0"/>
        <w:jc w:val="center"/>
        <w:rPr/>
      </w:pPr>
      <w:r>
        <w:rPr/>
        <w:t> </w:t>
      </w:r>
    </w:p>
    <w:p>
      <w:pPr>
        <w:pStyle w:val="TextBody"/>
        <w:bidi w:val="0"/>
        <w:jc w:val="both"/>
        <w:rPr/>
      </w:pPr>
      <w:r>
        <w:rPr/>
        <w:t> </w:t>
      </w:r>
    </w:p>
    <w:p>
      <w:pPr>
        <w:pStyle w:val="TextBody"/>
        <w:bidi w:val="0"/>
        <w:jc w:val="center"/>
        <w:rPr>
          <w:rFonts w:ascii="Times New Roman" w:hAnsi="Times New Roman"/>
          <w:caps/>
          <w:color w:val="000000"/>
          <w:sz w:val="24"/>
        </w:rPr>
      </w:pPr>
      <w:r>
        <w:rPr>
          <w:rFonts w:ascii="Times New Roman" w:hAnsi="Times New Roman"/>
          <w:caps/>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Letter Agreement may be executed in two or more counterparts, all of which when taken together may be considered one and the same agreement.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Signature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Print Name</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Position in Company, if 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Address for Notice: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Number of shares of Common Stock</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_____________________________________________________________________________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Number of shares of Common Stock underlying warrants, options, debentures or other convertible securities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signing below, the Company agrees to enforce the restrictions on transfer set forth in this Letter Agreement.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APTEVO THERAPEUTICS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_________________________________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Name:</w:t>
      </w:r>
    </w:p>
    <w:p>
      <w:pPr>
        <w:pStyle w:val="TextBody"/>
        <w:bidi w:val="0"/>
        <w:jc w:val="both"/>
        <w:rPr>
          <w:rFonts w:ascii="Times New Roman" w:hAnsi="Times New Roman"/>
          <w:color w:val="000000"/>
          <w:sz w:val="24"/>
        </w:rPr>
      </w:pPr>
      <w:r>
        <w:rPr>
          <w:rFonts w:ascii="Times New Roman" w:hAnsi="Times New Roman"/>
          <w:color w:val="000000"/>
          <w:sz w:val="24"/>
        </w:rPr>
        <w:t>Title:</w:t>
      </w:r>
    </w:p>
    <w:p>
      <w:pPr>
        <w:pStyle w:val="TextBody"/>
        <w:bidi w:val="0"/>
        <w:jc w:val="center"/>
        <w:rPr>
          <w:rFonts w:ascii="Times New Roman" w:hAnsi="Times New Roman"/>
          <w:caps/>
          <w:color w:val="000000"/>
          <w:sz w:val="24"/>
        </w:rPr>
      </w:pPr>
      <w:r>
        <w:rPr>
          <w:rFonts w:ascii="Times New Roman" w:hAnsi="Times New Roman"/>
          <w:caps/>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17" w:name="apvo-ex99_1.htm"/>
      <w:bookmarkStart w:id="18" w:name="ksapvoex99_1"/>
      <w:bookmarkEnd w:id="17"/>
      <w:bookmarkEnd w:id="18"/>
      <w:r>
        <w:rPr>
          <w:rFonts w:ascii="Times New Roman" w:hAnsi="Times New Roman"/>
          <w:color w:val="000000"/>
          <w:sz w:val="22"/>
        </w:rPr>
        <w:t>Exhibit 99.1</w:t>
      </w:r>
      <w:r>
        <w:br w:type="page"/>
      </w:r>
    </w:p>
    <w:p>
      <w:pPr>
        <w:pStyle w:val="TextBody"/>
        <w:bidi w:val="0"/>
        <w:jc w:val="left"/>
        <w:rPr/>
      </w:pPr>
      <w:r>
        <w:rPr/>
        <w:t> </w:t>
      </w:r>
    </w:p>
    <w:p>
      <w:pPr>
        <w:pStyle w:val="TextBody"/>
        <w:bidi w:val="0"/>
        <w:spacing w:before="0" w:after="160"/>
        <w:jc w:val="right"/>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p>
    <w:p>
      <w:pPr>
        <w:pStyle w:val="TextBody"/>
        <w:bidi w:val="0"/>
        <w:jc w:val="center"/>
        <w:rPr>
          <w:rFonts w:ascii="sans-serif" w:hAnsi="sans-serif"/>
          <w:b/>
          <w:color w:val="000000"/>
          <w:sz w:val="28"/>
        </w:rPr>
      </w:pPr>
      <w:r>
        <w:rPr>
          <w:rFonts w:ascii="sans-serif" w:hAnsi="sans-serif"/>
          <w:b/>
          <w:color w:val="000000"/>
          <w:sz w:val="28"/>
        </w:rPr>
        <w:t>Aptevo Therapeutics Announces Exercise of Existing Warrants and PIPE for $4.5 Million Gross Proceeds</w:t>
      </w:r>
    </w:p>
    <w:p>
      <w:pPr>
        <w:pStyle w:val="TextBody"/>
        <w:bidi w:val="0"/>
        <w:jc w:val="center"/>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SEATTLE, WASHINGTON / ACCESSWIRE / August 12, 2026 / </w:t>
      </w:r>
      <w:r>
        <w:rPr>
          <w:rFonts w:ascii="sans-serif" w:hAnsi="sans-serif"/>
          <w:color w:val="000000"/>
          <w:sz w:val="22"/>
        </w:rPr>
        <w:t>Aptevo Therapeutics Inc. (NASDAQ:APVO) (“Aptevo” or the “Company”), a clinical-stage biotechnology company developing novel multispecific immuno-oncology therapeutics, today announced it has entered into warrant inducement letter agreements with certain holders of its existing common warrants (the “Existing Warrants”), pursuant to which such holders have agreed to exercise in full for cash their Existing Warrants to purchase up to an aggregate of 254,922 shares of common stock of the Company (“common stock”) at a reduced exercise price of $4.03 per share. In consideration for such cash exercises, the Company will issue new unregistered common stock purchase warrants (the “Inducement Warrants”) to purchase up to an aggregate of 1,274,610 shares of common stock at an exercise price of $4.03 per share. The Inducement Warrants will be exercisable on or after the date on which the Company obtains the required stockholder approval and will expire five years after their initial exercise date. The shares of common stock issuable upon exercise of the Existing Warrants are registered pursuant to effective registration statements on Form S-1 (File No. 333-288061),Form S-1MEF (File No. 333-288134), Form S-3 (File No. 333-284969) and Form S-3 (File No. 333-283983).</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Separately, pursuant to a securities purchase agreement, the Company agreed to sell to certain purchasers in a private placement (the “PIPE”) up to 861,708 unregistered shares of common stock (the “Shares”) at a purchase price of $4.03 per share (or, at a purchaser’s election to comply with a 4.99% or 9.99% beneficial ownership limitation, pre-funded common stock purchase warrants (the “Pre-Funded Warrants”) to purchase up to 861,708 shares in lieu of such shares), together with common stock purchase warrants (the “Common Warrants”) to purchase up to 4,308,540 shares of common stock at an exercise price of $4.03 per share. The Pre-Funded Warrants will be exercisable immediately and will expire upon exercise in full, and the Common Warrants will be exercisable on or after the date on which the Company obtains the required stockholder approval and will expire five years after their initial exercise date (together, the “PIPE Warrants”).</w:t>
      </w:r>
    </w:p>
    <w:p>
      <w:pPr>
        <w:pStyle w:val="TextBody"/>
        <w:bidi w:val="0"/>
        <w:spacing w:before="0" w:after="160"/>
        <w:jc w:val="left"/>
        <w:rPr>
          <w:rFonts w:ascii="sans-serif" w:hAnsi="sans-serif"/>
          <w:color w:val="000000"/>
          <w:sz w:val="22"/>
        </w:rPr>
      </w:pPr>
      <w:r>
        <w:rPr>
          <w:rFonts w:ascii="sans-serif" w:hAnsi="sans-serif"/>
          <w:color w:val="000000"/>
          <w:sz w:val="22"/>
        </w:rPr>
        <w:t>The aggregate gross proceeds from the transactions described herein are expected to total approximately $4.5 million, before deducting placement agent fees and expenses.</w:t>
      </w:r>
    </w:p>
    <w:p>
      <w:pPr>
        <w:pStyle w:val="TextBody"/>
        <w:bidi w:val="0"/>
        <w:spacing w:before="0" w:after="160"/>
        <w:jc w:val="left"/>
        <w:rPr>
          <w:rFonts w:ascii="sans-serif" w:hAnsi="sans-serif"/>
          <w:color w:val="000000"/>
          <w:sz w:val="22"/>
        </w:rPr>
      </w:pPr>
      <w:r>
        <w:rPr>
          <w:rFonts w:ascii="sans-serif" w:hAnsi="sans-serif"/>
          <w:color w:val="000000"/>
          <w:sz w:val="22"/>
        </w:rPr>
        <w:t>Roth Capital Partners, LLC is acting as the Company's exclusive placement agent in connection with these transactions.</w:t>
      </w:r>
    </w:p>
    <w:p>
      <w:pPr>
        <w:pStyle w:val="TextBody"/>
        <w:bidi w:val="0"/>
        <w:spacing w:before="0" w:after="160"/>
        <w:jc w:val="left"/>
        <w:rPr>
          <w:rFonts w:ascii="sans-serif" w:hAnsi="sans-serif"/>
          <w:color w:val="000000"/>
          <w:sz w:val="22"/>
        </w:rPr>
      </w:pPr>
      <w:r>
        <w:rPr>
          <w:rFonts w:ascii="sans-serif" w:hAnsi="sans-serif"/>
          <w:color w:val="000000"/>
          <w:sz w:val="22"/>
        </w:rPr>
        <w:t>The transactions are expected to close on or about August 13, 2026, subject to satisfaction of customary closing conditions. The Company intends to use the net proceeds from the transactions for working capital purposes.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sans-serif" w:hAnsi="sans-serif"/>
          <w:color w:val="000000"/>
          <w:sz w:val="22"/>
        </w:rPr>
        <w:t>The Inducement Warrants, the Shares, the Pre-Funded Warrants and the Common Warrants described above were offered in private placement transactions pursuant to Section 4(a)(2) of the Securities Act of 1933, as amended (the “1933 Act”), and Rule 506 promulgated thereunder, as applicable, and, along with the shares of common stock issuable upon exercise of the Inducement Warrants, the Pre-Funded Warrants and the Common Warrants, have not been registered under the 1933 Act and may not be offered or sold in the United States absent registration with the Securities and Exchange Commission (“SEC”) or an applicable exemption from such registration requirements. The Company has agreed to file a registration statement with the SEC covering the resale of the Shares and the shares of common stock issuable upon exercise of the Inducement Warrants, the Pre-Funded Warrants and the Common Warrants.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This press release shall not constitute an offer to sell or a solicitation of an offer to buy nor shall there be any sale of these securities in any state or jurisdiction in which such offer, solicitation or sale would be unlawful prior to the registration or exemption under the securities laws of any such state or jurisdiction.</w:t>
      </w:r>
    </w:p>
    <w:p>
      <w:pPr>
        <w:pStyle w:val="TextBody"/>
        <w:bidi w:val="0"/>
        <w:spacing w:before="0" w:after="160"/>
        <w:jc w:val="left"/>
        <w:rPr>
          <w:rFonts w:ascii="sans-serif" w:hAnsi="sans-serif"/>
          <w:b/>
          <w:color w:val="000000"/>
          <w:sz w:val="22"/>
        </w:rPr>
      </w:pPr>
      <w:r>
        <w:rPr>
          <w:rFonts w:ascii="sans-serif" w:hAnsi="sans-serif"/>
          <w:b/>
          <w:color w:val="000000"/>
          <w:sz w:val="22"/>
        </w:rPr>
        <w:t>About Aptevo Therapeutics</w:t>
      </w:r>
    </w:p>
    <w:p>
      <w:pPr>
        <w:pStyle w:val="TextBody"/>
        <w:bidi w:val="0"/>
        <w:spacing w:before="0" w:after="160"/>
        <w:jc w:val="left"/>
        <w:rPr>
          <w:rFonts w:ascii="Times New Roman" w:hAnsi="Times New Roman"/>
          <w:sz w:val="20"/>
        </w:rPr>
      </w:pPr>
      <w:r>
        <w:rPr>
          <w:rFonts w:ascii="sans-serif" w:hAnsi="sans-serif"/>
          <w:color w:val="000000"/>
          <w:sz w:val="22"/>
        </w:rPr>
        <w:t xml:space="preserve">Aptevo Therapeutics Inc. (NASDAQ:APVO) is a clinical-stage biotechnology company developing novel multispecific immunotherapies for the treatment of cancer. The Company's lead clinical candidate, mipletamig, is currently being evaluated in frontline acute myeloid leukemia in combination with standard-of-care venetoclax + azacitidine. Aptevo's pipeline is generated from its proprietary ADAPTIR and ADAPTIR-FLEX platforms and includes bispecific and trispecific candidates designed to create multiple oncology value drivers across hematologic malignancies and solid tumors. In preclinical development, Aptevo is advancing APVO451, a nectin-4-targeted trispecific immunotherapy candidate for solid tumors and is pursuing strategic opportunities in radiopharmaceutical therapeutics to extend its tumor-targeting expertise into additional cancer treatment approaches. For more information, visit </w:t>
      </w:r>
      <w:r>
        <w:rPr>
          <w:rFonts w:ascii="sans-serif" w:hAnsi="sans-serif"/>
          <w:b/>
          <w:sz w:val="22"/>
        </w:rPr>
        <w:t>www.aptevotherapeutics.com</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2"/>
        </w:rPr>
      </w:pPr>
      <w:r>
        <w:rPr>
          <w:rFonts w:ascii="sans-serif" w:hAnsi="sans-serif"/>
          <w:b/>
          <w:color w:val="000000"/>
          <w:sz w:val="22"/>
        </w:rPr>
        <w:t>Cautionary Note Regarding Forward-Looking Statement</w:t>
      </w:r>
    </w:p>
    <w:p>
      <w:pPr>
        <w:pStyle w:val="TextBody"/>
        <w:bidi w:val="0"/>
        <w:spacing w:before="0" w:after="160"/>
        <w:jc w:val="left"/>
        <w:rPr>
          <w:rFonts w:ascii="sans-serif" w:hAnsi="sans-serif"/>
          <w:color w:val="000000"/>
          <w:sz w:val="22"/>
        </w:rPr>
      </w:pPr>
      <w:r>
        <w:rPr>
          <w:rFonts w:ascii="sans-serif" w:hAnsi="sans-serif"/>
          <w:color w:val="000000"/>
          <w:sz w:val="22"/>
        </w:rPr>
        <w:t>This press release includes forward-looking statements within the meaning of the Private Securities Litigation Reform Act of 1995. All statements, other than statements of historical fact, including, without limitation, statements regarding the closing of the transactions described herein, the satisfaction of the closing conditions of the transactions, the use of net proceeds from the transactions,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spacing w:before="0" w:after="160"/>
        <w:jc w:val="left"/>
        <w:rPr>
          <w:rFonts w:ascii="Times New Roman" w:hAnsi="Times New Roman"/>
          <w:sz w:val="20"/>
        </w:rPr>
      </w:pPr>
      <w:r>
        <w:rPr>
          <w:rFonts w:ascii="sans-serif" w:hAnsi="sans-serif"/>
          <w:color w:val="000000"/>
          <w:sz w:val="22"/>
        </w:rPr>
        <w:t>There are several important factors that could cause Aptevo's actual results to differ materially from those indicated by such forward-looking statements, including a deterioration in Aptevo's business or prospects; the inability to obtain, maintain or enforce intellectual property protection; further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2"/>
        </w:rPr>
      </w:pPr>
      <w:r>
        <w:rPr>
          <w:rFonts w:ascii="sans-serif" w:hAnsi="sans-serif"/>
          <w:color w:val="000000"/>
          <w:sz w:val="22"/>
        </w:rPr>
        <w:t>assessment of preliminary or interim data or different results from later studies; adverse events and unanticipated problems; adverse developments in clinical or preclinical development, including unexpected safety issues; constraints in radioisotope availability, manufacturing or supply; and changes in regulatory, social, macroeconomic and political conditions. Additional risks and factors that may affect results are set forth in Aptevo's filings with the SEC, including its Annual Report on Form 10-K for the year ended December 31, 2025, its subsequent report on Form 10-Q and current reports on Form 8-K.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spacing w:before="0" w:after="160"/>
        <w:jc w:val="left"/>
        <w:rPr>
          <w:rFonts w:ascii="sans-serif" w:hAnsi="sans-serif"/>
          <w:b/>
          <w:color w:val="000000"/>
          <w:sz w:val="22"/>
        </w:rPr>
      </w:pPr>
      <w:r>
        <w:rPr>
          <w:rFonts w:ascii="sans-serif" w:hAnsi="sans-serif"/>
          <w:b/>
          <w:color w:val="000000"/>
          <w:sz w:val="22"/>
        </w:rPr>
        <w:t>Contact Information</w:t>
      </w:r>
    </w:p>
    <w:p>
      <w:pPr>
        <w:pStyle w:val="TextBody"/>
        <w:bidi w:val="0"/>
        <w:jc w:val="left"/>
        <w:rPr>
          <w:rFonts w:ascii="sans-serif" w:hAnsi="sans-serif"/>
          <w:color w:val="000000"/>
          <w:sz w:val="22"/>
        </w:rPr>
      </w:pPr>
      <w:r>
        <w:rPr>
          <w:rFonts w:ascii="sans-serif" w:hAnsi="sans-serif"/>
          <w:color w:val="000000"/>
          <w:sz w:val="22"/>
        </w:rPr>
        <w:t>Miriam Weber Miller</w:t>
      </w:r>
    </w:p>
    <w:p>
      <w:pPr>
        <w:pStyle w:val="TextBody"/>
        <w:bidi w:val="0"/>
        <w:jc w:val="left"/>
        <w:rPr>
          <w:rFonts w:ascii="sans-serif" w:hAnsi="sans-serif"/>
          <w:color w:val="000000"/>
          <w:sz w:val="22"/>
        </w:rPr>
      </w:pPr>
      <w:r>
        <w:rPr>
          <w:rFonts w:ascii="sans-serif" w:hAnsi="sans-serif"/>
          <w:color w:val="000000"/>
          <w:sz w:val="22"/>
        </w:rPr>
        <w:t>VP, Investor Relations &amp; Corporate Communications</w:t>
      </w:r>
    </w:p>
    <w:p>
      <w:pPr>
        <w:pStyle w:val="TextBody"/>
        <w:bidi w:val="0"/>
        <w:jc w:val="left"/>
        <w:rPr>
          <w:rFonts w:ascii="sans-serif" w:hAnsi="sans-serif"/>
          <w:color w:val="000000"/>
          <w:sz w:val="22"/>
        </w:rPr>
      </w:pPr>
      <w:r>
        <w:rPr>
          <w:rFonts w:ascii="sans-serif" w:hAnsi="sans-serif"/>
          <w:color w:val="000000"/>
          <w:sz w:val="22"/>
        </w:rPr>
        <w:t>Aptevo Therapeutics</w:t>
      </w:r>
    </w:p>
    <w:p>
      <w:pPr>
        <w:pStyle w:val="TextBody"/>
        <w:bidi w:val="0"/>
        <w:jc w:val="left"/>
        <w:rPr>
          <w:rFonts w:ascii="sans-serif" w:hAnsi="sans-serif"/>
          <w:color w:val="000000"/>
          <w:sz w:val="22"/>
        </w:rPr>
      </w:pPr>
      <w:r>
        <w:rPr>
          <w:rFonts w:ascii="sans-serif" w:hAnsi="sans-serif"/>
          <w:color w:val="000000"/>
          <w:sz w:val="22"/>
        </w:rPr>
        <w:t>Email: IR@apvo.com or Millerm@apvo.com</w:t>
      </w:r>
    </w:p>
    <w:p>
      <w:pPr>
        <w:pStyle w:val="TextBody"/>
        <w:bidi w:val="0"/>
        <w:jc w:val="left"/>
        <w:rPr>
          <w:rFonts w:ascii="sans-serif" w:hAnsi="sans-serif"/>
          <w:color w:val="000000"/>
          <w:sz w:val="22"/>
        </w:rPr>
      </w:pPr>
      <w:r>
        <w:rPr>
          <w:rFonts w:ascii="sans-serif" w:hAnsi="sans-serif"/>
          <w:color w:val="000000"/>
          <w:sz w:val="22"/>
        </w:rPr>
        <w:t>Phone: 206-859-6628</w:t>
      </w:r>
    </w:p>
    <w:p>
      <w:pPr>
        <w:pStyle w:val="TextBody"/>
        <w:bidi w:val="0"/>
        <w:spacing w:before="0" w:after="160"/>
        <w:jc w:val="left"/>
        <w:rPr/>
      </w:pPr>
      <w:r>
        <w:rPr/>
        <w:t> </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19" w:name="apvo-ex99_2.htm"/>
      <w:bookmarkStart w:id="20" w:name="ksapvoex99_2"/>
      <w:bookmarkEnd w:id="19"/>
      <w:bookmarkEnd w:id="20"/>
      <w:r>
        <w:rPr>
          <w:rFonts w:ascii="Times New Roman" w:hAnsi="Times New Roman"/>
          <w:color w:val="000000"/>
          <w:sz w:val="22"/>
        </w:rPr>
        <w:t>Exhibit 99.2</w:t>
      </w:r>
      <w:r>
        <w:br w:type="page"/>
      </w:r>
    </w:p>
    <w:p>
      <w:pPr>
        <w:pStyle w:val="TextBody"/>
        <w:bidi w:val="0"/>
        <w:jc w:val="left"/>
        <w:rPr/>
      </w:pPr>
      <w:r>
        <w:rPr/>
        <w:t> </w:t>
      </w:r>
    </w:p>
    <w:p>
      <w:pPr>
        <w:pStyle w:val="TextBody"/>
        <w:bidi w:val="0"/>
        <w:spacing w:before="0" w:after="160"/>
        <w:jc w:val="right"/>
        <w:rPr/>
      </w:pPr>
      <w:r>
        <w:rPr/>
        <w:drawing>
          <wp:inline distT="0" distB="0" distL="0" distR="0">
            <wp:extent cx="123825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250" cy="619125"/>
                    </a:xfrm>
                    <a:prstGeom prst="rect">
                      <a:avLst/>
                    </a:prstGeom>
                  </pic:spPr>
                </pic:pic>
              </a:graphicData>
            </a:graphic>
          </wp:inline>
        </w:drawing>
      </w:r>
    </w:p>
    <w:p>
      <w:pPr>
        <w:pStyle w:val="TextBody"/>
        <w:bidi w:val="0"/>
        <w:jc w:val="center"/>
        <w:rPr>
          <w:rFonts w:ascii="sans-serif" w:hAnsi="sans-serif"/>
          <w:b/>
          <w:color w:val="000000"/>
          <w:sz w:val="28"/>
        </w:rPr>
      </w:pPr>
      <w:r>
        <w:rPr>
          <w:rFonts w:ascii="sans-serif" w:hAnsi="sans-serif"/>
          <w:b/>
          <w:color w:val="000000"/>
          <w:sz w:val="28"/>
        </w:rPr>
        <w:t>Aptevo Therapeutics Announces Closing of Existing Warrants Exercise and PIPE for $4.5 Million Gross Proceeds</w:t>
      </w:r>
    </w:p>
    <w:p>
      <w:pPr>
        <w:pStyle w:val="TextBody"/>
        <w:bidi w:val="0"/>
        <w:jc w:val="center"/>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SEATTLE, WASHINGTON / ACCESSWIRE / August 13, 2026 / </w:t>
      </w:r>
      <w:r>
        <w:rPr>
          <w:rFonts w:ascii="sans-serif" w:hAnsi="sans-serif"/>
          <w:color w:val="000000"/>
          <w:sz w:val="22"/>
        </w:rPr>
        <w:t>Aptevo Therapeutics Inc. (NASDAQ:APVO) (“Aptevo” or the “Company”), a clinical-stage biotechnology company developing novel multispecific immuno-oncology therapeutics, today closed its previously announced warrant inducement transaction with certain holders of its existing common warrants (the “Existing Warrants”), pursuant to which such holders have exercised in full for cash their Existing Warrants to purchase up to an aggregate of 254,922 shares of common stock of the Company (“common stock”) at a reduced exercise price of $4.03 per share. In consideration for such cash exercises, the Company has issued new unregistered common stock purchase warrants (the “Inducement Warrants”) to purchase up to an aggregate of 1,274,610 shares of common stock at an exercise price of $4.03 per share. The Inducement Warrants will be exercisable on or after the date on which the Company obtains the required stockholder approval and will expire on the five-year anniversary of the date of such stockholder approval. The shares of common stock issuable upon exercise of the Existing Warrants are registered pursuant to effective registration statements on Form S-1 (File No. 333-288061), Form S-1MEF (File No. 333-288134), Form S-3 (File No. 333-284969) and Form S-3 (File No. 333-283983).</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Separately, pursuant to a securities purchase agreement, the Company has sold to certain purchasers in a private placement (the “PIPE”) up to 861,708 unregistered shares of common stock (the “Shares”) at a purchase price of $4.03 per share (or, at a purchaser’s election to comply with a 4.99% or 9.99% beneficial ownership limitation, pre-funded common stock purchase warrants (the “Pre-Funded Warrants”) to purchase up to 861,708 shares in lieu of such shares), together with common stock purchase warrants (the “Common Warrants”) to purchase up to 4,308,540 shares of common stock at an exercise price of $4.03 per share. The Pre-Funded Warrants are exercisable immediately and will expire upon exercise in full, and the Common Warrants will be exercisable on or after the date on which the Company obtains the required stockholder approval and will expire on the five-year anniversary of the date of such stockholder approval (together, the “PIPE Warrants”).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The aggregate gross proceeds from the transactions described herein totaled approximately $4.5 million, before deducting placement agent fees and expenses.</w:t>
      </w:r>
    </w:p>
    <w:p>
      <w:pPr>
        <w:pStyle w:val="TextBody"/>
        <w:bidi w:val="0"/>
        <w:spacing w:before="0" w:after="160"/>
        <w:jc w:val="left"/>
        <w:rPr>
          <w:rFonts w:ascii="sans-serif" w:hAnsi="sans-serif"/>
          <w:color w:val="000000"/>
          <w:sz w:val="22"/>
        </w:rPr>
      </w:pPr>
      <w:r>
        <w:rPr>
          <w:rFonts w:ascii="sans-serif" w:hAnsi="sans-serif"/>
          <w:color w:val="000000"/>
          <w:sz w:val="22"/>
        </w:rPr>
        <w:t>Roth Capital Partners acted as the Company's exclusive placement agent in connection with these transactions.</w:t>
      </w:r>
    </w:p>
    <w:p>
      <w:pPr>
        <w:pStyle w:val="TextBody"/>
        <w:bidi w:val="0"/>
        <w:spacing w:before="0" w:after="160"/>
        <w:jc w:val="left"/>
        <w:rPr>
          <w:rFonts w:ascii="sans-serif" w:hAnsi="sans-serif"/>
          <w:color w:val="000000"/>
          <w:sz w:val="22"/>
        </w:rPr>
      </w:pPr>
      <w:r>
        <w:rPr>
          <w:rFonts w:ascii="sans-serif" w:hAnsi="sans-serif"/>
          <w:color w:val="000000"/>
          <w:sz w:val="22"/>
        </w:rPr>
        <w:t>The Company intends to use the net proceeds from the transactions for working capital purposes.</w:t>
      </w:r>
    </w:p>
    <w:p>
      <w:pPr>
        <w:pStyle w:val="TextBody"/>
        <w:bidi w:val="0"/>
        <w:spacing w:before="0" w:after="160"/>
        <w:jc w:val="left"/>
        <w:rPr>
          <w:rFonts w:ascii="Times New Roman" w:hAnsi="Times New Roman"/>
          <w:sz w:val="20"/>
        </w:rPr>
      </w:pPr>
      <w:r>
        <w:rPr>
          <w:rFonts w:ascii="sans-serif" w:hAnsi="sans-serif"/>
          <w:color w:val="000000"/>
          <w:sz w:val="22"/>
        </w:rPr>
        <w:t>The Inducement Warrants, the Shares, the Pre-Funded Warrants and the Common Warrants described above were offered in private placement transactions pursuant to Section 4(a)(2) of the Securities Act of 1933, as amended (the “1933 Act”), and Rule 506 promulgated thereunder, as applicable, and, along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sans-serif" w:hAnsi="sans-serif"/>
          <w:color w:val="000000"/>
          <w:sz w:val="22"/>
        </w:rPr>
        <w:t>with the shares of common stock issuable upon exercise of the Inducement Warrants, the Pre-Funded Warrants and the Common Warrants, have not been registered under the 1933 Act and may not be offered or sold in the United States absent registration with the Securities and Exchange Commission (“SEC”) or an applicable exemption from such registration requirements. The Company has agreed to file a registration statement with the SEC covering the resale of the Shares and the shares of common stock issuable upon exercise of the Inducement Warrants, the Pre-Funded Warrants and the Common Warrants.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This press release shall not constitute an offer to sell or a solicitation of an offer to buy nor shall there be any sale of these securities in any state or jurisdiction in which such offer, solicitation or sale would be unlawful prior to the registration or exemption under the securities laws of any such state or jurisdiction.</w:t>
      </w:r>
    </w:p>
    <w:p>
      <w:pPr>
        <w:pStyle w:val="TextBody"/>
        <w:bidi w:val="0"/>
        <w:spacing w:before="0" w:after="160"/>
        <w:jc w:val="left"/>
        <w:rPr>
          <w:rFonts w:ascii="sans-serif" w:hAnsi="sans-serif"/>
          <w:b/>
          <w:color w:val="000000"/>
          <w:sz w:val="22"/>
        </w:rPr>
      </w:pPr>
      <w:r>
        <w:rPr>
          <w:rFonts w:ascii="sans-serif" w:hAnsi="sans-serif"/>
          <w:b/>
          <w:color w:val="000000"/>
          <w:sz w:val="22"/>
        </w:rPr>
        <w:t>About Aptevo Therapeutics</w:t>
      </w:r>
    </w:p>
    <w:p>
      <w:pPr>
        <w:pStyle w:val="TextBody"/>
        <w:bidi w:val="0"/>
        <w:spacing w:before="0" w:after="160"/>
        <w:jc w:val="left"/>
        <w:rPr>
          <w:rFonts w:ascii="Times New Roman" w:hAnsi="Times New Roman"/>
          <w:sz w:val="20"/>
        </w:rPr>
      </w:pPr>
      <w:r>
        <w:rPr>
          <w:rFonts w:ascii="sans-serif" w:hAnsi="sans-serif"/>
          <w:color w:val="000000"/>
          <w:sz w:val="22"/>
        </w:rPr>
        <w:t xml:space="preserve">Aptevo Therapeutics Inc. (NASDAQ:APVO) is a clinical-stage biotechnology company developing novel multispecific immunotherapies for the treatment of cancer. The Company's lead clinical candidate, mipletamig, is currently being evaluated in frontline acute myeloid leukemia in combination with standard-of-care venetoclax + azacitidine. Aptevo's pipeline is generated from its proprietary ADAPTIR and ADAPTIR-FLEX platforms and includes bispecific and trispecific candidates designed to create multiple oncology value drivers across hematologic malignancies and solid tumors. In preclinical development, Aptevo is advancing APVO451, a nectin-4-targeted trispecific immunotherapy candidate for solid tumors and is pursuing strategic opportunities in radiopharmaceutical therapeutics to extend its tumor-targeting expertise into additional cancer treatment approaches. For more information, visit </w:t>
      </w:r>
      <w:r>
        <w:rPr>
          <w:rFonts w:ascii="sans-serif" w:hAnsi="sans-serif"/>
          <w:b/>
          <w:sz w:val="22"/>
        </w:rPr>
        <w:t>www.aptevotherapeutics.com</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2"/>
        </w:rPr>
      </w:pPr>
      <w:r>
        <w:rPr>
          <w:rFonts w:ascii="sans-serif" w:hAnsi="sans-serif"/>
          <w:b/>
          <w:color w:val="000000"/>
          <w:sz w:val="22"/>
        </w:rPr>
        <w:t>Cautionary Note Regarding Forward-Looking Statement</w:t>
      </w:r>
    </w:p>
    <w:p>
      <w:pPr>
        <w:pStyle w:val="TextBody"/>
        <w:bidi w:val="0"/>
        <w:spacing w:before="0" w:after="160"/>
        <w:jc w:val="left"/>
        <w:rPr>
          <w:rFonts w:ascii="sans-serif" w:hAnsi="sans-serif"/>
          <w:color w:val="000000"/>
          <w:sz w:val="22"/>
        </w:rPr>
      </w:pPr>
      <w:r>
        <w:rPr>
          <w:rFonts w:ascii="sans-serif" w:hAnsi="sans-serif"/>
          <w:color w:val="000000"/>
          <w:sz w:val="22"/>
        </w:rPr>
        <w:t>This press release includes forward-looking statements within the meaning of the Private Securities Litigation Reform Act of 1995. All statements, other than statements of historical fact, including, without limitation, statements regarding the use of net proceeds from the transactions,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spacing w:before="0" w:after="160"/>
        <w:jc w:val="left"/>
        <w:rPr>
          <w:rFonts w:ascii="Times New Roman" w:hAnsi="Times New Roman"/>
          <w:sz w:val="20"/>
        </w:rPr>
      </w:pPr>
      <w:r>
        <w:rPr>
          <w:rFonts w:ascii="sans-serif" w:hAnsi="sans-serif"/>
          <w:color w:val="000000"/>
          <w:sz w:val="22"/>
        </w:rPr>
        <w:t>There are several important factors that could cause Aptevo's actual results to differ materially from those indicated by such forward-looking statements, including a deterioration in Aptevo's business or prospects; the inability to obtain, maintain or enforce intellectual property protection; further assessment of preliminary or interim data or different results from later studies; adverse events and unanticipated problems; adverse developments in clinical or preclinical development, including unexpected safety issues; constraints in radioisotope availability, manufacturing or supply; and changes in regulatory, social, macroeconomic and political conditions. Additional risks and factors that may affect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2"/>
        </w:rPr>
      </w:pPr>
      <w:r>
        <w:rPr>
          <w:rFonts w:ascii="sans-serif" w:hAnsi="sans-serif"/>
          <w:color w:val="000000"/>
          <w:sz w:val="22"/>
        </w:rPr>
        <w:t>results are set forth in Aptevo's filings with the SEC, including its Annual Report on Form 10-K for the year ended December 31, 2025, its subsequent report on Form 10-Q and current reports on Form 8-K.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spacing w:before="0" w:after="160"/>
        <w:jc w:val="left"/>
        <w:rPr>
          <w:rFonts w:ascii="sans-serif" w:hAnsi="sans-serif"/>
          <w:b/>
          <w:color w:val="000000"/>
          <w:sz w:val="22"/>
        </w:rPr>
      </w:pPr>
      <w:r>
        <w:rPr>
          <w:rFonts w:ascii="sans-serif" w:hAnsi="sans-serif"/>
          <w:b/>
          <w:color w:val="000000"/>
          <w:sz w:val="22"/>
        </w:rPr>
        <w:t>Contact Information</w:t>
      </w:r>
    </w:p>
    <w:p>
      <w:pPr>
        <w:pStyle w:val="TextBody"/>
        <w:bidi w:val="0"/>
        <w:jc w:val="left"/>
        <w:rPr>
          <w:rFonts w:ascii="sans-serif" w:hAnsi="sans-serif"/>
          <w:color w:val="000000"/>
          <w:sz w:val="22"/>
        </w:rPr>
      </w:pPr>
      <w:r>
        <w:rPr>
          <w:rFonts w:ascii="sans-serif" w:hAnsi="sans-serif"/>
          <w:color w:val="000000"/>
          <w:sz w:val="22"/>
        </w:rPr>
        <w:t>Miriam Weber Miller</w:t>
      </w:r>
    </w:p>
    <w:p>
      <w:pPr>
        <w:pStyle w:val="TextBody"/>
        <w:bidi w:val="0"/>
        <w:jc w:val="left"/>
        <w:rPr>
          <w:rFonts w:ascii="sans-serif" w:hAnsi="sans-serif"/>
          <w:color w:val="000000"/>
          <w:sz w:val="22"/>
        </w:rPr>
      </w:pPr>
      <w:r>
        <w:rPr>
          <w:rFonts w:ascii="sans-serif" w:hAnsi="sans-serif"/>
          <w:color w:val="000000"/>
          <w:sz w:val="22"/>
        </w:rPr>
        <w:t>VP, Investor Relations &amp; Corporate Communications</w:t>
      </w:r>
    </w:p>
    <w:p>
      <w:pPr>
        <w:pStyle w:val="TextBody"/>
        <w:bidi w:val="0"/>
        <w:jc w:val="left"/>
        <w:rPr>
          <w:rFonts w:ascii="sans-serif" w:hAnsi="sans-serif"/>
          <w:color w:val="000000"/>
          <w:sz w:val="22"/>
        </w:rPr>
      </w:pPr>
      <w:r>
        <w:rPr>
          <w:rFonts w:ascii="sans-serif" w:hAnsi="sans-serif"/>
          <w:color w:val="000000"/>
          <w:sz w:val="22"/>
        </w:rPr>
        <w:t>Aptevo Therapeutics</w:t>
      </w:r>
    </w:p>
    <w:p>
      <w:pPr>
        <w:pStyle w:val="TextBody"/>
        <w:bidi w:val="0"/>
        <w:jc w:val="left"/>
        <w:rPr>
          <w:rFonts w:ascii="sans-serif" w:hAnsi="sans-serif"/>
          <w:color w:val="000000"/>
          <w:sz w:val="22"/>
        </w:rPr>
      </w:pPr>
      <w:r>
        <w:rPr>
          <w:rFonts w:ascii="sans-serif" w:hAnsi="sans-serif"/>
          <w:color w:val="000000"/>
          <w:sz w:val="22"/>
        </w:rPr>
        <w:t>Email: IR@apvo.com or Millerm@apvo.com</w:t>
      </w:r>
    </w:p>
    <w:p>
      <w:pPr>
        <w:pStyle w:val="TextBody"/>
        <w:bidi w:val="0"/>
        <w:jc w:val="left"/>
        <w:rPr>
          <w:rFonts w:ascii="sans-serif" w:hAnsi="sans-serif"/>
          <w:color w:val="000000"/>
          <w:sz w:val="22"/>
        </w:rPr>
      </w:pPr>
      <w:r>
        <w:rPr>
          <w:rFonts w:ascii="sans-serif" w:hAnsi="sans-serif"/>
          <w:color w:val="000000"/>
          <w:sz w:val="22"/>
        </w:rPr>
        <w:t>Phone: 206-859-6628</w:t>
      </w:r>
    </w:p>
    <w:p>
      <w:pPr>
        <w:pStyle w:val="TextBody"/>
        <w:bidi w:val="0"/>
        <w:spacing w:before="0" w:after="160"/>
        <w:jc w:val="left"/>
        <w:rPr/>
      </w:pPr>
      <w:r>
        <w:rPr/>
        <w:t> </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83186</Words>
  <Characters>438359</Characters>
  <CharactersWithSpaces>520972</CharactersWithSpaces>
  <Paragraphs>2228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