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2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3831590</wp:posOffset>
            </wp:positionH>
            <wp:positionV relativeFrom="paragraph">
              <wp:posOffset>-7620</wp:posOffset>
            </wp:positionV>
            <wp:extent cx="951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060" w:type="dxa"/>
            <w:vAlign w:val="bottom"/>
          </w:tcPr>
          <w:p>
            <w:pPr>
              <w:spacing w:after="0"/>
              <w:rPr>
                <w:sz w:val="22"/>
                <w:szCs w:val="22"/>
                <w:color w:val="auto"/>
              </w:rPr>
            </w:pPr>
          </w:p>
        </w:tc>
      </w:t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Seattle, Washington</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490" w:right="339" w:bottom="1440" w:gutter="0" w:footer="0" w:header="0"/>
        </w:sectPr>
      </w:pPr>
    </w:p>
    <w:p>
      <w:pPr>
        <w:spacing w:after="0" w:line="90"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280"/>
        <w:spacing w:after="0" w:line="289" w:lineRule="auto"/>
        <w:rPr>
          <w:sz w:val="20"/>
          <w:szCs w:val="20"/>
          <w:color w:val="auto"/>
        </w:rPr>
      </w:pPr>
      <w:r>
        <w:rPr>
          <w:rFonts w:ascii="Arial" w:cs="Arial" w:eastAsia="Arial" w:hAnsi="Arial"/>
          <w:sz w:val="17"/>
          <w:szCs w:val="17"/>
          <w:b w:val="1"/>
          <w:bCs w:val="1"/>
          <w:color w:val="auto"/>
        </w:rPr>
        <w:t>Name of Exchange on Which Registered The Nasdaq Stock Market LLC (The Nasdaq Capital Market)</w:t>
      </w:r>
    </w:p>
    <w:p>
      <w:pPr>
        <w:spacing w:after="0" w:line="13" w:lineRule="exact"/>
        <w:rPr>
          <w:sz w:val="24"/>
          <w:szCs w:val="24"/>
          <w:color w:val="auto"/>
        </w:rPr>
      </w:pPr>
    </w:p>
    <w:p>
      <w:pPr>
        <w:sectPr>
          <w:pgSz w:w="11900" w:h="16838" w:orient="portrait"/>
          <w:cols w:equalWidth="0" w:num="3">
            <w:col w:w="4340" w:space="720"/>
            <w:col w:w="2100" w:space="720"/>
            <w:col w:w="3360"/>
          </w:cols>
          <w:pgMar w:left="320" w:top="490" w:right="339" w:bottom="1440" w:gutter="0" w:footer="0" w:header="0"/>
          <w:type w:val="continuous"/>
        </w:sect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11, 2021, the number of shares of the registrant’s common stock outstanding was 4,898,034.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220" w:type="dxa"/>
            <w:vAlign w:val="bottom"/>
            <w:gridSpan w:val="9"/>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8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9"/>
            <w:vMerge w:val="continue"/>
          </w:tcPr>
          <w:p>
            <w:pPr>
              <w:spacing w:after="0"/>
              <w:rPr>
                <w:sz w:val="14"/>
                <w:szCs w:val="14"/>
                <w:color w:val="auto"/>
              </w:rPr>
            </w:pPr>
          </w:p>
        </w:tc>
        <w:tc>
          <w:tcPr>
            <w:tcW w:w="722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w:t>
              </w:r>
            </w:hyperlink>
          </w:p>
        </w:tc>
        <w:tc>
          <w:tcPr>
            <w:tcW w:w="398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524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7840" w:type="dxa"/>
            <w:vAlign w:val="bottom"/>
            <w:gridSpan w:val="1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62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18"/>
                <w:szCs w:val="18"/>
                <w:color w:val="auto"/>
              </w:rPr>
            </w:pPr>
          </w:p>
        </w:tc>
        <w:tc>
          <w:tcPr>
            <w:tcW w:w="7600" w:type="dxa"/>
            <w:vAlign w:val="bottom"/>
            <w:gridSpan w:val="11"/>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28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8"/>
                <w:szCs w:val="18"/>
                <w:color w:val="auto"/>
              </w:rPr>
            </w:pPr>
          </w:p>
        </w:tc>
        <w:tc>
          <w:tcPr>
            <w:tcW w:w="7300" w:type="dxa"/>
            <w:vAlign w:val="bottom"/>
            <w:gridSpan w:val="10"/>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30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52,118</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 - current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58,873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47,264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64,005</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related to the sale of future royalties, net - short-term</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related to the sale of future royalties, net - long-term</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Loan payable - long-term</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or outstanding</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4,895,759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and 4,410,909 shares issued and outstanding at September 30, 2021 and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December 31, 2020, respectively</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202,154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(207,791)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(185,606)</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00" w:type="dxa"/>
            <w:vAlign w:val="bottom"/>
          </w:tcPr>
          <w:p>
            <w:pPr>
              <w:spacing w:after="0"/>
              <w:rPr>
                <w:sz w:val="14"/>
                <w:szCs w:val="14"/>
                <w:color w:val="auto"/>
              </w:rPr>
            </w:pPr>
          </w:p>
        </w:tc>
        <w:tc>
          <w:tcPr>
            <w:tcW w:w="31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For the Nine Months Ended September 30,</w:t>
            </w:r>
          </w:p>
        </w:tc>
      </w:tr>
      <w:tr>
        <w:trPr>
          <w:trHeight w:val="156"/>
        </w:trPr>
        <w:tc>
          <w:tcPr>
            <w:tcW w:w="43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(4,367)</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(4,494)</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(14,451)</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(12,940)</w:t>
            </w: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(3,479)</w:t>
            </w: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(3,215)</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(11,536)</w:t>
            </w: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(9,671)</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from continuing operations, net</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(2,327)</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(5,451)</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(973)</w:t>
            </w: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(2,104)</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(7,077)</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shd w:val="clear" w:color="auto" w:fill="CFF0FC"/>
          </w:tcPr>
          <w:p>
            <w:pPr>
              <w:spacing w:after="0"/>
              <w:rPr>
                <w:sz w:val="19"/>
                <w:szCs w:val="19"/>
                <w:color w:val="auto"/>
              </w:rPr>
            </w:pPr>
          </w:p>
        </w:tc>
      </w:tr>
      <w:tr>
        <w:trPr>
          <w:trHeight w:val="26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(6,791)</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FF0FC"/>
            </w:tcBorders>
          </w:tcPr>
          <w:p>
            <w:pPr>
              <w:spacing w:after="0"/>
              <w:rPr>
                <w:sz w:val="22"/>
                <w:szCs w:val="22"/>
                <w:color w:val="auto"/>
              </w:rPr>
            </w:pPr>
          </w:p>
        </w:tc>
      </w:tr>
      <w:tr>
        <w:trPr>
          <w:trHeight w:val="210"/>
        </w:trPr>
        <w:tc>
          <w:tcPr>
            <w:tcW w:w="4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loss from continuing operations per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(4.94)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r>
      <w:tr>
        <w:trPr>
          <w:trHeight w:val="209"/>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FF0FC"/>
          </w:tcPr>
          <w:p>
            <w:pPr>
              <w:spacing w:after="0"/>
              <w:rPr>
                <w:sz w:val="20"/>
                <w:szCs w:val="20"/>
                <w:color w:val="auto"/>
              </w:rPr>
            </w:pPr>
          </w:p>
        </w:tc>
      </w:tr>
      <w:tr>
        <w:trPr>
          <w:trHeight w:val="22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and diluted net loss per basic share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tcPr>
          <w:p>
            <w:pPr>
              <w:spacing w:after="0"/>
              <w:rPr>
                <w:sz w:val="19"/>
                <w:szCs w:val="19"/>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used to compute per</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 calculations</w:t>
            </w: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4,891,881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4,617,357</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3,233,257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(22,185)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(10,697)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(14,338)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(1,463)</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(1,695)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(2,824)</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(725)</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assets and liabilities held for sale</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(17,799)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Aptevo BioTherapeutics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other long-term obligations, net of issuance costs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of long-term debt, including exit and other fees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(10,550)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(22,104)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liability related to sale of future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(5,531)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sale of future royalties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from sale of future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common stock issued pursuant to the Lincoln Park Purchase Agreement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10,233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10,843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6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Shares</w:t>
            </w:r>
          </w:p>
        </w:tc>
        <w:tc>
          <w:tcPr>
            <w:tcW w:w="104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4,410,909</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202,154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(185,606)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Proceeds from exercise of stock</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10,685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27,828</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(7,256)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March 31,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4,449,422</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203,320</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(192,862)</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Proceeds from exercise of stock</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8"/>
                <w:szCs w:val="18"/>
                <w:color w:val="auto"/>
              </w:rPr>
              <w:t>Proceeds from exercise of</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1360" w:type="dxa"/>
            <w:vAlign w:val="bottom"/>
          </w:tcPr>
          <w:p>
            <w:pPr>
              <w:jc w:val="right"/>
              <w:spacing w:after="0"/>
              <w:rPr>
                <w:sz w:val="20"/>
                <w:szCs w:val="20"/>
                <w:color w:val="auto"/>
              </w:rPr>
            </w:pPr>
            <w:r>
              <w:rPr>
                <w:rFonts w:ascii="Arial" w:cs="Arial" w:eastAsia="Arial" w:hAnsi="Arial"/>
                <w:sz w:val="18"/>
                <w:szCs w:val="18"/>
                <w:color w:val="auto"/>
              </w:rPr>
              <w:t>26,277</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Common stock sold pursuant to</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Lincoln Park Purchase</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407,047</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June 30,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4,884,515</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FF0FC"/>
            </w:tcBorders>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214,628</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(200,794)</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11,244</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4,895,759</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215,036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(207,791)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16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Shares</w:t>
            </w:r>
          </w:p>
        </w:tc>
        <w:tc>
          <w:tcPr>
            <w:tcW w:w="104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3,234,231</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179,653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(167,856)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Cancellation of fractional</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8"/>
                <w:szCs w:val="18"/>
                <w:color w:val="auto"/>
              </w:rPr>
              <w:t>shares arising from reverse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stock split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(1,420)</w:t>
            </w: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(6,803)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June 30, 2020</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180,367</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(171,762)</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(6,791)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and nine months ended September 30, 2021, we had a net loss of $7.0 million and $22.2 million, respectively. We had an accumulated deficit of $207.8 million as of September 30, 2021. For the nine months ended September 30, 2021, net cash used in our operating activities was $17.8 million. We have suffered recurring losses from operations and negative cash flows from operating activities. We believe that our existing cash resources, the cash to be generated from future deferred payments and milestones, and release of restricted cash securing letters of credit, will be sufficient to meet our projected operating requirements and debt service for at least twelve months from the date of issuance of these financial statements. We may choose to raise additional funds to support our operating and capital needs in the future.</w:t>
      </w:r>
    </w:p>
    <w:p>
      <w:pPr>
        <w:spacing w:after="0" w:line="8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Pharmaceuticals Inc. (Medexus) with respect to IXINITY; (e) whether and to what extent future proceeds are received under our Royalty Purchase Agreement; and (f) other items affecting our forecasted level of expenditures and use of cash resources. We may attempt to obtain additional funding through our existing equity sales agreement with Lincoln Park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ongoing COVID-19 pandemic, we may experience delays or difficulties in the financing environment and raising capital due to economic uncertainty.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2020, and the notes thereto, which are included in the Company’s Annual Report on Form 10-K for the year ended December 31, 2020.</w:t>
      </w:r>
    </w:p>
    <w:p>
      <w:pPr>
        <w:spacing w:after="0" w:line="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Aptevo Research and Development LLC and Aptevo BioTherapeutics LLC (for the period prior to its sale on February 28, 2020). All intercompany balances and transactions have been eliminated.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510"/>
        <w:spacing w:after="0" w:line="257" w:lineRule="auto"/>
        <w:rPr>
          <w:sz w:val="20"/>
          <w:szCs w:val="20"/>
          <w:color w:val="auto"/>
        </w:rPr>
      </w:pPr>
      <w:r>
        <w:rPr>
          <w:rFonts w:ascii="Arial" w:cs="Arial" w:eastAsia="Arial" w:hAnsi="Arial"/>
          <w:sz w:val="18"/>
          <w:szCs w:val="18"/>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consolidated financial statements and accompanying notes. Estimates are used for, but not limited to, forecasted royalties, effective interest rates, clinical accruals, useful lives of equipment, commitments and contingencies, and stock-based compensation forfeiture rates. Given the global economic climate and additional or unforeseen effects from the ongoing COVID-19 pandemic, these estimates are becoming more challenging, and actual results could differ materially from those estimates.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Liability Related to Sale of Future Royalties and Non-Cash Interest Expense</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March 30, 2021, the Company entered into and closed a royalty purchase agreement (the Royalty Purchase Agreement) with an entity managed by HealthCare Royalty Management, LLC (HCR) pursuant to which the Company sold to HCR the right to receive royalty payments made by Pfizer Inc.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royalty interest payments thereafter.</w:t>
      </w:r>
    </w:p>
    <w:p>
      <w:pPr>
        <w:spacing w:after="0" w:line="8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treat the Royalty Purchase Agreement with HCR (see Note 7) as a debt financing, amortized under the effective interest rate method over the estimated life of the related expected royalty stream. The liabilities related to the sale of future royalties and the debt amortization are based on our current estimates of future royalties expected to be paid over the life of the arrangement. To the extent total future royalties collected are an amount less than the liability, the Company is not obligated to fund any such shortfall. We will periodically assess the expected royalty payments using projections from external sources.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We are not obligated to repay the proceeds received under the Royalty Purchase Agreement with HCR. Due to our continuing involvement under the Collaboration and License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Modification</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On March 30, 2021, we amended our Credit Agreement with MidCap Financial and used $10 million of the proceeds received from the Royalty Purchase Agreement to pay down the outstanding principal under the Credit Agreement from $25 million to $15 million. The amended Credit Agreement was accounted for under ASC 470-50, </w:t>
      </w:r>
      <w:r>
        <w:rPr>
          <w:rFonts w:ascii="Arial" w:cs="Arial" w:eastAsia="Arial" w:hAnsi="Arial"/>
          <w:sz w:val="18"/>
          <w:szCs w:val="18"/>
          <w:i w:val="1"/>
          <w:iCs w:val="1"/>
          <w:color w:val="auto"/>
        </w:rPr>
        <w:t>Debt Modifications and Extinguishments</w:t>
      </w:r>
      <w:r>
        <w:rPr>
          <w:rFonts w:ascii="Arial" w:cs="Arial" w:eastAsia="Arial" w:hAnsi="Arial"/>
          <w:sz w:val="18"/>
          <w:szCs w:val="18"/>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other significant accounting policies were reported in our Annual Report on Form 10-K for the year ended December 31, 2020 that was filed with the SEC on March 31, 2021 and further amended on April 28, 2021. Our other significant accounting policies have not changed materially from the policies previously reported.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financial statements include discontinued operations from two separate transactions: the sale of our hyperimmune business in 2017, from which we received a payment in March 2021 related to the collection of a certain accounts receivable, and the sale of our Aptevo BioTherapeutics LLC business in February 2020.</w:t>
      </w:r>
    </w:p>
    <w:p>
      <w:pPr>
        <w:spacing w:after="0" w:line="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February 28, 2020, we entered into an LLC Purchase Agreement with Medexus, pursuant to which we sold all of the issued and outstanding limited liability company interests of Aptevo BioTherapeutics LLC, a wholly owned subsidiary of Aptevo. As a result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of the transaction, Medexus obtained all rights, title and interest to the IXINITY product and the related Hemophilia B business and intellectual property.</w:t>
      </w:r>
    </w:p>
    <w:p>
      <w:pPr>
        <w:spacing w:after="0" w:line="14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 We recorded the gain on sale in the quarter ended March 31, 2020.</w:t>
      </w:r>
    </w:p>
    <w:p>
      <w:pPr>
        <w:spacing w:after="0" w:line="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September,</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89"/>
              </w:rPr>
              <w:t>September,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 Aptevo BioTherapeutics</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Payment from Saol</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payment from Medexus</w:t>
            </w:r>
          </w:p>
        </w:tc>
        <w:tc>
          <w:tcPr>
            <w:tcW w:w="8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80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The LLC Purchase Agreement with Medexus entitles us to future deferred payments and royalties. For the three months ended September 30, 2021, we collected an approximately $0.1 million deferred payment from Medexus in September 2021 related to second quarter 2021 IXINITY sales. Medexus communicated their third quarter 2021 net IXINITY sales to Aptevo in October and expects to make an immaterial deferred payment, within 45 days after quarter-end per the LLC Purchase Agreement, to Aptevo. As such, we will record the deferred payment amount related to Medexus’ third quarter sales of IXINITY as a gain when collected.</w:t>
      </w:r>
    </w:p>
    <w:p>
      <w:pPr>
        <w:spacing w:after="0" w:line="8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There was no amortization for Aptevo BioTherapeutics in the three or nine months ended September 30, 2021 and amortization was $0.1 million for the three and nine months ended September 30, 2020. There was no depreciation or capital expenditures for the three or nine months ended September 30, 2021 or September 30, 2020. Significant operating non-cash items include the gain on sale of Aptevo BioTherapeutics of $14.3 million for the nine months ended September 30, 2020. There were no significant investing non-cash items for the nine months ended September 30, 2021 and 2020.</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63"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assessed the arrangement in accordance with ASC 606 and concluded that the contract counterparty, Alligator, is not a customer. As such the arrangement is not in the scope of ASC 606 and is instead treated as a collaborative agreement under ASC 808 – Collaborative Arrangements (ASC 808). In accordance with ASC 808, we concluded that because the Collaboration Agreement is a cost sharing agreement, there is no revenue.</w:t>
      </w:r>
    </w:p>
    <w:p>
      <w:pPr>
        <w:spacing w:after="0" w:line="5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recorded approximately $0.1 million increase in research and development expense related to the Collaboration Agreement, for the nine months ended September 30, 2021 and September 30, 2020.</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September 30, 2021 and December 31, 2020, we had $47.9 million and $35.4 million in Level 1 money market funds, respectively. The carrying amounts of our money market funds approximate their fair value. At September 30, 2021 and December 31, 2020, we did not have any Level 2 or Level 3 assets.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Restricted cash - current includes $1.3 million securing letters of credit.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current restricted cash as of September 30,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35,378</w:t>
            </w:r>
          </w:p>
        </w:tc>
        <w:tc>
          <w:tcPr>
            <w:tcW w:w="12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current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53,377</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On February 28, 2020, we used the proceeds from the sale of Aptevo BioTherapeutics to Medexus to repay $20 million outstanding principal under the Credit and Security Agreement, including payment of $2.1 million in an end of facility fee, accrued interest, legal fees, and prepayment fees. On August 5, 2020, we entered into a Credit and Security Agreement (the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The term loan facility includes additional repayment provisions should either or both of the royalties or milestones related to IXINITY under the LLC Purchase Agreement with Medexus or royalties related to RUXIENCE under the Royalty Purchase Agreement with HCR be sold during the term of the loan. The United Kingdom’s Financial Conduct Authority (FCA), which regulates LIBOR, has announced that it intends to phase out one-week and two-month US Dollar LIBOR settings on December 31, 2021. All other US Dollar LIBOR settings, including the overnight, one-month, three-month, six-month and twelve-month, will be phased out on June 30, 2023. It is unclear if at that time LIBOR will cease to exist or if new methods of calculating LIBOR will be established such that it continues to exist after 2023. Our Credit Agreement with MidCap Financial currently references one-month LIBOR and also provides that we may amend the Credit Agreement to reflect an alternative rate of interest upon the phase out of LIBOR.</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7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will be payable on March 31, 2022. Beginning March 1, 2022, monthly repayment of the remaining $5.0 million of principal will commence and continue for the final 30 months of the loan term.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firstLine="510"/>
        <w:spacing w:after="0" w:line="311" w:lineRule="auto"/>
        <w:rPr>
          <w:sz w:val="20"/>
          <w:szCs w:val="20"/>
          <w:color w:val="auto"/>
        </w:rPr>
      </w:pPr>
      <w:r>
        <w:rPr>
          <w:rFonts w:ascii="Arial" w:cs="Arial" w:eastAsia="Arial" w:hAnsi="Arial"/>
          <w:sz w:val="16"/>
          <w:szCs w:val="16"/>
          <w:color w:val="auto"/>
        </w:rPr>
        <w:t>The amended Credit Agreement was accounted for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4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September 30, 2021, we classified $11.2 million of the remaining $15.0 million principal of the amended Credit Agreement to current portion of long-term debt on the unaudited condensed consolidated balance sheet. The amended Credit Agreement states $10.0 million of the remaining $15.0 million principal balance will be payable on March 31, 2022. Additionally, within the next twelve months, we will pay $1.2 million to MidCap Financial for monthly repayments of outstanding principal beginning on March 1, 2022.</w:t>
      </w:r>
    </w:p>
    <w:p>
      <w:pPr>
        <w:spacing w:after="0" w:line="7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Liability Related to Sale of Future Royalties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March 2021, we entered into and closed the Royalty Purchase Agreement with HCR pursuant to which we sold to HCR the right to receive royalty payments made by Pfizer in respect of global net sales of RUXIENCE. Under the terms of the agreement, we received $35.0 million (the Investment Amount) at closing and we are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amount paid at closing plus Milestone Amounts to the extent paid by HCR to the Company, Aptevo will be entitled to receive 50% of royalty interest payments thereafter.</w:t>
      </w:r>
    </w:p>
    <w:p>
      <w:pPr>
        <w:spacing w:after="0" w:line="8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proceeds received from HCR of $35.0 million were recorded as a liability, net of transaction costs of $1.1 million, which will be amortized over the estimated life of the arrangement using the effective interest method. In order to determine the amortization of the liability, we are required to estimate the total amount of future royalty payments to be received by HCR over the life of the arrangement. The total amount of royalty payments received by HCR under the Royalty Purchase Agreement, less the net proceeds we received of $33.9 million, is recorded as non-cash interest expense over the life of the arrangement using the effective interest method. We maintain our rights under the Definitive Agreement originally between Trubion and Wyeth, with the exception of the cash flows of the RUXIENCE royalty payments purchased by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future royalties collected are an amount less than the liability, the Company is not obligated to fund any such shortfall.</w:t>
      </w:r>
    </w:p>
    <w:p>
      <w:pPr>
        <w:spacing w:after="0" w:line="8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estimate the effective interest rate used to record non-cash interest expense under the Royalty Purchase Agreement based on the estimate of future royalty payments to be received by HCR. As of September 30, 2021, the estimated effective interest rate under the agreement was 21.9%. Over the life of the arrangement, the actual effective interest rate will be affected by the amount and timing of the royalty payments received by HCR and changes in our forecasted royalties. Periodically, we will reassess our estimate of total future royalty payments to be received by HCR, and prospectively adjust the effective interest rate and amortization of the liability as necessary.</w:t>
      </w:r>
    </w:p>
    <w:p>
      <w:pPr>
        <w:spacing w:after="0" w:line="8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the changes in the liability in the quarter related to the sale of future royalties under the Royalty Purchase Agreement with HCR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36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w w:val="97"/>
              </w:rPr>
              <w:t>Liability related to sale of future royalties, beginning balance</w:t>
            </w:r>
          </w:p>
        </w:tc>
        <w:tc>
          <w:tcPr>
            <w:tcW w:w="36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RUXIENCE royalties paid to HCR</w:t>
            </w:r>
          </w:p>
        </w:tc>
        <w:tc>
          <w:tcPr>
            <w:tcW w:w="3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Liability related to sale of future royalties, ending balance</w:t>
            </w:r>
          </w:p>
        </w:tc>
        <w:tc>
          <w:tcPr>
            <w:tcW w:w="3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Current portion of liability related to sale of future royalties</w:t>
            </w:r>
          </w:p>
        </w:tc>
        <w:tc>
          <w:tcPr>
            <w:tcW w:w="3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Liability related to sale of future royalties, non-current</w:t>
            </w:r>
          </w:p>
        </w:tc>
        <w:tc>
          <w:tcPr>
            <w:tcW w:w="3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20" w:type="dxa"/>
            <w:vAlign w:val="bottom"/>
            <w:vMerge w:val="restart"/>
          </w:tcPr>
          <w:p>
            <w:pPr>
              <w:jc w:val="right"/>
              <w:ind w:right="307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Note 8.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4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84"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For the three and nine months ended September 30, 2021, we recorded $0.2 million and $0.6 million, respectively, related to variable expenses. For the three and nine months ended September 30, 2020, we recorded $0.2 million and $0.5 million, respectively, related to variable expenses.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September 30, 2021, we have operating leases for one piece of lab equipment and four copiers in our Seattle, Washington headquarters. The future expense for these leases will be straight-line and will include any variable expenses that arise.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September 30, 2021, we had one equipment lease classified as a financing lease as the lease transferred ownership of the underlying asset to us at the end of the lease term in 2020. The lease has no remaining expense obligation. There were no financing lease payments in the three months or nine months ended September 30, 2021.</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For the Three Months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For the Nine</w:t>
            </w:r>
          </w:p>
        </w:tc>
        <w:tc>
          <w:tcPr>
            <w:tcW w:w="22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For the Three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For the Nine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Ended September 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b w:val="1"/>
                <w:bCs w:val="1"/>
                <w:color w:val="auto"/>
                <w:w w:val="89"/>
              </w:rPr>
              <w:t>2020</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Right of use assets acquired under operating leases: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92"/>
              </w:rPr>
              <w:t>As of September 30,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left="760"/>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79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Operating leases, excluding Seattle office lease</w:t>
            </w: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6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1,844</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240" w:type="dxa"/>
            <w:vAlign w:val="bottom"/>
            <w:shd w:val="clear" w:color="auto" w:fill="CFF0FC"/>
          </w:tcPr>
          <w:p>
            <w:pPr>
              <w:jc w:val="right"/>
              <w:ind w:right="106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1,865</w:t>
            </w:r>
          </w:p>
        </w:tc>
        <w:tc>
          <w:tcPr>
            <w:tcW w:w="260" w:type="dxa"/>
            <w:vAlign w:val="bottom"/>
            <w:tcBorders>
              <w:right w:val="single" w:sz="8" w:color="CFF0FC"/>
            </w:tcBorders>
            <w:shd w:val="clear" w:color="auto" w:fill="CFF0FC"/>
          </w:tcPr>
          <w:p>
            <w:pPr>
              <w:spacing w:after="0"/>
              <w:rPr>
                <w:sz w:val="20"/>
                <w:szCs w:val="20"/>
                <w:color w:val="auto"/>
              </w:rPr>
            </w:pPr>
          </w:p>
        </w:tc>
        <w:tc>
          <w:tcPr>
            <w:tcW w:w="500" w:type="dxa"/>
            <w:vAlign w:val="bottom"/>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Lease payments:</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Nine Months Ended</w:t>
            </w:r>
          </w:p>
        </w:tc>
        <w:tc>
          <w:tcPr>
            <w:tcW w:w="2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left="760"/>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79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6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1,053</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$1.6 million and the remainder of our lease liabilities are included in other current liabilities on our unaudited condensed consolidated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6"/>
          <w:szCs w:val="16"/>
          <w:color w:val="auto"/>
        </w:rPr>
        <w:t>As of September 30, 2021, the weighted average remaining lease term and weighted average discount rate for operating leases was 1.6 years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14.46%. As of September 30, 2020, the weighted average remaining lease term and weighted average discount rate for operating leases was 2.5 years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14.53%.</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Net Income (Loss) per Share</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63"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computation of basic and diluted net income (loss) per share (in thousands, except share and per share amounts):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r>
      <w:tr>
        <w:trPr>
          <w:trHeight w:val="156"/>
        </w:trPr>
        <w:tc>
          <w:tcPr>
            <w:tcW w:w="5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basic share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Weighted-average shares used to compute per share calculations</w:t>
            </w: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4,891,881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3,232,811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4,617,357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3,233,257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40" w:type="dxa"/>
            <w:vAlign w:val="bottom"/>
            <w:gridSpan w:val="2"/>
            <w:vMerge w:val="continue"/>
          </w:tcPr>
          <w:p>
            <w:pPr>
              <w:spacing w:after="0"/>
              <w:rPr>
                <w:sz w:val="13"/>
                <w:szCs w:val="13"/>
                <w:color w:val="auto"/>
              </w:rPr>
            </w:pPr>
          </w:p>
        </w:tc>
        <w:tc>
          <w:tcPr>
            <w:tcW w:w="1400" w:type="dxa"/>
            <w:vAlign w:val="bottom"/>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On December 14, 2020,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We did not issue any shares under the Equity Distribution Agreement in the three or nine months ended September 30,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December 20, 2018, we entered into a Purchase Agreement, and a registration rights agreement, with Lincoln Park (the Purchase Agreement).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w:t>
      </w:r>
    </w:p>
    <w:p>
      <w:pPr>
        <w:spacing w:after="0" w:line="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the nine months ended September 30, 2021, the Company issued approximately 0.4 million shares of common stock to Lincoln Park under the Purchase Agreement. We received $10.2 million in proceeds from issuance of these shares and now have a remaining $24.8 million worth of shares of our common stock that we may direct Lincoln Park to purchase pursuant to the Purchase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A total of 0.1 million shares of Aptevo common stock have been authorized for issuance under the Converted Plan.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As of September 30, 2021, there are less than 0.1 million shares available to be granted under the 2018 SIP.</w:t>
      </w:r>
    </w:p>
    <w:p>
      <w:pPr>
        <w:spacing w:after="0" w:line="73"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7"/>
              </w:rPr>
              <w:t>For the 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options are generally consistent with the assumptions used for options granted to employees. In the event the Company terminates any of its consulting agreements, the unvested options underlying the agreements would also be cancelled.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234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280" w:type="dxa"/>
            <w:vAlign w:val="bottom"/>
          </w:tcPr>
          <w:p>
            <w:pPr>
              <w:spacing w:after="0"/>
              <w:rPr>
                <w:sz w:val="14"/>
                <w:szCs w:val="14"/>
                <w:color w:val="auto"/>
              </w:rPr>
            </w:pPr>
          </w:p>
        </w:tc>
        <w:tc>
          <w:tcPr>
            <w:tcW w:w="2480" w:type="dxa"/>
            <w:vAlign w:val="bottom"/>
            <w:gridSpan w:val="4"/>
          </w:tcPr>
          <w:p>
            <w:pPr>
              <w:ind w:left="680"/>
              <w:spacing w:after="0"/>
              <w:rPr>
                <w:sz w:val="20"/>
                <w:szCs w:val="20"/>
                <w:color w:val="auto"/>
              </w:rPr>
            </w:pPr>
            <w:r>
              <w:rPr>
                <w:rFonts w:ascii="Arial" w:cs="Arial" w:eastAsia="Arial" w:hAnsi="Arial"/>
                <w:sz w:val="14"/>
                <w:szCs w:val="14"/>
                <w:b w:val="1"/>
                <w:bCs w:val="1"/>
                <w:color w:val="auto"/>
              </w:rPr>
              <w:t>September 30,</w:t>
            </w:r>
          </w:p>
        </w:tc>
        <w:tc>
          <w:tcPr>
            <w:tcW w:w="2340" w:type="dxa"/>
            <w:vAlign w:val="bottom"/>
            <w:gridSpan w:val="4"/>
          </w:tcPr>
          <w:p>
            <w:pPr>
              <w:ind w:left="66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2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97.59%</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91.44%</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99.30%</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87.77%</w:t>
            </w:r>
          </w:p>
        </w:tc>
        <w:tc>
          <w:tcPr>
            <w:tcW w:w="1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2.46%</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6 years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8 years</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5 years</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8 years</w:t>
            </w:r>
          </w:p>
        </w:tc>
      </w:tr>
    </w:tbl>
    <w:p>
      <w:pPr>
        <w:spacing w:after="0" w:line="22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Management has applied an estimated forfeiture rate of 20% and 22% for the three and nine months ended September 30, 2021 and 18% and 13% for the three and nine months ended September 30, 2020,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nine months ended September 30,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5,906,007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218,061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(23,698)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(57,245)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1,258,263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September 30, 2021</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As of September 30, 2021, we had $3.8 million of unrecognized compensation expense related to options expected to vest over a weighted average period of 2.3 years. The weighted average remaining contractual life of outstanding and exercisable options is 8.1 years.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Aptevo’s common stock on the last trading day of September 2021 and the exercise price, multiplied by the number of in the money options) that would have been received by the option holders had all the option holders exercised their options on the last trading day of the quarter.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nine months ended September 30,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80,304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(25,353)</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September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63,951</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63,951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there was $1.7 million unrecognized stock-based compensation expense related to unvested RSUs.</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have a ten-year life and would have expired on March 11, 2029; however, all of the pre-funded warrants were exercised in March 2019. We determined the warrants do not meet liability classification pursuant to ASC 480 – Distinguishing Liabilities from Equity. These are therefore included within equity on our unaudited condensed consolidated balance sheet. As of September 30, 2021, there were warrants to purchase 350,589 shares of common stock outstanding.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future royalty payments, the achievement of milestones,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w:t>
      </w:r>
    </w:p>
    <w:p>
      <w:pPr>
        <w:spacing w:after="0" w:line="8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w:t>
      </w:r>
    </w:p>
    <w:p>
      <w:pPr>
        <w:spacing w:after="0" w:line="6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Our forward-looking statements in this Quarterly Report on Form 10-Q are based on current information and we do not assume any obligation to update any forward-looking statements expect as required by the federal securities laws.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captioned “Cautionary Note Regarding Forward-Looking Statements,” “Risk Factors” and elsewhere. As a result, our actual results may differ materially from those anticipated in these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and ADAPTIR FLEX platforms.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 The ADAPTIR FLEX platform technology is designed to generate bispecific and multispecific immunotherapeutic proteins and uses heterodimer technology so that two or more targets can be engaged simultaneously.</w:t>
      </w:r>
    </w:p>
    <w:p>
      <w:pPr>
        <w:spacing w:after="0" w:line="9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candidates based on the ADAPTIR-FLEX platform which are advancing in our pipeline. We are developing our ADAPTIR and ADAPTIR-FLEX molecules by way of our protein engineering, preclinical development, process development, and clinical development capabilities.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Enrollment and dosing have commenced in Part 2 (Expansion Phase) of Company’s multicenter 5001 Phase 1B clinical trial to evaluate APVO436 in adult patients with acute myeloid leukemia (AML).</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 xml:space="preserve">Reported 3 publications in two peer-reviewed journals </w:t>
      </w:r>
      <w:r>
        <w:rPr>
          <w:rFonts w:ascii="Arial" w:cs="Arial" w:eastAsia="Arial" w:hAnsi="Arial"/>
          <w:sz w:val="18"/>
          <w:szCs w:val="18"/>
          <w:i w:val="1"/>
          <w:iCs w:val="1"/>
          <w:color w:val="auto"/>
        </w:rPr>
        <w:t>(Cancers[Basel]) and Frontiers in Aging)</w:t>
      </w:r>
      <w:r>
        <w:rPr>
          <w:rFonts w:ascii="Arial" w:cs="Arial" w:eastAsia="Arial" w:hAnsi="Arial"/>
          <w:sz w:val="18"/>
          <w:szCs w:val="18"/>
          <w:color w:val="auto"/>
        </w:rPr>
        <w:t xml:space="preserve"> regarding the salient features of the data obtained during Part 1 (Dose escalation phase) of the 5001 APVO436 Phase 1B trial.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Participated in Euroleukemia2021 Meeting with an oral and a poster presentation.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Showcased the Company’s preclinical assets, APVO442 and APVO603, and their potential to improve efficacy in the treatment of solid tumors and participated in discussions about risk mitigation in cell engager candidates at the Virtual Cell Engager Summit.</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Presented the unique aspects of the Company’s proprietary ADAPTIR AND ADAPTIR-FLEX platforms at the Cambridge Health Institute PEGS Virtual Conference.</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November 4, 2021, our Board amended the Rights Agreement dated as of November 8, 2020 by and between the Company and Broadridge Corporate Issuer Solutions, Inc. to extend the expiration date of such agreement from November 8, 2021 to November 5, 2022. Other than extending the expiration date of the Rights Agreement, the terms of the Rights Agreement have remained the same.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financial statements for additional information.</w:t>
      </w:r>
    </w:p>
    <w:p>
      <w:pPr>
        <w:spacing w:after="0" w:line="183" w:lineRule="exact"/>
        <w:rPr>
          <w:sz w:val="20"/>
          <w:szCs w:val="20"/>
          <w:color w:val="auto"/>
        </w:rPr>
      </w:pPr>
    </w:p>
    <w:p>
      <w:pPr>
        <w:ind w:left="520" w:right="4280"/>
        <w:spacing w:after="0" w:line="377" w:lineRule="auto"/>
        <w:rPr>
          <w:sz w:val="20"/>
          <w:szCs w:val="20"/>
          <w:color w:val="auto"/>
        </w:rPr>
      </w:pPr>
      <w:r>
        <w:rPr>
          <w:rFonts w:ascii="Arial" w:cs="Arial" w:eastAsia="Arial" w:hAnsi="Arial"/>
          <w:sz w:val="18"/>
          <w:szCs w:val="18"/>
          <w:b w:val="1"/>
          <w:bCs w:val="1"/>
          <w:color w:val="auto"/>
        </w:rPr>
        <w:t>Comparison of the Nine Months Ended September 30, 2021 and September 30, 2020 Royalty Revenue</w:t>
      </w:r>
    </w:p>
    <w:p>
      <w:pPr>
        <w:spacing w:after="0" w:line="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recorded royalty revenue of $8.6 million and $1.9 million for the nine months ended September 30, 2021 and September 30, 2020. The payment from Pfizer relates to a Collaboration and License Agreement (Definitive Agreement) acquired by Aptevo as part of our spin-off from Emergent in 2016. The agreement was originally executed by Trubion Pharmaceuticals, which was subsequently acquired by Emergent, and Wyeth, a wholly-own subsidiary of Pfizer. The royalty term runs through January 2027, which is the seventh anniversary of the first commercial sale of the CD20 biosimilar. On March 30, 2021, we entered into the Royalty Purchase Agreement pursuant to which we sold to HCR the right to receive royalty payments made by Pfizer in respect of net sales of RUXIENCE. We maintain our rights under the Definitive Agreement originally between Trubion and Wyeth, with the exception of the cash flows of the RUXIENCE royalty payments purchased by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future royalties collected are an amount less than the liability, the Company is not obligated to fund any such shortfall.</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discovery activities, including conducting non-clinical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80" w:lineRule="exact"/>
        <w:rPr>
          <w:sz w:val="20"/>
          <w:szCs w:val="20"/>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the ongoing COVID-19 pandemic. While programs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program for the three and nine months ended September 30, 2021 and 2020 are shown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33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300" w:type="dxa"/>
            <w:vAlign w:val="bottom"/>
          </w:tcPr>
          <w:p>
            <w:pPr>
              <w:spacing w:after="0"/>
              <w:rPr>
                <w:sz w:val="14"/>
                <w:szCs w:val="14"/>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9"/>
                <w:szCs w:val="19"/>
                <w:color w:val="auto"/>
              </w:rPr>
            </w:pP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33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300" w:type="dxa"/>
            <w:vAlign w:val="bottom"/>
          </w:tcPr>
          <w:p>
            <w:pPr>
              <w:spacing w:after="0"/>
              <w:rPr>
                <w:sz w:val="24"/>
                <w:szCs w:val="24"/>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3,663</w:t>
            </w:r>
          </w:p>
        </w:tc>
        <w:tc>
          <w:tcPr>
            <w:tcW w:w="140" w:type="dxa"/>
            <w:vAlign w:val="bottom"/>
          </w:tcPr>
          <w:p>
            <w:pPr>
              <w:spacing w:after="0"/>
              <w:rPr>
                <w:sz w:val="19"/>
                <w:szCs w:val="19"/>
                <w:color w:val="auto"/>
              </w:rPr>
            </w:pP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For the three months ended September 30, 2021, research and development expenses decreased by $0.1 million, to $4.4 million from $4.5 million for September 30, 2020. Research and development costs in the third quarter included higher spending on our APVO436 clinical trial as we continue to advance that trial and have now started dosing in our Phase 1b Expansion program. This increase was offset by reduced costs in our discontinued clinical trials and lower spending on other preclinical projects. For the nine months ended September 30, 2021, research and development expenses increased by $1.5 million, to $14.4 million from $12.9 million for September 30, 2020. The increase is due to increased spending on consulting services for our APVO436 clinical trial as we continue to advance that trial and increased spending on analytical analysis for our preclinical programs, including ALG.APV-527, APVO603 and APVO442.</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For the three months ended September 30, 2021, general and administrative expenses increased by $0.3 million, to $3.5 million from $3.2 million for September 30, 2020. For the nine months ended September 30, 2021, general and administrative expenses increased by $1.9 million, to $11.5 million from $9.7 million for September 30, 2020. This increase was primarily due to higher costs related to responding to stockholder activism matters and higher employee costs.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Other expense, net consists primarily of gains or losses realized on foreign currency revaluation, costs related to debt extinguishment, accrued exit fees on debt, non-cash interest on financing agreements, and interest on debt. Other expense, net was $2.3 million for the three months ended September 30, 2021 and $0.7 million for the three months ended September 30, 2020. Other expense, net was $5.5 million for the nine months ended September 30, 2021 and $1 million for the nine months ended September 30, 2020. The increase in other expense, net is primarily related to interest expense and accrued exit fees for the MidCap Credit Agreement, as well as non-cash interest expense for the Royalty Purchase Agreement.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unaudited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ind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September,</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89"/>
              </w:rPr>
              <w:t>September,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 Aptevo BioTherapeutics</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Payment from Saol</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payment from Medexus</w:t>
            </w:r>
          </w:p>
        </w:tc>
        <w:tc>
          <w:tcPr>
            <w:tcW w:w="8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80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For the nine months ended September 30, 2021, we collected $0.2 million related to the sale of the hyperimmune business to Saol as a result of the collection of certain accounts receivable and a deferred payment of $0.4 million received from Medexus related to first and second quarter 2021 IXINITY sales. For the nine months ended September 30, 2020, we recognized net income from discontinued operations totaling $13.0 million. This included the gain on the sale of Aptevo BioTherapeutics of $14.3 million, net operating losses from Aptevo BioTherapeutics of $1.6 million related to the period prior to the sale on February 28, 2020, and a deferred payment from Medexus related to IXINITY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nine months ended September 30, </w:t>
      </w:r>
      <w:r>
        <w:rPr>
          <w:rFonts w:ascii="Arial" w:cs="Arial" w:eastAsia="Arial" w:hAnsi="Arial"/>
          <w:sz w:val="18"/>
          <w:szCs w:val="18"/>
          <w:color w:val="231F20"/>
        </w:rPr>
        <w:t>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0" w:type="dxa"/>
            <w:vAlign w:val="bottom"/>
          </w:tcPr>
          <w:p>
            <w:pPr>
              <w:spacing w:after="0"/>
              <w:rPr>
                <w:sz w:val="1"/>
                <w:szCs w:val="1"/>
                <w:color w:val="auto"/>
              </w:rPr>
            </w:pPr>
          </w:p>
        </w:tc>
      </w:tr>
      <w:tr>
        <w:trPr>
          <w:trHeight w:val="155"/>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(17,799)</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cash used in operating activities of $17.8 million for the nine months ended September 30, 2021 was primarily due to our net loss of $22.2 million and changes in working capital accounts. Net cash used in operating activities of $23.2 million for the nine months ended September 30, 2020, was primarily due to our net loss of $10.7 million, changes in working capital accounts, and gain on sale of Aptevo BioTherapeutics of $14.3 million, which was offset by the loss on extinguishment of debt of $2.1 million.</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2021, was due to purchases of property and equipment. Net cash provided by investing activities for the nine months ended September 30, 2020, was due to the cash received from the sale of Aptevo BioTherapeutics, net of transaction fees.</w:t>
      </w:r>
    </w:p>
    <w:p>
      <w:pPr>
        <w:spacing w:after="0" w:line="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2021 is primarily due to the $35.0 million received from the Royalty Purchase Agreement, $10.2 million received from the common stock sold to Lincoln Park, offset by the $10.5 million partial repayment of the MidCap Financial term loan. Net cash provided by financing activities for the nine months ended September 30, 2020, is primarily due to the proceeds of $24.7 million from the Credit Agreement we entered into with MidCap 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August 5, 2020, which was offset by the $22.1 million repayment of long-term debt in the first quarter of 2020 when we repaid in full our prior term debt facility with MidCap Financial Trust.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We did not issue any shares under the Equity Distribution Agreement in the nine months ended September 30, 2021.</w:t>
      </w:r>
    </w:p>
    <w:p>
      <w:pPr>
        <w:spacing w:after="0" w:line="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previously filed a registration statement with the Securities and Exchange Commission on November 13, 2017, amended on December 6, 2017 and declared effective on December 15, 2017 (the Prior Registration Statement). The Prior Registration Statement registered the offer and sale of an indeterminate number of shares of common stock and preferred stock, an indeterminate principal amount of debt securities and an indeterminate number of warrants to purchase common stock, preferred stock, and various series of debt securities and/or warrants to purchase any of such securities, having an aggregate initial offering price of $150 million, of which an aggregate of $127.8 million remained unsold as of the December 14, 2020. On December 14, 2020, we filed a new registration statement covering the offering, issuance, and sale up to $200 million in common stock, preferred stock, and various series of debt securities and/or warrants to purchase any of such securities, which included the unsold securities from the Prior Registration Statement.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On December 20, 2018, we entered into a Purchase Agreement, and a Registration Rights Agreement with Lincoln Park Financial LLC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w:t>
      </w:r>
    </w:p>
    <w:p>
      <w:pPr>
        <w:spacing w:after="0" w:line="4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In the nine months ended September 30, 2021, the Company issued 407,047 shares of common stock to Lincoln Park under the Purchase Agreement. We received $10.2 million in proceeds from issuance of these shares and now have a remaining $24.8 million worth of shares of our common stock that we may direct Lincoln Park to purchase pursuant to our Purchase Agreement.</w:t>
      </w:r>
    </w:p>
    <w:p>
      <w:pPr>
        <w:spacing w:after="0" w:line="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00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000" w:hanging="493"/>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jc w:val="both"/>
        <w:ind w:firstLine="510"/>
        <w:spacing w:after="0" w:line="263" w:lineRule="auto"/>
        <w:rPr>
          <w:sz w:val="20"/>
          <w:szCs w:val="20"/>
          <w:color w:val="auto"/>
        </w:rPr>
      </w:pPr>
      <w:r>
        <w:rPr>
          <w:rFonts w:ascii="Arial" w:cs="Arial" w:eastAsia="Arial" w:hAnsi="Arial"/>
          <w:sz w:val="18"/>
          <w:szCs w:val="18"/>
          <w:color w:val="auto"/>
        </w:rPr>
        <w:t>For the nine months ended September 30, 2021, certain of the holders of our warrants exercised warrants with a strike price of $18.20 per share, resulting in the issuance of 54,105 shares of our common stock and aggregate proceeds to the Company of approximately $1.0 million. As of September 30, 2021, there were warrants to purchase 350,589 shares of our common stock outstanding.</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a net loss of $22.7 million and $23.8 million for the nine months ended September 30, 2021 and 2020, respectively. We had cash and cash equivalents of $52.1 million, restricted cash of $1.3 million and an accumulated deficit of $207.8 million as of September 30, 2021.</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2021, net cash used in our operating activities was $17.8 million.</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5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Due to the ongoing COVID-19 pandemic, we may experience delays in opportunities to partner our product candidates, due to financial and other impacts on potential partners. Additionally, we may experience potential impacts on our future deferred payments and milestones from Medexus due to effects of the COVID-19 pandemic, which may impact Medexus’ ability to continue to successfully commercialize the IXINITY businesses. Additionally, we may experience potential impacts on our future milestones, which are based on global net sales of RUXIENCE, from HCR due to the effects of the COVID-19 pandemic, which may impact Pfizer’s ability to continue to successfully commercialize the RUXIENCE business. We believe that our existing cash resources, the Investment Amount received pursuant to the Royalty Purchase Agreement with HCR, the cash to be generated from future IXINITY deferred payments, release of restricted cash securing letters of credit, and funds available to us from the remaining principal balance of the Credit Agreement with Midcap Financial, will be sufficient to meet our projected operating requirements and debt service for at least twelve months from the date of filing this Quarterly Report on Form 10-Q.</w:t>
      </w:r>
    </w:p>
    <w:p>
      <w:pPr>
        <w:spacing w:after="0" w:line="73"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of conducting preclinical and clinical trials;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regulatory clearance to commence clinical trials for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55"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attracting and retaining skilled personnel;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55"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ongoing COVID-19 pandemic, we may experience delays in clinical trials and non-clinical work, and opportunities to partner our product candidates, due to financial and other impacts on potential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7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Once we begin participation in the Beat AML Master Clinical Trial, our purchase obligation for the Beat AML Master Clinical Trial may total up to $8.1 million over four years. As of the third quarter of 2021, we have not begun participation in the Beat AML Master Clinical Trial and we do not currently intend to participate under the current trial design. The Clinical Trial Participation Agreement contains a termination for convenience clause where we may terminate the agreement with 180 days prior written notice. We may re-assess our participation in the master clinical trial as Part 2 (expansion phase) of our Phase 1B APVO436 clinical trial progresses.</w:t>
      </w:r>
    </w:p>
    <w:p>
      <w:pPr>
        <w:spacing w:after="0" w:line="69"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August 5, 2020, we entered into a new Credit and Security Agreement (Credit Agreement), with MidCap Financial. The Credit Agreement provided us with up to $25 million of available borrowing capacity. The MidCap Financial loan has a 48 month term, is interest-only for the first 18 months, with straight-line amortization for the remaining 30 months and bears interest at a rate of one month LIBOR plus 6.25% per annum, subject to a 1.50% LIBOR floor and a 2.50% LIBOR cap. Additionally, on March 30, 2021, we amended our Credit Agreement with MidCap Financial and used $10 million of the proceeds received from the Royalty Purchase Agreement with HCR to pay down the outstanding principal under this agreement from $25 million to $15 million. The Company’s Credit Agreement currently references LIBOR. Contract language is expected to be incorporated into these agreements to address the transition to an alternative reference rate. The Company is currently evaluating the impact that ASU 2020-04 may have on its consolidated financial statements.</w:t>
      </w:r>
    </w:p>
    <w:p>
      <w:pPr>
        <w:spacing w:after="0" w:line="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March 30, 2021, we entered into the Royalty Purchase Agreement pursuant to which the Company sold to HCR the right to receive royalty payments made by Pfizer in respect of net sales of RUXIENCE.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As of September 30, 2021, there was no material changes to the information provided under Item 7A, Quantitative and Qualitative Disclosures About Market Risk in our Annual Report on Form 10-K for the year ended December 31, 2020 filed on March 31, 2021 and as amended on April 28,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September 30, 2021,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September 30, 2021,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23"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36"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Medexus to successfully further develop, market and commercialize IXINITY, resulting in milestone payments and deferred payments to the Company by Medexus.</w:t>
      </w:r>
    </w:p>
    <w:p>
      <w:pPr>
        <w:spacing w:after="0" w:line="1" w:lineRule="exact"/>
        <w:rPr>
          <w:rFonts w:ascii="Arial" w:cs="Arial" w:eastAsia="Arial" w:hAnsi="Arial"/>
          <w:sz w:val="18"/>
          <w:szCs w:val="18"/>
          <w:color w:val="auto"/>
        </w:rPr>
      </w:pPr>
    </w:p>
    <w:p>
      <w:pPr>
        <w:jc w:val="both"/>
        <w:ind w:left="1000" w:hanging="493"/>
        <w:spacing w:after="0" w:line="28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business, including our clinical trials.</w:t>
      </w:r>
    </w:p>
    <w:p>
      <w:pPr>
        <w:spacing w:after="0" w:line="21"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our credit agreement may restrict the operation of our business and limit the cash available for investment in our business operations.</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experience delays or difficulties in the commencement, enrollment of patients or completion of our clinical trials, the time to reach critical trial data and receipt of any necessary regulatory approvals could be delayed.</w:t>
      </w:r>
    </w:p>
    <w:p>
      <w:pPr>
        <w:ind w:left="1000" w:right="2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revenues and execute on our long-term strategy depends heavily on our ability to discover, develop, and obtain marketing approval for our product candidates.</w:t>
      </w: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21"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long-term success depends, in part, upon our ability to develop, receive regulatory approval for and commercialize our product candidates.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36"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3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of activist stockholders against us have been and could be disruptive and costly and may cause uncertainty about the strategic direction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have experienced significant operating losses and we may not achieve profitability in the future. For the three and nine months ended September 30, 2021, we had net loss of $6.9 million and $22.2 million, respectively. As of September 30, 2021, we had an accumulated deficit of $207.8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IXINITY deferred payment streams, the Royalty Purchase Agreement with HCR, Credit Agreement with MidCap Financial (Credit Agreement), our Equity Distribution Agreement with Piper Sandler &amp; Co (Piper Sandler) entered into in December 2020 (the Equity Distribution Agreement) and our Purchase Agreement with Lincoln Park Capital Fund, LLC (Lincoln Park), entered into in December 2018 (the Purchase Agreement), and exercises of warrants will provide us with sufficient liquidity to meet our cash requirements through at least next twelve months, our future success and ability to attain profitability will depend upon our ability to develop and take to market our product candidates.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As of September 30, 2021, we had cash, cash equivalents, and restricted cash in the amount of $53.4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with such compensation restored to previous levels in August 2020. If we are not able to secure adequate additional funding, we may need to make further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4"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resolution of actions of activist investors;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level, timing and receipt of any milestone or deferred payments under our agreement with Medexus with respect to the sales of IXINITY;</w:t>
      </w:r>
    </w:p>
    <w:p>
      <w:pPr>
        <w:spacing w:after="0" w:line="99"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development costs, timing, and other requirements to complete dosing of Phase 1/1b clinical trial for APVO436, as well as future clinical trials.</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$50.0 million worth of shares of our common stock pursuant to our Equity Distribution Agreement with Piper Sandler &amp; Co entered into in December 2020, (ii) any sale of up to the remaining $24.8 million worth of shares of our common stock to issue from our Purchase Agreement with Lincoln Park Capital Fund, LLC, or Lincoln Park, entered into in December 2018, and (iii) the issuance of up to 350,589 remaining outstanding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74"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Current economic conditions, including the impact of COVID-19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November 6, 2020, Tang filed a statement on Schedule 13D to report that Tang had purchased 1,760,000 shares of our common stock, representing at the time approximately 54% of our issued and outstanding shares of Common Stock (the Tang Ownership Change), although Tang has subsequently been diluted to a 36% beneficial ownership position.</w:t>
      </w:r>
    </w:p>
    <w:p>
      <w:pPr>
        <w:spacing w:after="0" w:line="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have had a series of communications with Tang during which we attempted to negotiate a non-disclosure agreement to permit discussions covering our nonpublic information and our operations.</w:t>
      </w:r>
    </w:p>
    <w:p>
      <w:pPr>
        <w:spacing w:after="0" w:line="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stockholders and other stakeholders. The Board will continue to carefully evaluate any indications of interest and proposals for strategic transactions that it receives from current stockholders or otherwise, in line with its fiduciary duties and commitment to acting in the best interests of all of the Company’s stockholders.</w:t>
      </w:r>
    </w:p>
    <w:p>
      <w:pPr>
        <w:spacing w:after="0" w:line="8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February 9, 2021, Tang announced its intention to nominate two candidates for election to our board of directors at our 2021 annual meeting of stockholders and submitted an advisory stockholder proposal for consideration at our 2021 annual meeting of stockholders to commence a process to sell Aptevo to the highest bidder. On June 21, 2021, Tang sent a letter to our board of directors that it was withdrawing its nomination of its two candidates for election to our board at the 2021 annual meeting of stockholders (the “Letter”). The Letter also indicated that Tang was withdrawing its previously submitted acquisition proposal to acquire the remaining common stock of Aptevo that Tang does not already own for a price of $50.00 per share in cash. We have incurred and may incur in the future additional expenses by retaining the services of various professionals to advise us on responding to these matters.</w:t>
      </w:r>
    </w:p>
    <w:p>
      <w:pPr>
        <w:spacing w:after="0" w:line="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Board and management team strive to maintain constructive communications with our stockholders, including Tang, and welcomes their views and opinions with the goal of enhancing value for all stockholders. However, an activist campaign that seeks to replace members of our Board or changes in our strategic direction could have an adverse effect on us because:</w:t>
      </w:r>
    </w:p>
    <w:p>
      <w:pPr>
        <w:spacing w:after="0" w:line="8" w:lineRule="exact"/>
        <w:rPr>
          <w:sz w:val="20"/>
          <w:szCs w:val="20"/>
          <w:color w:val="auto"/>
        </w:rPr>
      </w:pPr>
    </w:p>
    <w:p>
      <w:pPr>
        <w:jc w:val="both"/>
        <w:ind w:left="10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Responding to actions by Tang and other activist stockholders can disrupt our operations, are costly and time-consuming, and divert the attention of our Board and senior management team from the pursuit of business strategies, which could adversely affect our results of operations and financial condition;</w:t>
      </w:r>
    </w:p>
    <w:p>
      <w:pPr>
        <w:spacing w:after="0" w:line="8"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as a result of changes to the composition of our Board or changes to our stockholder base may lead to the perception of a change in the direction of the business, instability or lack of continuity which may be exploited by our competitors, may result in the loss of potential business opportunities, cause concern for those enrolling in our clinical trial, and make it more difficult to attract and retain qualified personnel and business partners;</w:t>
      </w:r>
    </w:p>
    <w:p>
      <w:pPr>
        <w:spacing w:after="0" w:line="11" w:lineRule="exact"/>
        <w:rPr>
          <w:rFonts w:ascii="Arial" w:cs="Arial" w:eastAsia="Arial" w:hAnsi="Arial"/>
          <w:sz w:val="18"/>
          <w:szCs w:val="18"/>
          <w:color w:val="auto"/>
        </w:rPr>
      </w:pPr>
    </w:p>
    <w:p>
      <w:pPr>
        <w:ind w:left="1000" w:right="20" w:hanging="493"/>
        <w:spacing w:after="0" w:line="27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and similar types of actions could cause significant fluctuations in our stock price based on temporary or speculative market perceptions or other factors that do not necessarily reflect the underlying fundamentals and prospects of our business;</w:t>
      </w:r>
    </w:p>
    <w:p>
      <w:pPr>
        <w:spacing w:after="0" w:line="1" w:lineRule="exact"/>
        <w:rPr>
          <w:rFonts w:ascii="Arial" w:cs="Arial" w:eastAsia="Arial" w:hAnsi="Arial"/>
          <w:sz w:val="18"/>
          <w:szCs w:val="18"/>
          <w:color w:val="auto"/>
        </w:rPr>
      </w:pPr>
    </w:p>
    <w:p>
      <w:pPr>
        <w:ind w:left="1000" w:right="20" w:hanging="493"/>
        <w:spacing w:after="0" w:line="27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activist stockholder activities ensue, our business could be adversely affected because responding to activist campaigns and proxy contests can be disruptive, costly, and time-consuming; and</w:t>
      </w:r>
    </w:p>
    <w:p>
      <w:pPr>
        <w:spacing w:after="0" w:line="1"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individuals are elected to our Board with a specific agenda, it may adversely affect our ability to effectively implement our business strategy and to create additional value for our stockholders.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Proposals from third-parties to acquire the company and stockholder proposals, and our responses thereto, may cause volatility in the trading price of our common stock and interfere with our efforts to raise capital.</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We have received in the past and may receive in the future proposals from third-parties to acquire the Company. For example, 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also have received in the past and may receive in the future stockholder proposals requesting us to take certain actions. For example, on February 9, 2021, Tang submitted an advisory stockholder proposal for consideration at our 2021 annual meeting of stockholders to commence a process to sell Aptevo to the highest bidder. As a result of the uncertainty surrounding any such proposals, and our responses to such proposals, the future trading price of our common stock could be volatile and be subject to wide price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of a variety of factors, including:</w:t>
      </w:r>
    </w:p>
    <w:p>
      <w:pPr>
        <w:spacing w:after="0" w:line="62"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9" w:lineRule="exact"/>
        <w:rPr>
          <w:rFonts w:ascii="Arial" w:cs="Arial" w:eastAsia="Arial" w:hAnsi="Arial"/>
          <w:sz w:val="18"/>
          <w:szCs w:val="18"/>
          <w:color w:val="auto"/>
        </w:rPr>
      </w:pPr>
    </w:p>
    <w:p>
      <w:pPr>
        <w:jc w:val="both"/>
        <w:ind w:left="100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1"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Due to the ongoing COVID-19 pandemic,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2021, we continue to see an impact of COVID-19 on our business as some of our clinical sites were at reduced capacity. These and other factors may have a material adverse effect on our business, results of operations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After that, the royalty rate will increase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ongoing COVID-19 pandemic on the current and future environment for clinical development and regulatory approval, Medexus’ ability to continue to successfully commercialize the IXINITY business may be effected, and we may experience potential impacts on our future deferred payments from Medexus.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thereunder survived.</w:t>
      </w:r>
    </w:p>
    <w:p>
      <w:pPr>
        <w:spacing w:after="0" w:line="6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(the Investment Amount) at closing and we are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w:t>
      </w:r>
    </w:p>
    <w:p>
      <w:pPr>
        <w:spacing w:after="0" w:line="7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have no control over the sales of RUXIENCE and are therefore dependent on the efforts and ability of Pfizer to generate net sales of RUXIENCE sufficient for us to receive Milestone Payments and additional royalty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possess regulatory approval for study or commercial sale. We cannot predict the frequency, outcome or cost to defend any such claims.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14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or other key employees, our ability to implement our business strategy could be materially harmed. We face intense competition for qualified employees from biotechnology and pharmaceutical companies, research organizations and academic institutions. Moreover, we have recently experienced increased levels of attrition. On August 25, 2021, Jane Gross, resigned as the Chief Scientific Officer of the Company effective September 17, 2021 and agreed to transition into a consulting relationship with the Company through December 31, 2021, as described in the Executive Transition Services Agreement and Amendment to Executive Transition Services Agreement included as an exhibit on this Quarterly Report on Form 10-Q.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Due to our equity plan proposal not receiving stockholder approval at the Company’s annual meeting in 2021, we may not have sufficient equity available to attract and retain qualified personnel. A novel strain of coronavirus, COVID-19 has spread through the world, including the United States. We have experienced and may experience an impact on the health of key personnel due to the ongoing COVID-19 pandemic.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could adversely impact our business, including our clinical trials.</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Since March of 2020, a novel strain of coronavirus, COVID-19, has spread through the world, including the United States. The COVID-19 outbreak has caused severe global economic and societal disruptions and uncertainties, and we have experienced disruptions that have impacted our business and clinical trials, including, limitation of company operations,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7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may continue to experience disruptions in the future, or additional disruptions that could severely impact our business, such as delays or difficulties to the financing environment and raising capital due to economic uncertainty; delays in opportunities to partner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t>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or Pfizer to successfully commercialize RUXIENCE; and negative impacts on suppliers and licensees. The global outbreak of COVID-19 continues to rapidly evolve. The ongoing COVID-19 pandemic may also result in the need to suspend enrollment into studies, patient withdrawals, postponement of non-clinical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ongoing COVID-19 pandemic may further impact our suppliers and manufacturers. If any of our suppliers or manufacturers are adversely impacted by the COVID-19 pandemic or the restrictions resulting from the outbreak,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ongoing COVID-19 pandemic may result in changes in laws, policies, and regulations. By example, due to the potential impact of the COVID-19 outbreak on clinical trials, drug development, and manufacturing, FDA issued guidance several times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5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extent to which the ongoing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the effectiveness of actions taken in the United States and other countries to contain and treat the disease, including the effectiveness of vaccination programs, and whether businesses and the economy in general will continue to reopen and stay open.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55"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compliance with affirmative covenants including payment and reporting covenants; and</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believe it is likely that we experienced by virtue of the Tang Ownership Change, an “ownership change” as defined in Section 382 of the U.S. Internal Revenue Code of 1986, as amended (the Code), and, if we are correct, the tax benefits of our pre-“ownership change” net operating loss carryforwards and certain other tax attributes will be subject to annual limitation under Sections 382 and 383 of the Code.</w:t>
      </w:r>
    </w:p>
    <w:p>
      <w:pPr>
        <w:spacing w:after="0" w:line="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value owned by the 5% stockholders at any time during the applicable testing period, which is generally the rolling three-year period preceding the potential ownership change. Such potential ownership change testing events include changes involving a stockholder becoming a 5% stockholder or arising from a new issuance of capital stock or share repurchases by the corporation, subject to certain exceptions.</w:t>
      </w:r>
    </w:p>
    <w:p>
      <w:pPr>
        <w:spacing w:after="0" w:line="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an ownership change under Section 382 of the Code. In general, certain built-in gains recognized during the five-year period beginning on the date of the ownership change increases the corporation’s annual limitation under Section 382 and 383 of the Code in the taxable year that such built-in gains are recognized or deemed recognized (but only up to the amount of the net unrealized built-in gain), while certain built-in losses recognized during such five-year period is subject to the annual limitation under Section 382 of the Code (but only up to the amount of the net unrealized built-in loss).</w:t>
      </w:r>
    </w:p>
    <w:p>
      <w:pPr>
        <w:spacing w:after="0" w:line="84"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8"/>
          <w:szCs w:val="18"/>
          <w:color w:val="auto"/>
        </w:rPr>
        <w:t>As of December 31, 2020, we had approximately $162.5 million and $68.1 million of federal and state net operating loss carryforwards, respectively, available to reduce future taxable income that will begin to expire in 2037 for federal purposes. These net operating loss carryforwards could expire unused and be unavailable to offset future income tax liabilities. Federal net operating loss carryforwards incurred in 2018 and in future years may be carried forward indefinitely, but the usage of such federal net operating losses is limited. We completed an IRC Section 382 study on our federal tax attributes in connection with the acquisition by Tang of 1,760,000 shares of our common stock and determined that the annual utilization of the federal net operating loss carryforwards is limited. It is not expected that the annual limitations will result in the expiration of tax attribute carryforwards prior to utilization assuming sufficient income.</w:t>
      </w:r>
    </w:p>
    <w:p>
      <w:pPr>
        <w:spacing w:after="0" w:line="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results of our current and planned preclinical studies and clinical trials may not satisfy the requirements of the FDA or non-U.S. regulatory authorities. Interim or top line data may be subject to change or qualification based on the complete analysis of data.</w:t>
      </w:r>
    </w:p>
    <w:p>
      <w:pPr>
        <w:spacing w:after="0" w:line="3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are very early in our clinical trial with APVO436 and clinical failure can occur at any stage of preclinical or clinical development. Preclinical studies and clinical trials may produce negative or inconclusive results. The FDA or a non-US regulatory authority may require us to conduct additional clinical or preclinical testing. Success in early preclinical studies and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7"/>
          <w:szCs w:val="17"/>
          <w:color w:val="auto"/>
        </w:rPr>
        <w:t>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74"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For example, we have previously reported on a patient in cohort 4 of our APVO 436 Phase 1/1b clinical trial who showed a complete marrow response. That patient dropped out of the trial during the eleventh cycle of treatment because his/her disease progressed. Additionally, we previously reported on two patients in cohort 6 of our APVO 436 Phase 1/1b clinical trial who had a complete remission status. Both patients are no longer in a complete remission status and discontinued therapy due to progression in their disease.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00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or IRBs regarding the scope, design, or implementation of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000" w:hanging="493"/>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commencement, enrollment of patients or completion of our clinical trials, the time to reach critical trial data and receipt of any necessary regulatory approvals could be delayed.</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AML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 In addition, the global outbreak of the COVID-19 pandemic makes it more difficult to initiate studies and enroll patients.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clinical trial, including the patient eligibility criteria for the study in question;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93" w:lineRule="auto"/>
        <w:rPr>
          <w:sz w:val="20"/>
          <w:szCs w:val="20"/>
          <w:color w:val="auto"/>
        </w:rPr>
      </w:pPr>
      <w:r>
        <w:rPr>
          <w:rFonts w:ascii="Arial" w:cs="Arial" w:eastAsia="Arial" w:hAnsi="Arial"/>
          <w:sz w:val="16"/>
          <w:szCs w:val="16"/>
          <w:color w:val="auto"/>
        </w:rPr>
        <w:t>interrupt, delay or halt our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56"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we could decide, or the IRB or ethics committees of the institutions in which our trials are being conducted, the Data Safety Monitoring Board or the FDA or comparable foreign regulatory authorities could suspend or terminate a clinical trial or deny approval of our product candidates. Furthermore, we plan to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60"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authorities may require us to conduct additional clinical trials or abandon our research efforts for our other product candidates;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third parties to conduct our clinical and preclinical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do not have the ability to independently conduct the clinical and preclinical trials required to obtain regulatory approval for our product candidates. We depend on third parties, such as independent clinical investigators, contract research organizations, or CROs, and other third-party service providers to conduct the clinical and preclinical trials of our product candidates, and we expect to continue to do so. For example, Dr. Fatih Uckun, our current Chief Clinical Advisor, is now providing clinical trial and medical affairs oversight duties as a consultant.</w:t>
      </w:r>
    </w:p>
    <w:p>
      <w:pPr>
        <w:spacing w:after="0" w:line="63" w:lineRule="exact"/>
        <w:rPr>
          <w:sz w:val="20"/>
          <w:szCs w:val="20"/>
          <w:color w:val="auto"/>
        </w:rPr>
      </w:pPr>
    </w:p>
    <w:p>
      <w:pPr>
        <w:jc w:val="both"/>
        <w:ind w:firstLine="514"/>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firstLine="514"/>
        <w:spacing w:after="0" w:line="253" w:lineRule="auto"/>
        <w:rPr>
          <w:sz w:val="20"/>
          <w:szCs w:val="20"/>
          <w:color w:val="auto"/>
        </w:rPr>
      </w:pPr>
      <w:r>
        <w:rPr>
          <w:rFonts w:ascii="Arial" w:cs="Arial" w:eastAsia="Arial" w:hAnsi="Arial"/>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ongoing COVID-19 pandemic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8"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w:t>
      </w:r>
    </w:p>
    <w:p>
      <w:pPr>
        <w:spacing w:after="0" w:line="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6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5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ind w:firstLine="510"/>
        <w:spacing w:after="0" w:line="291" w:lineRule="auto"/>
        <w:rPr>
          <w:sz w:val="20"/>
          <w:szCs w:val="20"/>
          <w:color w:val="auto"/>
        </w:rPr>
      </w:pPr>
      <w:r>
        <w:rPr>
          <w:rFonts w:ascii="Arial" w:cs="Arial" w:eastAsia="Arial" w:hAnsi="Arial"/>
          <w:sz w:val="16"/>
          <w:szCs w:val="16"/>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56"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believe that our most significant competitors in the oncology market include: AbbVie Inc., Affimed, Amgen Inc., AnaptysBio, Inc., Astellas Pharma Inc., Bayer AG, Biogen Idec Inc., Boehringer Ingelheim GmbH, Chinook Therapeutics, F-Star Biotechnology Ltd., Genentech Inc. (a subsidiary of F. Hoffmann-La Roche Ltd.), Genmab A/S, GlaxoSmithKline plc, Grifols USA LLC, Bristol Myers Squibb, ImmunoGen, Inc., Immunomedics, Inc., Janssen BioTech Inc., Johnson &amp; Johnson, Macrogenics, Inc., Novartis International AG, Pieris Pharmaceuticals, Inc., Sanofi-Aventis US LLC, Takeda Pharmaceuticals U.S.A., Inc., Teneobio,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6" w:lineRule="exact"/>
        <w:rPr>
          <w:sz w:val="20"/>
          <w:szCs w:val="20"/>
          <w:color w:val="auto"/>
        </w:rPr>
      </w:pPr>
    </w:p>
    <w:p>
      <w:pPr>
        <w:jc w:val="both"/>
        <w:ind w:firstLine="8"/>
        <w:spacing w:after="0" w:line="255"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Jobs Act and the case is currently pending before the United States Supreme Court.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8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ind w:firstLine="510"/>
        <w:spacing w:after="0" w:line="286" w:lineRule="auto"/>
        <w:rPr>
          <w:sz w:val="20"/>
          <w:szCs w:val="20"/>
          <w:color w:val="auto"/>
        </w:rPr>
      </w:pPr>
      <w:r>
        <w:rPr>
          <w:rFonts w:ascii="Arial" w:cs="Arial" w:eastAsia="Arial" w:hAnsi="Arial"/>
          <w:sz w:val="16"/>
          <w:szCs w:val="16"/>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On January 20, 2021,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it may act to overturn some of the prior Trump administration initiatives; however, the legislative and regulatory agendas, as they relate to the healthcare and pharmaceutical industries and the economy as a whole, of the Biden administration and the U.S. Congress currently remain uncertain.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5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our product candidates, could result in product shortages and/or delays in clinical development.</w:t>
      </w:r>
    </w:p>
    <w:p>
      <w:pPr>
        <w:spacing w:after="0" w:line="7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53"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5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4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The addition of a new or alternative manufacturer may also require FDA approvals and may have a material adverse effect on our business.</w:t>
      </w:r>
    </w:p>
    <w:p>
      <w:pPr>
        <w:spacing w:after="0" w:line="5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ind w:firstLine="510"/>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or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5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the ongoing COVID-19 pandemic, our third-party manufacturers may experience difficulties that impact our product candidates.</w:t>
      </w:r>
    </w:p>
    <w:p>
      <w:pPr>
        <w:spacing w:after="0" w:line="69"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5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the ongoing COVID-19 pandemic,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result, our development programs will be delayed, our financial performance will be adversely impacted and we will be unable to meet our long-term goals.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ind w:firstLine="510"/>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w:t>
      </w:r>
    </w:p>
    <w:p>
      <w:pPr>
        <w:spacing w:after="0" w:line="5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80"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4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49"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6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left="1040"/>
        <w:spacing w:after="0"/>
        <w:rPr>
          <w:sz w:val="20"/>
          <w:szCs w:val="20"/>
          <w:color w:val="auto"/>
        </w:rPr>
      </w:pPr>
      <w:r>
        <w:rPr>
          <w:rFonts w:ascii="Arial" w:cs="Arial" w:eastAsia="Arial" w:hAnsi="Arial"/>
          <w:sz w:val="17"/>
          <w:szCs w:val="17"/>
          <w:color w:val="auto"/>
        </w:rPr>
        <w:t>practices, educational programs, pricing policies and relationships with healthcare providers or other entities, among other activities;</w:t>
      </w:r>
    </w:p>
    <w:p>
      <w:pPr>
        <w:spacing w:after="0" w:line="156" w:lineRule="exact"/>
        <w:rPr>
          <w:sz w:val="20"/>
          <w:szCs w:val="20"/>
          <w:color w:val="auto"/>
        </w:rPr>
      </w:pPr>
    </w:p>
    <w:p>
      <w:pPr>
        <w:jc w:val="both"/>
        <w:ind w:left="1040" w:hanging="519"/>
        <w:spacing w:after="0" w:line="25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040" w:hanging="519"/>
        <w:spacing w:after="0" w:line="291"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040" w:hanging="519"/>
        <w:spacing w:after="0" w:line="25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6" w:lineRule="exact"/>
        <w:rPr>
          <w:rFonts w:ascii="Arial" w:cs="Arial" w:eastAsia="Arial" w:hAnsi="Arial"/>
          <w:sz w:val="18"/>
          <w:szCs w:val="18"/>
          <w:color w:val="auto"/>
        </w:rPr>
      </w:pPr>
    </w:p>
    <w:p>
      <w:pPr>
        <w:jc w:val="both"/>
        <w:ind w:left="1000" w:hanging="493"/>
        <w:spacing w:after="0" w:line="296"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00" w:hanging="493"/>
        <w:spacing w:after="0" w:line="271"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that a pharmaceutical company may violate one or more of the requirements. Any failure to comply with these reporting requirements could result in significant fines and penalties.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5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4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8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4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5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14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ongoing COVID-19 pandemic, we may experience delays in opportunities to develop our product candidates, due to financial and other impacts on potential partners.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$3.29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53"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expenses, and results of clinical and preclinical trials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industry conditions and domestic and global financial, economic, and geo-political instability;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the Tang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common stock is currently listed on the Nasdaq Capital Market. The Nasdaq Stock Market LLC has minimum requirements that a company must meet in order to remain listed on Nasdaq, including corporate governance standards and a requirement that we maintain a minimum closing bid price of $1.00 per share.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ind w:firstLine="510"/>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but not limited to, equity issuances under our existing Purchase Agreement with Lincoln Park Financial LLC,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2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80"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Moreover, we currently have a short-term stockholder rights agreement in effect. This rights agreement was amended on November 4, 2021 to extend the expiration date of such agreement from November 8, 2021 to November 5, 2022.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but not limited to natural disaster. The impact of the ongoing COVID-19 pandemic also poses an increased security risk, due to the remote working environment.</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8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5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If a breach of our information technology systems occurs, we may incur additional costs related to rebuilding our internal systems,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260" w:type="dxa"/>
            <w:vAlign w:val="bottom"/>
            <w:gridSpan w:val="5"/>
          </w:tcPr>
          <w:p>
            <w:pPr>
              <w:ind w:left="1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80" w:type="dxa"/>
            <w:vAlign w:val="bottom"/>
          </w:tcPr>
          <w:p>
            <w:pPr>
              <w:ind w:left="10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Executive Transition Services Agreement.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tcPr>
          <w:p>
            <w:pPr>
              <w:ind w:left="10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Amendment to Executive Transition Services Agreement.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Pursuant to Section 302 of the Sarbanes Oxley Act of 2002.</w:t>
              </w:r>
            </w:hyperlink>
          </w:p>
        </w:tc>
        <w:tc>
          <w:tcPr>
            <w:tcW w:w="5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Pursuant to Section 302 of the Sarbanes Oxley Act of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of 2002.</w:t>
              </w:r>
            </w:hyperlink>
          </w:p>
        </w:tc>
        <w:tc>
          <w:tcPr>
            <w:tcW w:w="9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180" w:val="left"/>
          <w:tab w:leader="none" w:pos="83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180" w:val="left"/>
          <w:tab w:leader="none" w:pos="81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147955</wp:posOffset>
            </wp:positionV>
            <wp:extent cx="1585595" cy="874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559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August 25,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Jane Gross</w:t>
      </w:r>
    </w:p>
    <w:p>
      <w:pPr>
        <w:spacing w:after="0" w:line="238" w:lineRule="auto"/>
        <w:rPr>
          <w:sz w:val="20"/>
          <w:szCs w:val="20"/>
          <w:color w:val="auto"/>
        </w:rPr>
      </w:pPr>
      <w:r>
        <w:rPr>
          <w:rFonts w:ascii="Arial" w:cs="Arial" w:eastAsia="Arial" w:hAnsi="Arial"/>
          <w:sz w:val="22"/>
          <w:szCs w:val="22"/>
          <w:color w:val="auto"/>
        </w:rPr>
        <w:t>4258 NE 74</w:t>
      </w:r>
      <w:r>
        <w:rPr>
          <w:rFonts w:ascii="Arial" w:cs="Arial" w:eastAsia="Arial" w:hAnsi="Arial"/>
          <w:sz w:val="18"/>
          <w:szCs w:val="18"/>
          <w:color w:val="auto"/>
        </w:rPr>
        <w:t>th</w:t>
      </w:r>
      <w:r>
        <w:rPr>
          <w:rFonts w:ascii="Arial" w:cs="Arial" w:eastAsia="Arial" w:hAnsi="Arial"/>
          <w:sz w:val="22"/>
          <w:szCs w:val="22"/>
          <w:color w:val="auto"/>
        </w:rPr>
        <w:t xml:space="preserve"> St.</w:t>
      </w:r>
    </w:p>
    <w:p>
      <w:pPr>
        <w:spacing w:after="0"/>
        <w:rPr>
          <w:sz w:val="20"/>
          <w:szCs w:val="20"/>
          <w:color w:val="auto"/>
        </w:rPr>
      </w:pPr>
      <w:r>
        <w:rPr>
          <w:rFonts w:ascii="Arial" w:cs="Arial" w:eastAsia="Arial" w:hAnsi="Arial"/>
          <w:sz w:val="22"/>
          <w:szCs w:val="22"/>
          <w:color w:val="auto"/>
        </w:rPr>
        <w:t>Seattle, WA 98115</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color w:val="auto"/>
        </w:rPr>
        <w:t>Confidential Executive Transition Services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Jane:</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you know, Marvin White and I were disappointed to learn that you have decided it is time to resign from Aptevo Therapeutics. We have been grateful for your many contributions to the company, and we will miss your leadership after you have departed. We were therefore pleased to learn that you agree to continue serving as our Senior Vice President and Chief Scientific Officer until September 14 and to assist us in our efforts to recruit a qualified individual to serve in that role. We were also pleased to learn that you will agree to serve in a consulting role from September 14 through December 31 to assist in our transition to new leadership of our research and development efforts. The purpose of this letter Agreement is to set forth the details of this arrangement.</w:t>
      </w:r>
    </w:p>
    <w:p>
      <w:pPr>
        <w:spacing w:after="0" w:line="185" w:lineRule="exact"/>
        <w:rPr>
          <w:sz w:val="20"/>
          <w:szCs w:val="20"/>
          <w:color w:val="auto"/>
        </w:rPr>
      </w:pPr>
    </w:p>
    <w:p>
      <w:pPr>
        <w:jc w:val="both"/>
        <w:ind w:left="880" w:hanging="440"/>
        <w:spacing w:after="0" w:line="280" w:lineRule="auto"/>
        <w:tabs>
          <w:tab w:leader="none" w:pos="88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Separation Date</w:t>
      </w:r>
      <w:r>
        <w:rPr>
          <w:rFonts w:ascii="Arial" w:cs="Arial" w:eastAsia="Arial" w:hAnsi="Arial"/>
          <w:sz w:val="19"/>
          <w:szCs w:val="19"/>
          <w:color w:val="auto"/>
        </w:rPr>
        <w:t>. If you enter into this letter Agreement, you will continue to serve as Aptevo’s Senior Vice 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and Chief Scientific Officer until September 14 (the “Separation Date”). Between now and September 14, you will perform your current job duties, with a special focus on helping us to identify, recruit and select a qualified candidate to serve as our new chief scientific officer after your Aptevo employment ends. Between now and the Separation Date, you will also work diligently and in good faith to take such actions as are reasonable and appropriate to prepare the organization to continue its current work and mission under new leadership.</w:t>
      </w:r>
    </w:p>
    <w:p>
      <w:pPr>
        <w:spacing w:after="0" w:line="144"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color w:val="auto"/>
        </w:rPr>
        <w:t>Continued Salary Payments</w:t>
      </w:r>
      <w:r>
        <w:rPr>
          <w:rFonts w:ascii="Arial" w:cs="Arial" w:eastAsia="Arial" w:hAnsi="Arial"/>
          <w:sz w:val="21"/>
          <w:szCs w:val="21"/>
          <w:color w:val="auto"/>
        </w:rPr>
        <w:t>. Regardless of whether you enter into this letter Agreement, Aptevo will provide you</w:t>
      </w:r>
      <w:r>
        <w:rPr>
          <w:rFonts w:ascii="Arial" w:cs="Arial" w:eastAsia="Arial" w:hAnsi="Arial"/>
          <w:sz w:val="21"/>
          <w:szCs w:val="21"/>
          <w:b w:val="1"/>
          <w:bCs w:val="1"/>
          <w:color w:val="auto"/>
        </w:rPr>
        <w:t xml:space="preserve"> </w:t>
      </w:r>
      <w:r>
        <w:rPr>
          <w:rFonts w:ascii="Arial" w:cs="Arial" w:eastAsia="Arial" w:hAnsi="Arial"/>
          <w:sz w:val="21"/>
          <w:szCs w:val="21"/>
          <w:color w:val="auto"/>
        </w:rPr>
        <w:t>with your current base salary through your last day of Aptevo employment. If you enter into this Agreement and comply with its terms, your current base salary will continue and be paid through September 14, 2021, but your employment will end earlier if Aptevo determines in good faith that you have not honored your obligations hereunder, and/or if you have engaged in conduct that is detrimental to Aptevo. If you do not enter into this Agreement, your employment will end as of the date you inform me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203200</wp:posOffset>
            </wp:positionV>
            <wp:extent cx="536638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66385" cy="6858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5" w:name="page56"/>
    <w:bookmarkEnd w:id="55"/>
    <w:p>
      <w:pPr>
        <w:ind w:left="440" w:right="20"/>
        <w:spacing w:after="0" w:line="250" w:lineRule="auto"/>
        <w:rPr>
          <w:sz w:val="20"/>
          <w:szCs w:val="20"/>
          <w:color w:val="auto"/>
        </w:rPr>
      </w:pPr>
      <w:r>
        <w:rPr>
          <w:rFonts w:ascii="Arial" w:cs="Arial" w:eastAsia="Arial" w:hAnsi="Arial"/>
          <w:sz w:val="22"/>
          <w:szCs w:val="22"/>
          <w:color w:val="auto"/>
        </w:rPr>
        <w:t>you have decided to resign effective immediately, and you will be provided with all wages and compensation that is otherwise owed to you through that date.</w:t>
      </w:r>
    </w:p>
    <w:p>
      <w:pPr>
        <w:spacing w:after="0" w:line="169" w:lineRule="exact"/>
        <w:rPr>
          <w:sz w:val="20"/>
          <w:szCs w:val="20"/>
          <w:color w:val="auto"/>
        </w:rPr>
      </w:pPr>
    </w:p>
    <w:p>
      <w:pPr>
        <w:jc w:val="both"/>
        <w:ind w:left="440" w:hanging="440"/>
        <w:spacing w:after="0" w:line="237" w:lineRule="auto"/>
        <w:tabs>
          <w:tab w:leader="none" w:pos="4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Payment</w:t>
      </w:r>
      <w:r>
        <w:rPr>
          <w:rFonts w:ascii="Arial" w:cs="Arial" w:eastAsia="Arial" w:hAnsi="Arial"/>
          <w:sz w:val="22"/>
          <w:szCs w:val="22"/>
          <w:color w:val="auto"/>
        </w:rPr>
        <w:t>. In exchange for your entry into this letter Agreement, we will provide you with a single lump-sum transition payment in the amount of One Hundred Sixty Six Thousand Dollars ($166,000 USD), less legally required withholdings and deductions. We will provide this transition payment to you no later than January 7, 2022 so long as this Agreement becomes effective as described below in Section 8 of this Agreement. You will not be entitled to receive an annual bonus for 2021.</w:t>
      </w:r>
    </w:p>
    <w:p>
      <w:pPr>
        <w:spacing w:after="0" w:line="181" w:lineRule="exact"/>
        <w:rPr>
          <w:rFonts w:ascii="Arial" w:cs="Arial" w:eastAsia="Arial" w:hAnsi="Arial"/>
          <w:sz w:val="22"/>
          <w:szCs w:val="22"/>
          <w:b w:val="1"/>
          <w:bCs w:val="1"/>
          <w:color w:val="auto"/>
        </w:rPr>
      </w:pPr>
    </w:p>
    <w:p>
      <w:pPr>
        <w:jc w:val="both"/>
        <w:ind w:left="440" w:hanging="440"/>
        <w:spacing w:after="0" w:line="280" w:lineRule="auto"/>
        <w:tabs>
          <w:tab w:leader="none" w:pos="44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COBRA Continuation Coverage. </w:t>
      </w:r>
      <w:r>
        <w:rPr>
          <w:rFonts w:ascii="Arial" w:cs="Arial" w:eastAsia="Arial" w:hAnsi="Arial"/>
          <w:sz w:val="19"/>
          <w:szCs w:val="19"/>
          <w:color w:val="auto"/>
        </w:rPr>
        <w:t>In exchange for your entry into this Agreement and your compliance with its</w:t>
      </w:r>
      <w:r>
        <w:rPr>
          <w:rFonts w:ascii="Arial" w:cs="Arial" w:eastAsia="Arial" w:hAnsi="Arial"/>
          <w:sz w:val="19"/>
          <w:szCs w:val="19"/>
          <w:b w:val="1"/>
          <w:bCs w:val="1"/>
          <w:color w:val="auto"/>
        </w:rPr>
        <w:t xml:space="preserve"> </w:t>
      </w:r>
      <w:r>
        <w:rPr>
          <w:rFonts w:ascii="Arial" w:cs="Arial" w:eastAsia="Arial" w:hAnsi="Arial"/>
          <w:sz w:val="19"/>
          <w:szCs w:val="19"/>
          <w:color w:val="auto"/>
        </w:rPr>
        <w:t>terms, your participation in the Company’s group health coverage will terminate on the last day of September 2021. Continuation of group health coverage thereafter will be made available to you and your dependents pursuant to federal law (COBRA). Such continuation coverage, if you timely elect such coverage, will be at your expense. If your Aptevo employment ends earlier as described above, your group health coverage will end on the last day of the month in which your employment ends, and you will be eligible for continuation coverage in accordance with applicable law.</w:t>
      </w:r>
    </w:p>
    <w:p>
      <w:pPr>
        <w:spacing w:after="0" w:line="144" w:lineRule="exact"/>
        <w:rPr>
          <w:rFonts w:ascii="Arial" w:cs="Arial" w:eastAsia="Arial" w:hAnsi="Arial"/>
          <w:sz w:val="19"/>
          <w:szCs w:val="19"/>
          <w:b w:val="1"/>
          <w:bCs w:val="1"/>
          <w:color w:val="auto"/>
        </w:rPr>
      </w:pPr>
    </w:p>
    <w:p>
      <w:pPr>
        <w:jc w:val="both"/>
        <w:ind w:left="440" w:hanging="440"/>
        <w:spacing w:after="0" w:line="280" w:lineRule="auto"/>
        <w:tabs>
          <w:tab w:leader="none" w:pos="44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Benefits. </w:t>
      </w:r>
      <w:r>
        <w:rPr>
          <w:rFonts w:ascii="Arial" w:cs="Arial" w:eastAsia="Arial" w:hAnsi="Arial"/>
          <w:sz w:val="19"/>
          <w:szCs w:val="19"/>
          <w:color w:val="auto"/>
        </w:rPr>
        <w:t>Your participation in all other employee benefit plans and programs, including Aptevo’s</w:t>
      </w:r>
      <w:r>
        <w:rPr>
          <w:rFonts w:ascii="Arial" w:cs="Arial" w:eastAsia="Arial" w:hAnsi="Arial"/>
          <w:sz w:val="19"/>
          <w:szCs w:val="19"/>
          <w:b w:val="1"/>
          <w:bCs w:val="1"/>
          <w:color w:val="auto"/>
        </w:rPr>
        <w:t xml:space="preserve"> </w:t>
      </w:r>
      <w:r>
        <w:rPr>
          <w:rFonts w:ascii="Arial" w:cs="Arial" w:eastAsia="Arial" w:hAnsi="Arial"/>
          <w:sz w:val="19"/>
          <w:szCs w:val="19"/>
          <w:color w:val="auto"/>
        </w:rPr>
        <w:t>stock incentive plans, ended or will end either (a) on the Separation Date, or (b) if your employment ends sooner as described above, such benefit plan participation will end on the last day of the calendar month in which your employment ends or as otherwise provided in the relevant benefit plan(s), provided however, that your stock options vested as of the Separation Date under Aptevo’s 2018 Stock Incentive Plan will be exercisable for a period of 90 days from January 1, 2022. All unvested stock options will be forfeited after the Separation Date.</w:t>
      </w:r>
    </w:p>
    <w:p>
      <w:pPr>
        <w:spacing w:after="0" w:line="144" w:lineRule="exact"/>
        <w:rPr>
          <w:rFonts w:ascii="Arial" w:cs="Arial" w:eastAsia="Arial" w:hAnsi="Arial"/>
          <w:sz w:val="19"/>
          <w:szCs w:val="19"/>
          <w:b w:val="1"/>
          <w:bCs w:val="1"/>
          <w:color w:val="auto"/>
        </w:rPr>
      </w:pPr>
    </w:p>
    <w:p>
      <w:pPr>
        <w:jc w:val="both"/>
        <w:ind w:left="440" w:hanging="440"/>
        <w:spacing w:after="0" w:line="272" w:lineRule="auto"/>
        <w:tabs>
          <w:tab w:leader="none" w:pos="44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Transition Services From September 15 Through December 31. </w:t>
      </w:r>
      <w:r>
        <w:rPr>
          <w:rFonts w:ascii="Arial" w:cs="Arial" w:eastAsia="Arial" w:hAnsi="Arial"/>
          <w:sz w:val="19"/>
          <w:szCs w:val="19"/>
          <w:color w:val="auto"/>
        </w:rPr>
        <w:t>As of the Separation Date, all of your job duties as</w:t>
      </w:r>
      <w:r>
        <w:rPr>
          <w:rFonts w:ascii="Arial" w:cs="Arial" w:eastAsia="Arial" w:hAnsi="Arial"/>
          <w:sz w:val="19"/>
          <w:szCs w:val="19"/>
          <w:b w:val="1"/>
          <w:bCs w:val="1"/>
          <w:color w:val="auto"/>
        </w:rPr>
        <w:t xml:space="preserve"> </w:t>
      </w:r>
      <w:r>
        <w:rPr>
          <w:rFonts w:ascii="Arial" w:cs="Arial" w:eastAsia="Arial" w:hAnsi="Arial"/>
          <w:sz w:val="19"/>
          <w:szCs w:val="19"/>
          <w:color w:val="auto"/>
        </w:rPr>
        <w:t>an employee of Aptevo will end; however, you agree to serve Aptevo in a non-employment consulting relationship from September 15 through December 31, 2021. This consulting relationship will work as follows: You agree to be available to consult with Aptevo leadership for no more than 20 hours per month in September, 40 hours per month in October reduced to 25 hours per month in November and 25 hours per month in December for the limited purpose of</w:t>
      </w:r>
    </w:p>
    <w:p>
      <w:pPr>
        <w:jc w:val="both"/>
        <w:ind w:left="440"/>
        <w:spacing w:after="0" w:line="272" w:lineRule="auto"/>
        <w:rPr>
          <w:rFonts w:ascii="Arial" w:cs="Arial" w:eastAsia="Arial" w:hAnsi="Arial"/>
          <w:sz w:val="19"/>
          <w:szCs w:val="19"/>
          <w:b w:val="1"/>
          <w:bCs w:val="1"/>
          <w:color w:val="auto"/>
        </w:rPr>
      </w:pPr>
      <w:r>
        <w:rPr>
          <w:rFonts w:ascii="Arial" w:cs="Arial" w:eastAsia="Arial" w:hAnsi="Arial"/>
          <w:sz w:val="19"/>
          <w:szCs w:val="19"/>
          <w:color w:val="auto"/>
        </w:rPr>
        <w:t>(a) continuing to assist us, if necessary, with efforts to recruit and select your successor; (b) answering questions from, sharing information and insights with, and otherwise supporting your successor from time to time as he or she works to acquire information about our people and our research projects and methodology; and (c) supporting business development and investor relations activities and otherwise answering questions or providing information or insights to Aptevo leadership that will help us maintain research continuity after your employment ends. Such work can be performed remotely (e.g., via phone, by e-mail, or by video-conference communications) and at times that are determined by you, except that you will work in good faith to provide such information and guidance when it can be most helpful to Aptevo and its leadership. Payment of the transition payment set forth in Section 3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244475</wp:posOffset>
            </wp:positionV>
            <wp:extent cx="534924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130810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4" w:right="339" w:bottom="1440" w:gutter="0" w:footer="0" w:header="0"/>
        </w:sectPr>
      </w:pPr>
    </w:p>
    <w:bookmarkStart w:id="56" w:name="page57"/>
    <w:bookmarkEnd w:id="56"/>
    <w:p>
      <w:pPr>
        <w:jc w:val="both"/>
        <w:ind w:left="440"/>
        <w:spacing w:after="0"/>
        <w:rPr>
          <w:sz w:val="20"/>
          <w:szCs w:val="20"/>
          <w:color w:val="auto"/>
        </w:rPr>
      </w:pPr>
      <w:r>
        <w:rPr>
          <w:rFonts w:ascii="Arial" w:cs="Arial" w:eastAsia="Arial" w:hAnsi="Arial"/>
          <w:sz w:val="22"/>
          <w:szCs w:val="22"/>
          <w:color w:val="auto"/>
        </w:rPr>
        <w:t xml:space="preserve">considered by the parties as payment for such post-employment consulting services, </w:t>
      </w:r>
      <w:r>
        <w:rPr>
          <w:rFonts w:ascii="Arial" w:cs="Arial" w:eastAsia="Arial" w:hAnsi="Arial"/>
          <w:sz w:val="22"/>
          <w:szCs w:val="22"/>
          <w:i w:val="1"/>
          <w:iCs w:val="1"/>
          <w:color w:val="auto"/>
        </w:rPr>
        <w:t>provided however</w:t>
      </w:r>
      <w:r>
        <w:rPr>
          <w:rFonts w:ascii="Arial" w:cs="Arial" w:eastAsia="Arial" w:hAnsi="Arial"/>
          <w:sz w:val="22"/>
          <w:szCs w:val="22"/>
          <w:color w:val="auto"/>
        </w:rPr>
        <w:t>, Aptevo will pay you an hourly fee of $350 for consulting services provided by you in excess of the hours described under this Section 6.</w:t>
      </w:r>
    </w:p>
    <w:p>
      <w:pPr>
        <w:spacing w:after="0" w:line="180" w:lineRule="exact"/>
        <w:rPr>
          <w:sz w:val="20"/>
          <w:szCs w:val="20"/>
          <w:color w:val="auto"/>
        </w:rPr>
      </w:pPr>
    </w:p>
    <w:p>
      <w:pPr>
        <w:jc w:val="both"/>
        <w:ind w:left="440" w:hanging="440"/>
        <w:spacing w:after="0" w:line="270" w:lineRule="auto"/>
        <w:tabs>
          <w:tab w:leader="none" w:pos="44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Release of Claims</w:t>
      </w:r>
      <w:r>
        <w:rPr>
          <w:rFonts w:ascii="Arial" w:cs="Arial" w:eastAsia="Arial" w:hAnsi="Arial"/>
          <w:sz w:val="19"/>
          <w:szCs w:val="19"/>
          <w:color w:val="auto"/>
        </w:rPr>
        <w:t>. In exchange for the consideration provided to you under this Agreement to which you would not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 entitled, you hereby generally and completely release Aptevo and its affiliated, related, parent and subsidiary entities, and its and their current and former directors, officers, employees, shareholders, partners, consultants,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with Aptevo; (b) all claims related to your compensation or benefits from Aptevo, including salary, bonuses, commissions, vacation pay, expense reimbursements, fringe benefits, stock, stock options, restricted stock units, or any other ownership, equity, or profits interests in Aptevo; (c) all claims for breach of contract and breach of the implied covenant of good faith and fair dealing; (d) all tort claims, including claims for fraud, defamation, emotional distress, and discharge in violation of public policy; and (e) all federal, state, and local statutory claims, including but not limited to claims for discrimination, harassment, retaliation, attorneys’ fees, or other claims arising under the federal Civil Rights Act of 1964 (as amended), the federal Americans with Disabilities Act of 1990,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Equal Employment Practices Act, the Retaliatory Employment Discrimination Act, and the California Fair Employment and Housing Act. You understand that this Agreement includes a release of all known and unknown claims, even if those unknown claims that, if known by you, would affect your decision to accept this Agreement. In giving the release herein, which includes claims which may be unknown to you at present, you hereby expressly waive and relinquish all rights and benefits under any law of any jurisdiction with respect to your release of any unknown or unsuspected claims herein. Notwithstanding the foregoing, you are not releasing Aptevo hereby from: (i) any obligation to indemnify you pursuant to the Articles and Bylaws of Aptevo, any valid fully executed indemnification agreement with Aptevo, applicable law, or applicable directors and officers liability insurance; (ii) any claims that cannot be waived by law; or (iii) any claims for breach of this Agreement.</w:t>
      </w:r>
    </w:p>
    <w:p>
      <w:pPr>
        <w:spacing w:after="0" w:line="397" w:lineRule="exact"/>
        <w:rPr>
          <w:rFonts w:ascii="Arial" w:cs="Arial" w:eastAsia="Arial" w:hAnsi="Arial"/>
          <w:sz w:val="19"/>
          <w:szCs w:val="19"/>
          <w:b w:val="1"/>
          <w:bCs w:val="1"/>
          <w:color w:val="auto"/>
        </w:rPr>
      </w:pPr>
    </w:p>
    <w:p>
      <w:pPr>
        <w:jc w:val="both"/>
        <w:ind w:left="440" w:hanging="440"/>
        <w:spacing w:after="0" w:line="247" w:lineRule="auto"/>
        <w:tabs>
          <w:tab w:leader="none" w:pos="44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Release of Age Discrimination Claims. </w:t>
      </w:r>
      <w:r>
        <w:rPr>
          <w:rFonts w:ascii="Arial" w:cs="Arial" w:eastAsia="Arial" w:hAnsi="Arial"/>
          <w:sz w:val="21"/>
          <w:szCs w:val="21"/>
          <w:color w:val="auto"/>
        </w:rPr>
        <w:t>You acknowledge that you are knowingly and voluntarily waiving and</w:t>
      </w:r>
      <w:r>
        <w:rPr>
          <w:rFonts w:ascii="Arial" w:cs="Arial" w:eastAsia="Arial" w:hAnsi="Arial"/>
          <w:sz w:val="21"/>
          <w:szCs w:val="21"/>
          <w:b w:val="1"/>
          <w:bCs w:val="1"/>
          <w:color w:val="auto"/>
        </w:rPr>
        <w:t xml:space="preserve"> </w:t>
      </w:r>
      <w:r>
        <w:rPr>
          <w:rFonts w:ascii="Arial" w:cs="Arial" w:eastAsia="Arial" w:hAnsi="Arial"/>
          <w:sz w:val="21"/>
          <w:szCs w:val="21"/>
          <w:color w:val="auto"/>
        </w:rPr>
        <w:t>releasing any rights you have under the ADEA, and that the consideration given for the waiver and releases you have given in this Agreement is in addition to anything of value to which you were already entitled. You further acknowledge that you have been advised by this letter Agreement, as required by the ADEA, that: (a) your waiver and release does not apply to any rights or claims arising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255270</wp:posOffset>
            </wp:positionV>
            <wp:extent cx="534924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130810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4" w:right="339" w:bottom="1440" w:gutter="0" w:footer="0" w:header="0"/>
        </w:sectPr>
      </w:pPr>
    </w:p>
    <w:bookmarkStart w:id="57" w:name="page58"/>
    <w:bookmarkEnd w:id="57"/>
    <w:p>
      <w:pPr>
        <w:jc w:val="both"/>
        <w:ind w:left="440" w:right="20"/>
        <w:spacing w:after="0"/>
        <w:rPr>
          <w:sz w:val="20"/>
          <w:szCs w:val="20"/>
          <w:color w:val="auto"/>
        </w:rPr>
      </w:pPr>
      <w:r>
        <w:rPr>
          <w:rFonts w:ascii="Arial" w:cs="Arial" w:eastAsia="Arial" w:hAnsi="Arial"/>
          <w:sz w:val="22"/>
          <w:szCs w:val="22"/>
          <w:color w:val="auto"/>
        </w:rPr>
        <w:t>this Agreement (in a written revocation sent to the Aptevo);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0" w:lineRule="exact"/>
        <w:rPr>
          <w:sz w:val="20"/>
          <w:szCs w:val="20"/>
          <w:color w:val="auto"/>
        </w:rPr>
      </w:pPr>
    </w:p>
    <w:p>
      <w:pPr>
        <w:ind w:left="440" w:hanging="440"/>
        <w:spacing w:after="0"/>
        <w:tabs>
          <w:tab w:leader="none" w:pos="44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Rights Not Waived. </w:t>
      </w:r>
      <w:r>
        <w:rPr>
          <w:rFonts w:ascii="Arial" w:cs="Arial" w:eastAsia="Arial" w:hAnsi="Arial"/>
          <w:sz w:val="22"/>
          <w:szCs w:val="22"/>
          <w:color w:val="auto"/>
        </w:rPr>
        <w:t>Regardless of any term stated in any other section of this Agreement:</w:t>
      </w:r>
    </w:p>
    <w:p>
      <w:pPr>
        <w:spacing w:after="0" w:line="198" w:lineRule="exact"/>
        <w:rPr>
          <w:rFonts w:ascii="Arial" w:cs="Arial" w:eastAsia="Arial" w:hAnsi="Arial"/>
          <w:sz w:val="22"/>
          <w:szCs w:val="22"/>
          <w:b w:val="1"/>
          <w:bCs w:val="1"/>
          <w:color w:val="auto"/>
        </w:rPr>
      </w:pPr>
    </w:p>
    <w:p>
      <w:pPr>
        <w:ind w:left="440"/>
        <w:spacing w:after="0" w:line="247" w:lineRule="auto"/>
        <w:rPr>
          <w:rFonts w:ascii="Arial" w:cs="Arial" w:eastAsia="Arial" w:hAnsi="Arial"/>
          <w:sz w:val="22"/>
          <w:szCs w:val="22"/>
          <w:b w:val="1"/>
          <w:bCs w:val="1"/>
          <w:color w:val="auto"/>
        </w:rPr>
      </w:pPr>
      <w:r>
        <w:rPr>
          <w:rFonts w:ascii="Arial" w:cs="Arial" w:eastAsia="Arial" w:hAnsi="Arial"/>
          <w:sz w:val="21"/>
          <w:szCs w:val="21"/>
          <w:color w:val="auto"/>
        </w:rPr>
        <w:t>This Agreement does not waive your rights, if any, to receive ERISA-covered benefits (</w:t>
      </w:r>
      <w:r>
        <w:rPr>
          <w:rFonts w:ascii="Arial" w:cs="Arial" w:eastAsia="Arial" w:hAnsi="Arial"/>
          <w:sz w:val="21"/>
          <w:szCs w:val="21"/>
          <w:i w:val="1"/>
          <w:iCs w:val="1"/>
          <w:color w:val="auto"/>
        </w:rPr>
        <w:t>e.g.,</w:t>
      </w:r>
      <w:r>
        <w:rPr>
          <w:rFonts w:ascii="Arial" w:cs="Arial" w:eastAsia="Arial" w:hAnsi="Arial"/>
          <w:sz w:val="21"/>
          <w:szCs w:val="21"/>
          <w:color w:val="auto"/>
        </w:rPr>
        <w:t xml:space="preserve"> pension or medical benefits) that are vested pursuant to a formally-adopted and properly-authorized written benefit plan.</w:t>
      </w:r>
    </w:p>
    <w:p>
      <w:pPr>
        <w:spacing w:after="0" w:line="150" w:lineRule="exact"/>
        <w:rPr>
          <w:rFonts w:ascii="Arial" w:cs="Arial" w:eastAsia="Arial" w:hAnsi="Arial"/>
          <w:sz w:val="22"/>
          <w:szCs w:val="22"/>
          <w:b w:val="1"/>
          <w:bCs w:val="1"/>
          <w:color w:val="auto"/>
        </w:rPr>
      </w:pPr>
    </w:p>
    <w:p>
      <w:pPr>
        <w:ind w:left="44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This Agreement does not waive unemployment compensation benefits, workers’ compensation benefits or any other rights that may not lawfully be released by a private Agreement.</w:t>
      </w:r>
    </w:p>
    <w:p>
      <w:pPr>
        <w:spacing w:after="0" w:line="158" w:lineRule="exact"/>
        <w:rPr>
          <w:rFonts w:ascii="Arial" w:cs="Arial" w:eastAsia="Arial" w:hAnsi="Arial"/>
          <w:sz w:val="22"/>
          <w:szCs w:val="22"/>
          <w:b w:val="1"/>
          <w:bCs w:val="1"/>
          <w:color w:val="auto"/>
        </w:rPr>
      </w:pPr>
    </w:p>
    <w:p>
      <w:pPr>
        <w:ind w:left="44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This Agreement does not waive any right you may have to receive a payment or award from a governmental agency (and not Aptevo) for information provided to the governmental agency.</w:t>
      </w:r>
    </w:p>
    <w:p>
      <w:pPr>
        <w:spacing w:after="0" w:line="158" w:lineRule="exact"/>
        <w:rPr>
          <w:rFonts w:ascii="Arial" w:cs="Arial" w:eastAsia="Arial" w:hAnsi="Arial"/>
          <w:sz w:val="22"/>
          <w:szCs w:val="22"/>
          <w:b w:val="1"/>
          <w:bCs w:val="1"/>
          <w:color w:val="auto"/>
        </w:rPr>
      </w:pPr>
    </w:p>
    <w:p>
      <w:pPr>
        <w:jc w:val="both"/>
        <w:ind w:left="440"/>
        <w:spacing w:after="0" w:line="218" w:lineRule="auto"/>
        <w:rPr>
          <w:rFonts w:ascii="Arial" w:cs="Arial" w:eastAsia="Arial" w:hAnsi="Arial"/>
          <w:sz w:val="22"/>
          <w:szCs w:val="22"/>
          <w:b w:val="1"/>
          <w:bCs w:val="1"/>
          <w:color w:val="auto"/>
        </w:rPr>
      </w:pPr>
      <w:r>
        <w:rPr>
          <w:rFonts w:ascii="Arial" w:cs="Arial" w:eastAsia="Arial" w:hAnsi="Arial"/>
          <w:sz w:val="22"/>
          <w:szCs w:val="22"/>
          <w:color w:val="auto"/>
        </w:rPr>
        <w:t>Nothing in this Agreement prevents you from filing a charge or complaint with, or from participating in an investigation or proceeding conducted by, the EEOC, SEC, NLRB, DOL, or any other governmental agency; but as to all of the claims that you have released as provided in this Agreement, you are waiving your right to receive any individual relief in any such investigation or proceeding.</w:t>
      </w:r>
    </w:p>
    <w:p>
      <w:pPr>
        <w:spacing w:after="0" w:line="160" w:lineRule="exact"/>
        <w:rPr>
          <w:rFonts w:ascii="Arial" w:cs="Arial" w:eastAsia="Arial" w:hAnsi="Arial"/>
          <w:sz w:val="22"/>
          <w:szCs w:val="22"/>
          <w:b w:val="1"/>
          <w:bCs w:val="1"/>
          <w:color w:val="auto"/>
        </w:rPr>
      </w:pPr>
    </w:p>
    <w:p>
      <w:pPr>
        <w:jc w:val="both"/>
        <w:ind w:left="440"/>
        <w:spacing w:after="0" w:line="216" w:lineRule="auto"/>
        <w:rPr>
          <w:rFonts w:ascii="Arial" w:cs="Arial" w:eastAsia="Arial" w:hAnsi="Arial"/>
          <w:sz w:val="22"/>
          <w:szCs w:val="22"/>
          <w:b w:val="1"/>
          <w:bCs w:val="1"/>
          <w:color w:val="auto"/>
        </w:rPr>
      </w:pPr>
      <w:r>
        <w:rPr>
          <w:rFonts w:ascii="Arial" w:cs="Arial" w:eastAsia="Arial" w:hAnsi="Arial"/>
          <w:sz w:val="22"/>
          <w:szCs w:val="22"/>
          <w:color w:val="auto"/>
        </w:rPr>
        <w:t>Nothing in this Agreement prevents you from (i) providing testimony, information or documents if you are legally compelled to do so, or (ii) communicating with the EEOC, SEC, NLRB, DOL or other governmental agency, including providing documents or other information; however in all cases, you agree to take all reasonable steps that are available (such as redacting information or providing information under seal) to avoid any public disclosure of trade secret information or other confidential business information.</w:t>
      </w:r>
    </w:p>
    <w:p>
      <w:pPr>
        <w:spacing w:after="0" w:line="157" w:lineRule="exact"/>
        <w:rPr>
          <w:rFonts w:ascii="Arial" w:cs="Arial" w:eastAsia="Arial" w:hAnsi="Arial"/>
          <w:sz w:val="22"/>
          <w:szCs w:val="22"/>
          <w:b w:val="1"/>
          <w:bCs w:val="1"/>
          <w:color w:val="auto"/>
        </w:rPr>
      </w:pPr>
    </w:p>
    <w:p>
      <w:pPr>
        <w:ind w:left="440" w:right="2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You do not need Aptevo’s prior authorization to engage in conduct protected by the prior two paragraphs, and you do not need to notify Aptevo that you have engaged in such conduct.</w:t>
      </w:r>
    </w:p>
    <w:p>
      <w:pPr>
        <w:spacing w:after="0" w:line="166" w:lineRule="exact"/>
        <w:rPr>
          <w:rFonts w:ascii="Arial" w:cs="Arial" w:eastAsia="Arial" w:hAnsi="Arial"/>
          <w:sz w:val="22"/>
          <w:szCs w:val="22"/>
          <w:b w:val="1"/>
          <w:bCs w:val="1"/>
          <w:color w:val="auto"/>
        </w:rPr>
      </w:pPr>
    </w:p>
    <w:p>
      <w:pPr>
        <w:ind w:left="440" w:hanging="440"/>
        <w:spacing w:after="0" w:line="256" w:lineRule="auto"/>
        <w:tabs>
          <w:tab w:leader="none" w:pos="44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Admission of Liability. </w:t>
      </w:r>
      <w:r>
        <w:rPr>
          <w:rFonts w:ascii="Arial" w:cs="Arial" w:eastAsia="Arial" w:hAnsi="Arial"/>
          <w:sz w:val="22"/>
          <w:szCs w:val="22"/>
          <w:color w:val="auto"/>
        </w:rPr>
        <w:t>Neither this Agreement nor the payments made under this Agreement is an admission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or wrongdoing.</w:t>
      </w:r>
    </w:p>
    <w:p>
      <w:pPr>
        <w:spacing w:after="0" w:line="162" w:lineRule="exact"/>
        <w:rPr>
          <w:rFonts w:ascii="Arial" w:cs="Arial" w:eastAsia="Arial" w:hAnsi="Arial"/>
          <w:sz w:val="22"/>
          <w:szCs w:val="22"/>
          <w:b w:val="1"/>
          <w:bCs w:val="1"/>
          <w:color w:val="auto"/>
        </w:rPr>
      </w:pPr>
    </w:p>
    <w:p>
      <w:pPr>
        <w:jc w:val="both"/>
        <w:ind w:left="440" w:hanging="440"/>
        <w:spacing w:after="0" w:line="278" w:lineRule="auto"/>
        <w:tabs>
          <w:tab w:leader="none" w:pos="44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Disparagement; Reference Checks. </w:t>
      </w:r>
      <w:r>
        <w:rPr>
          <w:rFonts w:ascii="Arial" w:cs="Arial" w:eastAsia="Arial" w:hAnsi="Arial"/>
          <w:sz w:val="19"/>
          <w:szCs w:val="19"/>
          <w:color w:val="auto"/>
        </w:rPr>
        <w:t>You will not make (or direct anyone to make) any negative or derogatory</w:t>
      </w:r>
      <w:r>
        <w:rPr>
          <w:rFonts w:ascii="Arial" w:cs="Arial" w:eastAsia="Arial" w:hAnsi="Arial"/>
          <w:sz w:val="19"/>
          <w:szCs w:val="19"/>
          <w:b w:val="1"/>
          <w:bCs w:val="1"/>
          <w:color w:val="auto"/>
        </w:rPr>
        <w:t xml:space="preserve"> </w:t>
      </w:r>
      <w:r>
        <w:rPr>
          <w:rFonts w:ascii="Arial" w:cs="Arial" w:eastAsia="Arial" w:hAnsi="Arial"/>
          <w:sz w:val="19"/>
          <w:szCs w:val="19"/>
          <w:color w:val="auto"/>
        </w:rPr>
        <w:t>comment to any third party, including current directors, officers, shareholders, employees, consultants, customers and prospects of Aptevo and the press, regarding Aptevo, its affiliates, directors, officers, shareholders, employees, consultants, agents, business, products or related activities, your relationship with Aptevo, or the termination of that relationship, subject to Section 9 above (Rights Not Waived). Aptevo agrees to direct its executive team members, including its chief clinical advisor, not to make any negative or derogatory comment to any third party that would disparage, defame, libel, slander, place in a negative light or otherwise harm your professional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238125</wp:posOffset>
            </wp:positionV>
            <wp:extent cx="534924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80"/>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130810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4" w:right="339" w:bottom="1440" w:gutter="0" w:footer="0" w:header="0"/>
        </w:sectPr>
      </w:pPr>
    </w:p>
    <w:bookmarkStart w:id="58" w:name="page59"/>
    <w:bookmarkEnd w:id="58"/>
    <w:p>
      <w:pPr>
        <w:ind w:left="880"/>
        <w:spacing w:after="0" w:line="274" w:lineRule="auto"/>
        <w:rPr>
          <w:sz w:val="20"/>
          <w:szCs w:val="20"/>
          <w:color w:val="auto"/>
        </w:rPr>
      </w:pPr>
      <w:r>
        <w:rPr>
          <w:rFonts w:ascii="Arial" w:cs="Arial" w:eastAsia="Arial" w:hAnsi="Arial"/>
          <w:sz w:val="21"/>
          <w:szCs w:val="21"/>
          <w:color w:val="auto"/>
        </w:rPr>
        <w:t>personal reputation. Aptevo will respond to reference checks pursuant to its normal policy, that is, it will provide only dates of employment and position held, and you hereby consent to the release of that information.</w:t>
      </w:r>
    </w:p>
    <w:p>
      <w:pPr>
        <w:spacing w:after="0" w:line="145" w:lineRule="exact"/>
        <w:rPr>
          <w:sz w:val="20"/>
          <w:szCs w:val="20"/>
          <w:color w:val="auto"/>
        </w:rPr>
      </w:pPr>
    </w:p>
    <w:p>
      <w:pPr>
        <w:jc w:val="both"/>
        <w:ind w:left="880" w:hanging="440"/>
        <w:spacing w:after="0" w:line="243" w:lineRule="auto"/>
        <w:tabs>
          <w:tab w:leader="none" w:pos="8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Interference. </w:t>
      </w:r>
      <w:r>
        <w:rPr>
          <w:rFonts w:ascii="Arial" w:cs="Arial" w:eastAsia="Arial" w:hAnsi="Arial"/>
          <w:sz w:val="22"/>
          <w:szCs w:val="22"/>
          <w:color w:val="auto"/>
        </w:rPr>
        <w:t>You will not, apart from good faith competition, interfere with Aptevo’s relationships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customers, directors, officers, shareholders, employees, consultants, vendors, bankers or others, subject to Section 9 above (Rights Not Waived).</w:t>
      </w:r>
    </w:p>
    <w:p>
      <w:pPr>
        <w:spacing w:after="0" w:line="176" w:lineRule="exact"/>
        <w:rPr>
          <w:rFonts w:ascii="Arial" w:cs="Arial" w:eastAsia="Arial" w:hAnsi="Arial"/>
          <w:sz w:val="22"/>
          <w:szCs w:val="22"/>
          <w:b w:val="1"/>
          <w:bCs w:val="1"/>
          <w:color w:val="auto"/>
        </w:rPr>
      </w:pPr>
    </w:p>
    <w:p>
      <w:pPr>
        <w:jc w:val="both"/>
        <w:ind w:left="880" w:hanging="440"/>
        <w:spacing w:after="0" w:line="273" w:lineRule="auto"/>
        <w:tabs>
          <w:tab w:leader="none" w:pos="88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Confidentiality of Offers and Settlement. </w:t>
      </w:r>
      <w:r>
        <w:rPr>
          <w:rFonts w:ascii="Arial" w:cs="Arial" w:eastAsia="Arial" w:hAnsi="Arial"/>
          <w:sz w:val="19"/>
          <w:szCs w:val="19"/>
          <w:color w:val="auto"/>
        </w:rPr>
        <w:t>You represent, warrant and agree that, except as otherwise required by law,</w:t>
      </w:r>
      <w:r>
        <w:rPr>
          <w:rFonts w:ascii="Arial" w:cs="Arial" w:eastAsia="Arial" w:hAnsi="Arial"/>
          <w:sz w:val="19"/>
          <w:szCs w:val="19"/>
          <w:b w:val="1"/>
          <w:bCs w:val="1"/>
          <w:color w:val="auto"/>
        </w:rPr>
        <w:t xml:space="preserve"> </w:t>
      </w:r>
      <w:r>
        <w:rPr>
          <w:rFonts w:ascii="Arial" w:cs="Arial" w:eastAsia="Arial" w:hAnsi="Arial"/>
          <w:sz w:val="19"/>
          <w:szCs w:val="19"/>
          <w:color w:val="auto"/>
        </w:rPr>
        <w:t>you have kept confidential, and will keep confidential, the existence and terms of this Agreement, and the existence and terms of all settlement demand(s) and offer(s) made between you and Aptevo. Despite what was just stated, you may disclose these terms to your spouse, legal counsel, accountants and tax advisors, but only after you have obtained their agreement, for the benefit of Aptevo, to abide by this confidentiality agreement. If you have already disclosed these terms to your spouse, legal counsel, accountant or tax advisor, you represent and warrant that you have already instructed them to abide by this confidentiality agreement. If it becomes strictly necessary to admit any terms of this Agreement as evidence in a court proceeding, arbitration, administrative proceeding or investigation, you may do so, but only after the parties take all steps available to maintain the confidentiality of this Agreement to the fullest extent possible, such as by filing and referring to only limited portions of this Agreement (in a redacted form), and/or obtaining leave to file this Agreement or its terms under seal. Your obligations under this Section 13 are subject to the terms of Section 9 above (Rights Not Waived).</w:t>
      </w:r>
    </w:p>
    <w:p>
      <w:pPr>
        <w:spacing w:after="0" w:line="398"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Code Section 409A Compliance. </w:t>
      </w:r>
      <w:r>
        <w:rPr>
          <w:rFonts w:ascii="Arial" w:cs="Arial" w:eastAsia="Arial" w:hAnsi="Arial"/>
          <w:sz w:val="21"/>
          <w:szCs w:val="21"/>
          <w:color w:val="auto"/>
        </w:rPr>
        <w:t>Notwithstanding anything herein to the contrary, this Agreement is intended to be</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interpreted and operated to the fullest extent possible so that the payments under this Agreement either shall be exempt from the requirements of section 409A of the Internal Revenue Code of 1986, as amended (“Code Section 409A”) or shall comply with the requirements of such provision; provided however that notwithstanding anything to the contrary in this Agreement in no event shall Aptevo be liable to you for or with respect to any taxes, penalties or interest which may be imposed upon you pursuant to Code Section 409A.</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Agreement constitutes the complete, final and exclusive embodiment of the entire agreement between you and Aptevo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Aptevo.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Washington without respect to conflicts of law principles. This Agreement may be executed in counterparts and signatures by facsimile will suffice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242570</wp:posOffset>
            </wp:positionV>
            <wp:extent cx="534924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spacing w:after="0" w:line="250" w:lineRule="auto"/>
        <w:rPr>
          <w:sz w:val="20"/>
          <w:szCs w:val="20"/>
          <w:color w:val="auto"/>
        </w:rPr>
      </w:pPr>
      <w:r>
        <w:rPr>
          <w:rFonts w:ascii="Arial" w:cs="Arial" w:eastAsia="Arial" w:hAnsi="Arial"/>
          <w:sz w:val="22"/>
          <w:szCs w:val="22"/>
          <w:color w:val="auto"/>
        </w:rPr>
        <w:t>If this Agreement is acceptable to you, please sign below and return the dated and signed copy to me by e-mail at portoffc@apvo.com within twenty-one (21) days.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Censia Pottorf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Human Resources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NDERSTOOD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Jane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546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Jane Gross, Ph.D.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8/25/2021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54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398780</wp:posOffset>
            </wp:positionV>
            <wp:extent cx="534924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6</w:t>
      </w:r>
    </w:p>
    <w:p>
      <w:pPr>
        <w:sectPr>
          <w:pgSz w:w="11900" w:h="16838" w:orient="portrait"/>
          <w:cols w:equalWidth="0" w:num="1">
            <w:col w:w="11220"/>
          </w:cols>
          <w:pgMar w:left="320" w:top="550"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147955</wp:posOffset>
            </wp:positionV>
            <wp:extent cx="1508760" cy="874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087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September 7,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Jane Gross</w:t>
      </w:r>
    </w:p>
    <w:p>
      <w:pPr>
        <w:spacing w:after="0" w:line="238" w:lineRule="auto"/>
        <w:rPr>
          <w:sz w:val="20"/>
          <w:szCs w:val="20"/>
          <w:color w:val="auto"/>
        </w:rPr>
      </w:pPr>
      <w:r>
        <w:rPr>
          <w:rFonts w:ascii="Arial" w:cs="Arial" w:eastAsia="Arial" w:hAnsi="Arial"/>
          <w:sz w:val="22"/>
          <w:szCs w:val="22"/>
          <w:color w:val="auto"/>
        </w:rPr>
        <w:t>4258 NE 74</w:t>
      </w:r>
      <w:r>
        <w:rPr>
          <w:rFonts w:ascii="Arial" w:cs="Arial" w:eastAsia="Arial" w:hAnsi="Arial"/>
          <w:sz w:val="18"/>
          <w:szCs w:val="18"/>
          <w:color w:val="auto"/>
        </w:rPr>
        <w:t>th</w:t>
      </w:r>
      <w:r>
        <w:rPr>
          <w:rFonts w:ascii="Arial" w:cs="Arial" w:eastAsia="Arial" w:hAnsi="Arial"/>
          <w:sz w:val="22"/>
          <w:szCs w:val="22"/>
          <w:color w:val="auto"/>
        </w:rPr>
        <w:t xml:space="preserve"> St.</w:t>
      </w:r>
    </w:p>
    <w:p>
      <w:pPr>
        <w:spacing w:after="0"/>
        <w:rPr>
          <w:sz w:val="20"/>
          <w:szCs w:val="20"/>
          <w:color w:val="auto"/>
        </w:rPr>
      </w:pPr>
      <w:r>
        <w:rPr>
          <w:rFonts w:ascii="Arial" w:cs="Arial" w:eastAsia="Arial" w:hAnsi="Arial"/>
          <w:sz w:val="22"/>
          <w:szCs w:val="22"/>
          <w:color w:val="auto"/>
        </w:rPr>
        <w:t>Seattle, WA 98115</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color w:val="auto"/>
        </w:rPr>
        <w:t>Amendment to Confidential Executive Transition Services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Jane:</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 entered into a Confidential Executive Transition Services Agreement with Aptevo Therapeutics Inc. (“Aptevo”) on August 25, 2021 (“Agreement”), pursuant to which your Separation Date was defined as September 14, 2021. You have requested an amendment to your Agreement (“Amendment”) to change your Separation Date from September 14, 2021 to September 17, 2021 and we have agreed to make that change. The parties hereby agree that the Separation Date set forth in Section 1 of the Agreement is changed to September 17, 2021.</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Except as modified by this Amendment, the Agreement shall remain in full force and effect in accordance with its original terms and provisions. Capitalized terms used but not defined in this Amendment shall have the same meanings ascribed to them in the Agreement. This Amendment may be executed by the parties in one or more counterparts, each of which shall be deemed an original, and all of which together shall constitute one instrument. Signature of this Amendment, unless otherwise stipulated herein, may be by electronic means using digital signature technology (such as Adobe) and will have the same validity and effect as a hand-written signature. Signed counterparts may be delivered by mail, facsimile or electronically in Portable Document Format (.pdf), each of which shall be binding when sent. Each party hereto represents and warrants that this Amendment has been duly authorized, executed and delivered by or on behalf of such party.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Marvin White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132715</wp:posOffset>
            </wp:positionV>
            <wp:extent cx="5366385"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66385" cy="774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NDERSTOOD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Jane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2802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Jane Gross, Ph.D.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2802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364490</wp:posOffset>
            </wp:positionV>
            <wp:extent cx="534924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399"/>
        <w:spacing w:after="0"/>
        <w:rPr>
          <w:sz w:val="20"/>
          <w:szCs w:val="20"/>
          <w:color w:val="auto"/>
        </w:rPr>
      </w:pPr>
      <w:r>
        <w:rPr>
          <w:rFonts w:ascii="Arial" w:cs="Arial" w:eastAsia="Arial" w:hAnsi="Arial"/>
          <w:sz w:val="16"/>
          <w:szCs w:val="16"/>
          <w:color w:val="A5A5A5"/>
        </w:rPr>
        <w:t>2401 4</w:t>
      </w:r>
      <w:r>
        <w:rPr>
          <w:rFonts w:ascii="Arial" w:cs="Arial" w:eastAsia="Arial" w:hAnsi="Arial"/>
          <w:sz w:val="27"/>
          <w:szCs w:val="27"/>
          <w:color w:val="A5A5A5"/>
          <w:vertAlign w:val="superscript"/>
        </w:rPr>
        <w:t>th</w:t>
      </w:r>
      <w:r>
        <w:rPr>
          <w:rFonts w:ascii="Arial" w:cs="Arial" w:eastAsia="Arial" w:hAnsi="Arial"/>
          <w:sz w:val="16"/>
          <w:szCs w:val="16"/>
          <w:color w:val="A5A5A5"/>
        </w:rPr>
        <w:t xml:space="preserve"> Avenue, Suite 1050, Seattle WA 98121 | </w:t>
      </w:r>
      <w:r>
        <w:rPr>
          <w:rFonts w:ascii="Arial" w:cs="Arial" w:eastAsia="Arial" w:hAnsi="Arial"/>
          <w:sz w:val="16"/>
          <w:szCs w:val="16"/>
          <w:color w:val="5B9BD5"/>
        </w:rPr>
        <w:t>t</w:t>
      </w:r>
      <w:r>
        <w:rPr>
          <w:rFonts w:ascii="Arial" w:cs="Arial" w:eastAsia="Arial" w:hAnsi="Arial"/>
          <w:sz w:val="16"/>
          <w:szCs w:val="16"/>
          <w:color w:val="A5A5A5"/>
        </w:rPr>
        <w:t xml:space="preserve"> 206.838.5000 | </w:t>
      </w:r>
      <w:r>
        <w:rPr>
          <w:rFonts w:ascii="Arial" w:cs="Arial" w:eastAsia="Arial" w:hAnsi="Arial"/>
          <w:sz w:val="16"/>
          <w:szCs w:val="16"/>
          <w:color w:val="5B9BD5"/>
        </w:rPr>
        <w:t>f</w:t>
      </w:r>
      <w:r>
        <w:rPr>
          <w:rFonts w:ascii="Arial" w:cs="Arial" w:eastAsia="Arial" w:hAnsi="Arial"/>
          <w:sz w:val="16"/>
          <w:szCs w:val="16"/>
          <w:color w:val="A5A5A5"/>
        </w:rPr>
        <w:t xml:space="preserve"> 206.838.0503 | </w:t>
      </w:r>
      <w:r>
        <w:rPr>
          <w:rFonts w:ascii="Arial" w:cs="Arial" w:eastAsia="Arial" w:hAnsi="Arial"/>
          <w:sz w:val="16"/>
          <w:szCs w:val="16"/>
          <w:color w:val="000000"/>
        </w:rPr>
        <w:t>aptevotherapeutics.com</w:t>
      </w:r>
      <w:r>
        <w:rPr>
          <w:rFonts w:ascii="Arial" w:cs="Arial" w:eastAsia="Arial" w:hAnsi="Arial"/>
          <w:sz w:val="16"/>
          <w:szCs w:val="16"/>
          <w:color w:val="A5A5A5"/>
        </w:rPr>
        <w:t xml:space="preserve"> | 2</w:t>
      </w:r>
    </w:p>
    <w:p>
      <w:pPr>
        <w:sectPr>
          <w:pgSz w:w="11900" w:h="16838" w:orient="portrait"/>
          <w:cols w:equalWidth="0" w:num="1">
            <w:col w:w="10139"/>
          </w:cols>
          <w:pgMar w:left="320" w:top="328"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September 30,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6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Aptevo Inc. on Form 10-Q for the period ending September 30,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5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amp;"/>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lvl w:ilvl="1">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1."/>
      <w:numFmt w:val="decimal"/>
      <w:start w:val="7"/>
    </w:lvl>
  </w:abstractNum>
  <w:abstractNum w:abstractNumId="32">
    <w:nsid w:val="440BADFC"/>
    <w:multiLevelType w:val="hybridMultilevel"/>
    <w:lvl w:ilvl="0">
      <w:lvlJc w:val="left"/>
      <w:lvlText w:val="%1."/>
      <w:numFmt w:val="decimal"/>
      <w:start w:val="9"/>
    </w:lvl>
  </w:abstractNum>
  <w:abstractNum w:abstractNumId="33">
    <w:nsid w:val="5072367"/>
    <w:multiLevelType w:val="hybridMultilevel"/>
    <w:lvl w:ilvl="0">
      <w:lvlJc w:val="left"/>
      <w:lvlText w:val="%1."/>
      <w:numFmt w:val="decimal"/>
      <w:start w:val="1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2021-11-12T09:46:15Z</dcterms:created>
  <dcterms:modified xsi:type="dcterms:W3CDTF">2021-11-12T09:46:15Z</dcterms:modified>
</cp:coreProperties>
</file>